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42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June 30, 2016</w:t>
      </w:r>
    </w:p>
    <w:p>
      <w:pPr>
        <w:spacing w:after="0" w:line="229"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EXCHANGE ACT OF 1934</w:t>
      </w:r>
    </w:p>
    <w:p>
      <w:pPr>
        <w:spacing w:after="0" w:line="225"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For the transition period from ____________________ to 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000-50054</w:t>
      </w:r>
    </w:p>
    <w:p>
      <w:pPr>
        <w:spacing w:after="0" w:line="221" w:lineRule="exact"/>
        <w:rPr>
          <w:sz w:val="24"/>
          <w:szCs w:val="24"/>
          <w:color w:val="auto"/>
        </w:rPr>
      </w:pPr>
    </w:p>
    <w:tbl>
      <w:tblPr>
        <w:tblLayout w:type="fixed"/>
        <w:tblInd w:w="24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2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USA Technologies, Inc.</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320" w:type="dxa"/>
            <w:vAlign w:val="bottom"/>
            <w:gridSpan w:val="6"/>
          </w:tcPr>
          <w:p>
            <w:pPr>
              <w:jc w:val="center"/>
              <w:ind w:left="350"/>
              <w:spacing w:after="0"/>
              <w:rPr>
                <w:sz w:val="20"/>
                <w:szCs w:val="20"/>
                <w:color w:val="auto"/>
              </w:rPr>
            </w:pPr>
            <w:r>
              <w:rPr>
                <w:rFonts w:ascii="Arial" w:cs="Arial" w:eastAsia="Arial" w:hAnsi="Arial"/>
                <w:sz w:val="18"/>
                <w:szCs w:val="18"/>
                <w:color w:val="auto"/>
                <w:w w:val="90"/>
              </w:rPr>
              <w:t>(Exact name of registrant as specified in its charter)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Pennsylvania</w:t>
            </w:r>
          </w:p>
        </w:tc>
        <w:tc>
          <w:tcPr>
            <w:tcW w:w="432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23-2679963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20" w:type="dxa"/>
            <w:vAlign w:val="bottom"/>
            <w:gridSpan w:val="10"/>
          </w:tcPr>
          <w:p>
            <w:pPr>
              <w:jc w:val="center"/>
              <w:ind w:right="22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200" w:type="dxa"/>
            <w:vAlign w:val="bottom"/>
            <w:gridSpan w:val="5"/>
          </w:tcPr>
          <w:p>
            <w:pPr>
              <w:jc w:val="center"/>
              <w:ind w:right="34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1"/>
        </w:trPr>
        <w:tc>
          <w:tcPr>
            <w:tcW w:w="7420" w:type="dxa"/>
            <w:vAlign w:val="bottom"/>
            <w:gridSpan w:val="10"/>
          </w:tcPr>
          <w:p>
            <w:pPr>
              <w:jc w:val="center"/>
              <w:ind w:right="2400"/>
              <w:spacing w:after="0"/>
              <w:rPr>
                <w:sz w:val="20"/>
                <w:szCs w:val="20"/>
                <w:color w:val="auto"/>
              </w:rPr>
            </w:pPr>
            <w:r>
              <w:rPr>
                <w:rFonts w:ascii="Arial" w:cs="Arial" w:eastAsia="Arial" w:hAnsi="Arial"/>
                <w:sz w:val="18"/>
                <w:szCs w:val="18"/>
                <w:color w:val="auto"/>
                <w:w w:val="91"/>
              </w:rPr>
              <w:t>100 Deerfield Lane, Suite 140, Malvern, Pennsylvania</w:t>
            </w:r>
          </w:p>
        </w:tc>
        <w:tc>
          <w:tcPr>
            <w:tcW w:w="170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19355</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Borders>
              <w:top w:val="single" w:sz="8" w:color="auto"/>
            </w:tcBorders>
          </w:tcPr>
          <w:p>
            <w:pPr>
              <w:spacing w:after="0"/>
              <w:rPr>
                <w:sz w:val="20"/>
                <w:szCs w:val="20"/>
                <w:color w:val="auto"/>
              </w:rPr>
            </w:pPr>
          </w:p>
        </w:tc>
        <w:tc>
          <w:tcPr>
            <w:tcW w:w="4000" w:type="dxa"/>
            <w:vAlign w:val="bottom"/>
            <w:tcBorders>
              <w:top w:val="single" w:sz="8" w:color="auto"/>
            </w:tcBorders>
            <w:gridSpan w:val="6"/>
          </w:tcPr>
          <w:p>
            <w:pPr>
              <w:jc w:val="center"/>
              <w:ind w:right="1020"/>
              <w:spacing w:after="0"/>
              <w:rPr>
                <w:sz w:val="20"/>
                <w:szCs w:val="20"/>
                <w:color w:val="auto"/>
              </w:rPr>
            </w:pPr>
            <w:r>
              <w:rPr>
                <w:rFonts w:ascii="Arial" w:cs="Arial" w:eastAsia="Arial" w:hAnsi="Arial"/>
                <w:sz w:val="18"/>
                <w:szCs w:val="18"/>
                <w:color w:val="auto"/>
                <w:w w:val="92"/>
              </w:rPr>
              <w:t>(Address of principal executive offices)</w:t>
            </w:r>
          </w:p>
        </w:tc>
        <w:tc>
          <w:tcPr>
            <w:tcW w:w="1020" w:type="dxa"/>
            <w:vAlign w:val="bottom"/>
          </w:tcPr>
          <w:p>
            <w:pPr>
              <w:spacing w:after="0"/>
              <w:rPr>
                <w:sz w:val="20"/>
                <w:szCs w:val="20"/>
                <w:color w:val="auto"/>
              </w:rPr>
            </w:pPr>
          </w:p>
        </w:tc>
        <w:tc>
          <w:tcPr>
            <w:tcW w:w="1380" w:type="dxa"/>
            <w:vAlign w:val="bottom"/>
            <w:gridSpan w:val="2"/>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7"/>
              </w:rPr>
              <w:t>(Zip Code)</w:t>
            </w:r>
          </w:p>
        </w:tc>
        <w:tc>
          <w:tcPr>
            <w:tcW w:w="15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6040" w:type="dxa"/>
            <w:vAlign w:val="bottom"/>
            <w:gridSpan w:val="8"/>
          </w:tcPr>
          <w:p>
            <w:pPr>
              <w:jc w:val="center"/>
              <w:ind w:left="4830"/>
              <w:spacing w:after="0"/>
              <w:rPr>
                <w:sz w:val="20"/>
                <w:szCs w:val="20"/>
                <w:color w:val="auto"/>
              </w:rPr>
            </w:pPr>
            <w:r>
              <w:rPr>
                <w:rFonts w:ascii="Arial" w:cs="Arial" w:eastAsia="Arial" w:hAnsi="Arial"/>
                <w:sz w:val="18"/>
                <w:szCs w:val="18"/>
                <w:color w:val="auto"/>
                <w:w w:val="90"/>
              </w:rPr>
              <w:t>(610) 989-0340</w:t>
            </w:r>
          </w:p>
        </w:tc>
        <w:tc>
          <w:tcPr>
            <w:tcW w:w="1380" w:type="dxa"/>
            <w:vAlign w:val="bottom"/>
            <w:gridSpan w:val="2"/>
            <w:vMerge w:val="restart"/>
          </w:tcPr>
          <w:p>
            <w:pPr>
              <w:spacing w:after="0"/>
              <w:rPr>
                <w:sz w:val="20"/>
                <w:szCs w:val="20"/>
                <w:color w:val="auto"/>
              </w:rPr>
            </w:pPr>
            <w:r>
              <w:rPr>
                <w:rFonts w:ascii="Arial" w:cs="Arial" w:eastAsia="Arial" w:hAnsi="Arial"/>
                <w:sz w:val="18"/>
                <w:szCs w:val="18"/>
                <w:color w:val="auto"/>
                <w:w w:val="83"/>
              </w:rPr>
              <w:t>including area code)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color w:val="auto"/>
                <w:w w:val="96"/>
              </w:rPr>
              <w:t>(Registrant’s telephone number,</w:t>
            </w:r>
          </w:p>
        </w:tc>
        <w:tc>
          <w:tcPr>
            <w:tcW w:w="1380" w:type="dxa"/>
            <w:vAlign w:val="bottom"/>
            <w:gridSpan w:val="2"/>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520" w:type="dxa"/>
            <w:vAlign w:val="bottom"/>
            <w:gridSpan w:val="11"/>
          </w:tcPr>
          <w:p>
            <w:pPr>
              <w:jc w:val="center"/>
              <w:ind w:right="278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4"/>
                <w:szCs w:val="24"/>
                <w:color w:val="auto"/>
              </w:rPr>
            </w:pPr>
          </w:p>
        </w:tc>
        <w:tc>
          <w:tcPr>
            <w:tcW w:w="6400" w:type="dxa"/>
            <w:vAlign w:val="bottom"/>
            <w:gridSpan w:val="9"/>
          </w:tcPr>
          <w:p>
            <w:pPr>
              <w:ind w:left="140"/>
              <w:spacing w:after="0"/>
              <w:rPr>
                <w:sz w:val="20"/>
                <w:szCs w:val="20"/>
                <w:color w:val="auto"/>
              </w:rPr>
            </w:pPr>
            <w:r>
              <w:rPr>
                <w:rFonts w:ascii="Arial" w:cs="Arial" w:eastAsia="Arial" w:hAnsi="Arial"/>
                <w:sz w:val="18"/>
                <w:szCs w:val="18"/>
                <w:color w:val="auto"/>
              </w:rPr>
              <w:t>Title of Each</w:t>
            </w:r>
          </w:p>
        </w:tc>
        <w:tc>
          <w:tcPr>
            <w:tcW w:w="3200" w:type="dxa"/>
            <w:vAlign w:val="bottom"/>
            <w:gridSpan w:val="5"/>
          </w:tcPr>
          <w:p>
            <w:pPr>
              <w:ind w:left="40"/>
              <w:spacing w:after="0"/>
              <w:rPr>
                <w:sz w:val="20"/>
                <w:szCs w:val="20"/>
                <w:color w:val="auto"/>
              </w:rPr>
            </w:pPr>
            <w:r>
              <w:rPr>
                <w:rFonts w:ascii="Arial" w:cs="Arial" w:eastAsia="Arial" w:hAnsi="Arial"/>
                <w:sz w:val="18"/>
                <w:szCs w:val="18"/>
                <w:color w:val="auto"/>
              </w:rPr>
              <w:t>Name Of Each Exchange On Which</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12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Class</w:t>
            </w:r>
          </w:p>
        </w:tc>
        <w:tc>
          <w:tcPr>
            <w:tcW w:w="4680" w:type="dxa"/>
            <w:vAlign w:val="bottom"/>
            <w:gridSpan w:val="6"/>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1380"/>
              <w:spacing w:after="0"/>
              <w:rPr>
                <w:sz w:val="20"/>
                <w:szCs w:val="20"/>
                <w:color w:val="auto"/>
              </w:rPr>
            </w:pPr>
            <w:r>
              <w:rPr>
                <w:rFonts w:ascii="Arial" w:cs="Arial" w:eastAsia="Arial" w:hAnsi="Arial"/>
                <w:sz w:val="18"/>
                <w:szCs w:val="18"/>
                <w:color w:val="auto"/>
                <w:w w:val="89"/>
              </w:rPr>
              <w:t>Registered</w:t>
            </w:r>
          </w:p>
        </w:tc>
        <w:tc>
          <w:tcPr>
            <w:tcW w:w="0" w:type="dxa"/>
            <w:vAlign w:val="bottom"/>
          </w:tcPr>
          <w:p>
            <w:pPr>
              <w:spacing w:after="0"/>
              <w:rPr>
                <w:sz w:val="1"/>
                <w:szCs w:val="1"/>
                <w:color w:val="auto"/>
              </w:rPr>
            </w:pPr>
          </w:p>
        </w:tc>
      </w:tr>
      <w:tr>
        <w:trPr>
          <w:trHeight w:val="204"/>
        </w:trPr>
        <w:tc>
          <w:tcPr>
            <w:tcW w:w="2280" w:type="dxa"/>
            <w:vAlign w:val="bottom"/>
            <w:gridSpan w:val="3"/>
          </w:tcPr>
          <w:p>
            <w:pPr>
              <w:ind w:left="580"/>
              <w:spacing w:after="0" w:line="204" w:lineRule="exact"/>
              <w:rPr>
                <w:sz w:val="20"/>
                <w:szCs w:val="20"/>
                <w:color w:val="auto"/>
              </w:rPr>
            </w:pPr>
            <w:r>
              <w:rPr>
                <w:rFonts w:ascii="Arial" w:cs="Arial" w:eastAsia="Arial" w:hAnsi="Arial"/>
                <w:sz w:val="18"/>
                <w:szCs w:val="18"/>
                <w:color w:val="auto"/>
                <w:w w:val="91"/>
              </w:rPr>
              <w:t>Common Stock, no par</w:t>
            </w:r>
          </w:p>
        </w:tc>
        <w:tc>
          <w:tcPr>
            <w:tcW w:w="4680" w:type="dxa"/>
            <w:vAlign w:val="bottom"/>
            <w:gridSpan w:val="6"/>
          </w:tcPr>
          <w:p>
            <w:pPr>
              <w:ind w:left="20"/>
              <w:spacing w:after="0" w:line="203" w:lineRule="exact"/>
              <w:rPr>
                <w:sz w:val="20"/>
                <w:szCs w:val="20"/>
                <w:color w:val="auto"/>
              </w:rPr>
            </w:pPr>
            <w:r>
              <w:rPr>
                <w:rFonts w:ascii="Arial" w:cs="Arial" w:eastAsia="Arial" w:hAnsi="Arial"/>
                <w:sz w:val="18"/>
                <w:szCs w:val="18"/>
                <w:color w:val="auto"/>
              </w:rPr>
              <w:t>value</w:t>
            </w:r>
          </w:p>
        </w:tc>
        <w:tc>
          <w:tcPr>
            <w:tcW w:w="460" w:type="dxa"/>
            <w:vAlign w:val="bottom"/>
          </w:tcPr>
          <w:p>
            <w:pPr>
              <w:spacing w:after="0"/>
              <w:rPr>
                <w:sz w:val="17"/>
                <w:szCs w:val="17"/>
                <w:color w:val="auto"/>
              </w:rPr>
            </w:pPr>
          </w:p>
        </w:tc>
        <w:tc>
          <w:tcPr>
            <w:tcW w:w="3200" w:type="dxa"/>
            <w:vAlign w:val="bottom"/>
            <w:gridSpan w:val="5"/>
          </w:tcPr>
          <w:p>
            <w:pPr>
              <w:jc w:val="center"/>
              <w:ind w:right="360"/>
              <w:spacing w:after="0" w:line="204" w:lineRule="exact"/>
              <w:rPr>
                <w:sz w:val="20"/>
                <w:szCs w:val="20"/>
                <w:color w:val="auto"/>
              </w:rPr>
            </w:pPr>
            <w:r>
              <w:rPr>
                <w:rFonts w:ascii="Arial" w:cs="Arial" w:eastAsia="Arial" w:hAnsi="Arial"/>
                <w:sz w:val="18"/>
                <w:szCs w:val="18"/>
                <w:color w:val="auto"/>
                <w:w w:val="95"/>
              </w:rPr>
              <w:t>The NASDAQ Stock Market LLC</w:t>
            </w:r>
          </w:p>
        </w:tc>
        <w:tc>
          <w:tcPr>
            <w:tcW w:w="0" w:type="dxa"/>
            <w:vAlign w:val="bottom"/>
          </w:tcPr>
          <w:p>
            <w:pPr>
              <w:spacing w:after="0"/>
              <w:rPr>
                <w:sz w:val="1"/>
                <w:szCs w:val="1"/>
                <w:color w:val="auto"/>
              </w:rPr>
            </w:pPr>
          </w:p>
        </w:tc>
      </w:tr>
    </w:tbl>
    <w:p>
      <w:pPr>
        <w:ind w:left="560"/>
        <w:spacing w:after="0"/>
        <w:rPr>
          <w:sz w:val="20"/>
          <w:szCs w:val="20"/>
          <w:color w:val="auto"/>
        </w:rPr>
      </w:pPr>
      <w:r>
        <w:rPr>
          <w:rFonts w:ascii="Arial" w:cs="Arial" w:eastAsia="Arial" w:hAnsi="Arial"/>
          <w:sz w:val="18"/>
          <w:szCs w:val="18"/>
          <w:color w:val="auto"/>
        </w:rPr>
        <w:t>Series A Convertible Preferred Stock</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p>
      <w:pPr>
        <w:ind w:left="21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x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aggregate market value of the voting common equity securities held by non-affiliates of the Registrant was $106,506,967 as of the last business day of the most recently completed second fiscal quarter, December 31, 2015, based upon the closing price of the Registrant’s Common Stock on that date.</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As of August 25, 2016, there were 38,352,980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38" w:orient="portrait"/>
          <w:cols w:equalWidth="0" w:num="1">
            <w:col w:w="11420"/>
          </w:cols>
          <w:pgMar w:left="240" w:top="783" w:right="2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jc w:val="center"/>
              <w:ind w:right="2920"/>
              <w:spacing w:after="0"/>
              <w:rPr>
                <w:sz w:val="20"/>
                <w:szCs w:val="20"/>
                <w:color w:val="auto"/>
              </w:rPr>
            </w:pPr>
            <w:r>
              <w:rPr>
                <w:rFonts w:ascii="Arial" w:cs="Arial" w:eastAsia="Arial" w:hAnsi="Arial"/>
                <w:sz w:val="18"/>
                <w:szCs w:val="18"/>
                <w:b w:val="1"/>
                <w:bCs w:val="1"/>
                <w:color w:val="auto"/>
              </w:rPr>
              <w:t>USA TECHNOLOGIES, INC.</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gridSpan w:val="8"/>
          </w:tcPr>
          <w:p>
            <w:pPr>
              <w:jc w:val="center"/>
              <w:ind w:right="3400"/>
              <w:spacing w:after="0"/>
              <w:rPr>
                <w:sz w:val="20"/>
                <w:szCs w:val="20"/>
                <w:color w:val="auto"/>
              </w:rPr>
            </w:pPr>
            <w:r>
              <w:rPr>
                <w:rFonts w:ascii="Arial" w:cs="Arial" w:eastAsia="Arial" w:hAnsi="Arial"/>
                <w:sz w:val="18"/>
                <w:szCs w:val="18"/>
                <w:b w:val="1"/>
                <w:bCs w:val="1"/>
                <w:color w:val="auto"/>
                <w:w w:val="99"/>
              </w:rPr>
              <w:t>TABLE OF CONTENTS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2"/>
          </w:tcPr>
          <w:p>
            <w:pPr>
              <w:ind w:left="7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28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w:t>
              </w:r>
            </w:hyperlink>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380" w:type="dxa"/>
            <w:vAlign w:val="bottom"/>
            <w:gridSpan w:val="4"/>
            <w:shd w:val="clear" w:color="auto" w:fill="F0FF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1A.</w:t>
              </w:r>
            </w:hyperlink>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2.</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3.</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4.</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28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w:t>
              </w:r>
            </w:hyperlink>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5.</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Market for Registrant’s Common Equity, Related Stockholder Matters and Issuer Purchases of Equity Securities.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6.</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Selected Financial Data.</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7.</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380" w:type="dxa"/>
            <w:vAlign w:val="bottom"/>
            <w:gridSpan w:val="4"/>
            <w:shd w:val="clear" w:color="auto" w:fill="F0FF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7A.</w:t>
              </w:r>
            </w:hyperlink>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8.</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Financial Statements and Supplementary Data.</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9.</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Changes in and Disagreements With Accountants on Accounting and Financial Disclosure.</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380" w:type="dxa"/>
            <w:vAlign w:val="bottom"/>
            <w:gridSpan w:val="4"/>
            <w:shd w:val="clear" w:color="auto" w:fill="F0FF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9A.</w:t>
              </w:r>
            </w:hyperlink>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Controls and Procedures.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PART III</w:t>
              </w:r>
            </w:hyperlink>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28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Item</w:t>
              </w:r>
            </w:hyperlink>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10.</w:t>
              </w:r>
            </w:hyperlink>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Directors, Executive Officers and Corporate Governance.</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11.</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Executive Compensation.</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98">
              <w:r>
                <w:rPr>
                  <w:rFonts w:ascii="Arial" w:cs="Arial" w:eastAsia="Arial" w:hAnsi="Arial"/>
                  <w:sz w:val="18"/>
                  <w:szCs w:val="18"/>
                  <w:color w:val="0000EE"/>
                  <w:w w:val="95"/>
                </w:rPr>
                <w:t>12.</w:t>
              </w:r>
            </w:hyperlink>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Security Ownership of Certain Beneficial Owners and Management and Related Stockholder Matters.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100">
              <w:r>
                <w:rPr>
                  <w:rFonts w:ascii="Arial" w:cs="Arial" w:eastAsia="Arial" w:hAnsi="Arial"/>
                  <w:sz w:val="18"/>
                  <w:szCs w:val="18"/>
                  <w:color w:val="0000EE"/>
                  <w:w w:val="95"/>
                </w:rPr>
                <w:t>13.</w:t>
              </w:r>
            </w:hyperlink>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Certain Relationships and Related Transactions, and Director Independence.</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101">
              <w:r>
                <w:rPr>
                  <w:rFonts w:ascii="Arial" w:cs="Arial" w:eastAsia="Arial" w:hAnsi="Arial"/>
                  <w:sz w:val="18"/>
                  <w:szCs w:val="18"/>
                  <w:color w:val="0000EE"/>
                  <w:w w:val="95"/>
                </w:rPr>
                <w:t>14.</w:t>
              </w:r>
            </w:hyperlink>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Principal Accounting Fees and Services.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PART IV</w:t>
              </w:r>
            </w:hyperlink>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28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102">
              <w:r>
                <w:rPr>
                  <w:rFonts w:ascii="Arial" w:cs="Arial" w:eastAsia="Arial" w:hAnsi="Arial"/>
                  <w:sz w:val="18"/>
                  <w:szCs w:val="18"/>
                  <w:color w:val="0000EE"/>
                  <w:w w:val="95"/>
                </w:rPr>
                <w:t>15.</w:t>
              </w:r>
            </w:hyperlink>
          </w:p>
        </w:tc>
        <w:tc>
          <w:tcPr>
            <w:tcW w:w="120" w:type="dxa"/>
            <w:vAlign w:val="bottom"/>
            <w:shd w:val="clear" w:color="auto" w:fill="F0FFFF"/>
          </w:tcPr>
          <w:p>
            <w:pPr>
              <w:spacing w:after="0"/>
              <w:rPr>
                <w:sz w:val="17"/>
                <w:szCs w:val="17"/>
                <w:color w:val="auto"/>
              </w:rPr>
            </w:pPr>
          </w:p>
        </w:tc>
        <w:tc>
          <w:tcPr>
            <w:tcW w:w="900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Exhibits, Financial Statement Schedules.</w:t>
              </w:r>
            </w:hyperlink>
          </w:p>
        </w:tc>
        <w:tc>
          <w:tcPr>
            <w:tcW w:w="128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20" w:type="dxa"/>
            <w:vAlign w:val="bottom"/>
            <w:tcBorders>
              <w:top w:val="single" w:sz="8" w:color="F0FFFF"/>
              <w:bottom w:val="single" w:sz="8" w:color="DCDCDC"/>
            </w:tcBorders>
          </w:tcPr>
          <w:p>
            <w:pPr>
              <w:spacing w:after="0"/>
              <w:rPr>
                <w:sz w:val="24"/>
                <w:szCs w:val="24"/>
                <w:color w:val="auto"/>
              </w:rPr>
            </w:pPr>
          </w:p>
        </w:tc>
        <w:tc>
          <w:tcPr>
            <w:tcW w:w="260" w:type="dxa"/>
            <w:vAlign w:val="bottom"/>
            <w:tcBorders>
              <w:top w:val="single" w:sz="8" w:color="F0FFFF"/>
              <w:bottom w:val="single" w:sz="8" w:color="DCDCDC"/>
            </w:tcBorders>
          </w:tcPr>
          <w:p>
            <w:pPr>
              <w:spacing w:after="0"/>
              <w:rPr>
                <w:sz w:val="24"/>
                <w:szCs w:val="24"/>
                <w:color w:val="auto"/>
              </w:rPr>
            </w:pPr>
          </w:p>
        </w:tc>
        <w:tc>
          <w:tcPr>
            <w:tcW w:w="60" w:type="dxa"/>
            <w:vAlign w:val="bottom"/>
            <w:tcBorders>
              <w:top w:val="single" w:sz="8" w:color="F0FFFF"/>
              <w:bottom w:val="single" w:sz="8" w:color="DCDCDC"/>
            </w:tcBorders>
          </w:tcPr>
          <w:p>
            <w:pPr>
              <w:spacing w:after="0"/>
              <w:rPr>
                <w:sz w:val="24"/>
                <w:szCs w:val="24"/>
                <w:color w:val="auto"/>
              </w:rPr>
            </w:pPr>
          </w:p>
        </w:tc>
        <w:tc>
          <w:tcPr>
            <w:tcW w:w="60" w:type="dxa"/>
            <w:vAlign w:val="bottom"/>
            <w:tcBorders>
              <w:top w:val="single" w:sz="8" w:color="F0FFFF"/>
              <w:bottom w:val="single" w:sz="8" w:color="DCDCDC"/>
            </w:tcBorders>
          </w:tcPr>
          <w:p>
            <w:pPr>
              <w:spacing w:after="0"/>
              <w:rPr>
                <w:sz w:val="24"/>
                <w:szCs w:val="24"/>
                <w:color w:val="auto"/>
              </w:rPr>
            </w:pPr>
          </w:p>
        </w:tc>
        <w:tc>
          <w:tcPr>
            <w:tcW w:w="20" w:type="dxa"/>
            <w:vAlign w:val="bottom"/>
            <w:tcBorders>
              <w:top w:val="single" w:sz="8" w:color="F0FFFF"/>
              <w:bottom w:val="single" w:sz="8" w:color="DCDCDC"/>
            </w:tcBorders>
          </w:tcPr>
          <w:p>
            <w:pPr>
              <w:spacing w:after="0"/>
              <w:rPr>
                <w:sz w:val="24"/>
                <w:szCs w:val="24"/>
                <w:color w:val="auto"/>
              </w:rPr>
            </w:pPr>
          </w:p>
        </w:tc>
        <w:tc>
          <w:tcPr>
            <w:tcW w:w="20" w:type="dxa"/>
            <w:vAlign w:val="bottom"/>
            <w:tcBorders>
              <w:top w:val="single" w:sz="8" w:color="F0FFFF"/>
              <w:bottom w:val="single" w:sz="8" w:color="DCDCDC"/>
            </w:tcBorders>
          </w:tcPr>
          <w:p>
            <w:pPr>
              <w:spacing w:after="0"/>
              <w:rPr>
                <w:sz w:val="24"/>
                <w:szCs w:val="24"/>
                <w:color w:val="auto"/>
              </w:rPr>
            </w:pPr>
          </w:p>
        </w:tc>
        <w:tc>
          <w:tcPr>
            <w:tcW w:w="140" w:type="dxa"/>
            <w:vAlign w:val="bottom"/>
            <w:tcBorders>
              <w:top w:val="single" w:sz="8" w:color="0000EE"/>
              <w:bottom w:val="single" w:sz="8" w:color="DCDCDC"/>
            </w:tcBorders>
          </w:tcPr>
          <w:p>
            <w:pPr>
              <w:spacing w:after="0"/>
              <w:rPr>
                <w:sz w:val="24"/>
                <w:szCs w:val="24"/>
                <w:color w:val="auto"/>
              </w:rPr>
            </w:pPr>
          </w:p>
        </w:tc>
        <w:tc>
          <w:tcPr>
            <w:tcW w:w="80" w:type="dxa"/>
            <w:vAlign w:val="bottom"/>
            <w:tcBorders>
              <w:top w:val="single" w:sz="8" w:color="0000EE"/>
              <w:bottom w:val="single" w:sz="8" w:color="DCDCDC"/>
            </w:tcBorders>
          </w:tcPr>
          <w:p>
            <w:pPr>
              <w:spacing w:after="0"/>
              <w:rPr>
                <w:sz w:val="24"/>
                <w:szCs w:val="24"/>
                <w:color w:val="auto"/>
              </w:rPr>
            </w:pPr>
          </w:p>
        </w:tc>
        <w:tc>
          <w:tcPr>
            <w:tcW w:w="4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2940" w:type="dxa"/>
            <w:vAlign w:val="bottom"/>
            <w:tcBorders>
              <w:top w:val="single" w:sz="8" w:color="0000EE"/>
              <w:bottom w:val="single" w:sz="8" w:color="DCDCDC"/>
            </w:tcBorders>
            <w:gridSpan w:val="9"/>
          </w:tcPr>
          <w:p>
            <w:pPr>
              <w:spacing w:after="0"/>
              <w:rPr>
                <w:sz w:val="24"/>
                <w:szCs w:val="24"/>
                <w:color w:val="auto"/>
              </w:rPr>
            </w:pPr>
          </w:p>
        </w:tc>
        <w:tc>
          <w:tcPr>
            <w:tcW w:w="2560" w:type="dxa"/>
            <w:vAlign w:val="bottom"/>
            <w:tcBorders>
              <w:top w:val="single" w:sz="8" w:color="F0FFFF"/>
              <w:bottom w:val="single" w:sz="8" w:color="DCDCDC"/>
            </w:tcBorders>
            <w:gridSpan w:val="4"/>
          </w:tcPr>
          <w:p>
            <w:pPr>
              <w:jc w:val="center"/>
              <w:ind w:left="390"/>
              <w:spacing w:after="0"/>
              <w:rPr>
                <w:sz w:val="20"/>
                <w:szCs w:val="20"/>
                <w:color w:val="auto"/>
              </w:rPr>
            </w:pPr>
            <w:r>
              <w:rPr>
                <w:rFonts w:ascii="Arial" w:cs="Arial" w:eastAsia="Arial" w:hAnsi="Arial"/>
                <w:sz w:val="18"/>
                <w:szCs w:val="18"/>
                <w:color w:val="auto"/>
                <w:w w:val="79"/>
              </w:rPr>
              <w:t>2</w:t>
            </w:r>
          </w:p>
        </w:tc>
        <w:tc>
          <w:tcPr>
            <w:tcW w:w="1000" w:type="dxa"/>
            <w:vAlign w:val="bottom"/>
            <w:tcBorders>
              <w:top w:val="single" w:sz="8" w:color="F0FFFF"/>
              <w:bottom w:val="single" w:sz="8" w:color="DCDCDC"/>
            </w:tcBorders>
          </w:tcPr>
          <w:p>
            <w:pPr>
              <w:spacing w:after="0"/>
              <w:rPr>
                <w:sz w:val="24"/>
                <w:szCs w:val="24"/>
                <w:color w:val="auto"/>
              </w:rPr>
            </w:pPr>
          </w:p>
        </w:tc>
        <w:tc>
          <w:tcPr>
            <w:tcW w:w="60" w:type="dxa"/>
            <w:vAlign w:val="bottom"/>
            <w:tcBorders>
              <w:top w:val="single" w:sz="8" w:color="F0FFFF"/>
              <w:bottom w:val="single" w:sz="8" w:color="DCDCDC"/>
            </w:tcBorders>
          </w:tcPr>
          <w:p>
            <w:pPr>
              <w:spacing w:after="0"/>
              <w:rPr>
                <w:sz w:val="24"/>
                <w:szCs w:val="24"/>
                <w:color w:val="auto"/>
              </w:rPr>
            </w:pPr>
          </w:p>
        </w:tc>
        <w:tc>
          <w:tcPr>
            <w:tcW w:w="780" w:type="dxa"/>
            <w:vAlign w:val="bottom"/>
            <w:tcBorders>
              <w:top w:val="single" w:sz="8" w:color="F0FFFF"/>
              <w:bottom w:val="single" w:sz="8" w:color="DCDCDC"/>
            </w:tcBorders>
          </w:tcPr>
          <w:p>
            <w:pPr>
              <w:spacing w:after="0"/>
              <w:rPr>
                <w:sz w:val="24"/>
                <w:szCs w:val="24"/>
                <w:color w:val="auto"/>
              </w:rPr>
            </w:pPr>
          </w:p>
        </w:tc>
        <w:tc>
          <w:tcPr>
            <w:tcW w:w="780" w:type="dxa"/>
            <w:vAlign w:val="bottom"/>
            <w:tcBorders>
              <w:top w:val="single" w:sz="8" w:color="F0FFFF"/>
              <w:bottom w:val="single" w:sz="8" w:color="DCDCDC"/>
            </w:tcBorders>
          </w:tcPr>
          <w:p>
            <w:pPr>
              <w:spacing w:after="0"/>
              <w:rPr>
                <w:sz w:val="24"/>
                <w:szCs w:val="24"/>
                <w:color w:val="auto"/>
              </w:rPr>
            </w:pPr>
          </w:p>
        </w:tc>
        <w:tc>
          <w:tcPr>
            <w:tcW w:w="760" w:type="dxa"/>
            <w:vAlign w:val="bottom"/>
            <w:tcBorders>
              <w:top w:val="single" w:sz="8" w:color="F0FFFF"/>
              <w:bottom w:val="single" w:sz="8" w:color="DCDCDC"/>
            </w:tcBorders>
          </w:tcPr>
          <w:p>
            <w:pPr>
              <w:spacing w:after="0"/>
              <w:rPr>
                <w:sz w:val="24"/>
                <w:szCs w:val="24"/>
                <w:color w:val="auto"/>
              </w:rPr>
            </w:pPr>
          </w:p>
        </w:tc>
        <w:tc>
          <w:tcPr>
            <w:tcW w:w="1280" w:type="dxa"/>
            <w:vAlign w:val="bottom"/>
            <w:tcBorders>
              <w:top w:val="single" w:sz="8" w:color="F0FFFF"/>
              <w:bottom w:val="single" w:sz="8" w:color="DCDCD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Form 10-K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in the “Risk Factors” section of this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10-K speaks only as of the date of this Form 10-K. Unless required by law, we undertake no obligation to publicly revise any forward-looking statement to reflect circumstances or events after the date of this Form 10-K or to reflect the occurrence of unanticipated events.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the majority of our revenues from license and transaction fees resulting from connections to, as well as services provided by, our ePort Connect service. Connections to our service stem from the sale or lease of our POS electronic payment devices or certified payment software or the servicing of similar third-party installed POS terminals. The majority of ePort Connect customers pay a monthly fee plus a blended transaction rate on the transaction dollar volume processed by the Company. Connections to the ePort Connect service, therefore, are the most significant driver of the Company’s revenues, particularly revenues from license and transaction fees.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June 30, 2016, the Company had approximately 429,000 connections to its ePort Connect service, compared to approximately 333,000 connections as of June 30, 2015, representing a 29% increase. During the fiscal year ended June 30, 2016, the Company processed approximately 316 million cashless transactions totaling approximately $584 million in transaction dollars, representing a 46% increase in transaction volume and a 50% increase in dollars processed from the 217 million cashless transactions totaling approximately $389 million during the previous fiscal year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946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above charts show the increases over the last five fiscal years in the number of connections, revenues and the dollar value of transactions handled by us. The vertical bars depict total revenues, segmented by license and transaction fees and equipment revenues. The solid lines depict the number of connections to our ePort Connect service and the dollar value of transactions handled by us, as of the end of each of the last five fiscal years.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solutions and services have been designed to simplify the transition to cashless for traditionally cash-only based businesses. As such, they are turn-key and include our comprehensive ePort Connect service and POS electronic payment devices or certified payment software, which are able to process traditional magnetic stripe credit and debit cards, contactless credit and debit cards and mobile payments. Standard services through ePort Connect are maintained on our proprietary operating systems and include merchant account setup on behalf of the customer, automatic processing and settlement, sales reporting and 24x7 customer support. Other value-added services that customers can choose from include things such as cashless deployment planning, cashless performance review and loyalty products and services. Our solutions also provide flexibility to execute a variety of payment applications on a single system, transaction security, connectivity options, compliance with certification standards, and centralized, accurate, real-time sales and inventory data to manage distributed assets (wireless telemetry and M2M). The ePort® Interactive, which was unveiled in April 2016, is a cloud-based interactive media and content delivery management system and enables delivery of nutritional information, remote refunds, loyalty programs, and multimedia-marketing campaigns for the unattended and self-serve retail markets.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customers range from global food service organizations to small businesses that operate primarily in the self-serve, small ticket retail markets including beverage and food vending, amusement and arcade machines, smartphones via our ePort Online solution, commercial laundry, tolls, and various other self-serve kiosk applications as well as equipment developers or manufacturers who incorporate our ePort Connect service into their product offerings.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that we have a history of being a market leader in cashless payments with a recognized brand name, a value-added proposition for our customers and a reputation of innovation in our product and services. We believe that these attributes position us to capitalize on industry trends.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56"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In January 2016, the Company acquired the cloud-based content delivery platform, device platform and products, customer base, and intellectual property of VendScreen, Inc. of Portland, Oregon. In addition to new technology and services, the acquisition has added a West Coast operational footprint for the Company, providing greater efficiencies in operational performance, expanded customer services, sales and technical support to the Company’s customer base. As a result of the acquisition, the Company has added to its product line an interactive media, content delivery system, including a vending application that provides enhanced vendor management system (VMS) integration and consumer product information, including nutritional data. The technology is NFC enabled and compatible with mobile wallets including Apple Pay and Android Pay, and supports instant refunds, couponing, advertising and real-time consumer feedback to the owner and operator.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INDUSTRY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primarily in the small ticket electronic payments industry and, more specifically, the unattended POS market. We also have the ability to accept cashless payment “on the go” through mobile-based payment services, which are generally higher ticket transactions. Our solutions and services facilitate electronic payments in industries that have traditionally relied on cash transactions. We believe the following industry trends are driving growth in demand for electronic payment systems in general and more specifically within the markets we serve:</w:t>
      </w:r>
    </w:p>
    <w:p>
      <w:pPr>
        <w:spacing w:after="0" w:line="187" w:lineRule="exact"/>
        <w:rPr>
          <w:sz w:val="20"/>
          <w:szCs w:val="20"/>
          <w:color w:val="auto"/>
        </w:rPr>
      </w:pPr>
    </w:p>
    <w:p>
      <w:pPr>
        <w:ind w:left="1380" w:hanging="683"/>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Ongoing shift toward electronic payment transactions and away from cash and checks;</w:t>
      </w:r>
    </w:p>
    <w:p>
      <w:pPr>
        <w:spacing w:after="0" w:line="225" w:lineRule="exact"/>
        <w:rPr>
          <w:rFonts w:ascii="Arial" w:cs="Arial" w:eastAsia="Arial" w:hAnsi="Arial"/>
          <w:sz w:val="18"/>
          <w:szCs w:val="18"/>
          <w:color w:val="auto"/>
        </w:rPr>
      </w:pPr>
    </w:p>
    <w:p>
      <w:pPr>
        <w:ind w:left="1380" w:hanging="683"/>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demand for electronic transaction functionality from both consumers and merchant/operators; and</w:t>
      </w:r>
    </w:p>
    <w:p>
      <w:pPr>
        <w:spacing w:after="0" w:line="225" w:lineRule="exact"/>
        <w:rPr>
          <w:rFonts w:ascii="Arial" w:cs="Arial" w:eastAsia="Arial" w:hAnsi="Arial"/>
          <w:sz w:val="18"/>
          <w:szCs w:val="18"/>
          <w:color w:val="auto"/>
        </w:rPr>
      </w:pPr>
    </w:p>
    <w:p>
      <w:pPr>
        <w:ind w:left="1380" w:hanging="683"/>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Improving POS technology and NFC equipped mobile phone payment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toward electronic payment transactions and away from cash and checks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has been an ongoing shift away from paper-based methods of payment, including cash and checks, towards electronic-based methods of payment. According to The Nilson Report, December 2015, paper-based methods of payment continued to decline in 2014, representing 28.07% of transaction dollars measured compared to 30.61% in 2013. The four card-based systems—credit, debit, prepaid, and electronic benefits transfer—generated $5.29 trillion in the United States in 2014, 57.34% of transaction dollars measured, compared to 42.3% in 2006. The Nilson Report projects that, by 2019, spending at merchants in the U.S. from the four card-based systems will grow to 67.03% of total transaction dollars measured.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Consumer and Merchant/Operator Demand for Electronic Payments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Increase in Consumer Demand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unattended, vending and kiosk POS market has historically been dominated by cash purchases. However, oftentimes,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purchases at unattended POS locations represent a cumbersome transaction for the consumer because they do not have the correct monetary value (paper or coin), or the consumer does not have the ability to convert their bills into coins. We believe electronic payment system providers such as USA Technologies that can meet consumers’ demand within the unattended market will be able to offer retailers, card associations, card issuers and payment processors and business owners an expanding value proposition at the POS.</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Increase in Merchant/Operator Demand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increasingly, merchants and operators of unattended payment locations (e.g., vending machines,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laundry, tabletop games, etc.) are utilizing electronic payment alternatives as a means to improve business results. The Company works with its customers to help them drive increased revenue of their distributed assets through this expanded market opportunity. In addition, electronic payment systems can provide merchants and operators real-time sales and inventory data utilized for back-office reporting and forecasting, like USA Technologies’ solutions and services, helping them to manage their business more efficiently.</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Increase in Demand for Networked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M2M (machine-to-machine) technology includes capturing value from wireless modules and electronic devices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improve business productivity and customer service. The term M2M describes any kind of 2-way communication system between geographically distributed devices through a centrally managed software application without human intervention and as such, the Company’s integrated POS and ePort Connect remote data management capabilities fall into this category of solution. In addition, networked assets can provide valuable information regarding consumers’ purchasing patterns and payment preferences, allowing operators to more effectively tailor their offerings to consumers. Gartner, Inc. forecasts that 6.4 billion connected things will be in use worldwide in 2016, with 5.5 million new things getting connected every day, and will reach 20.8 billion by 2020. The Company believes that its expertise in integrating cashless payments, its scalable network data capacity, its proven ability to handle high transaction volume, and its high quality and reliable data management capabilities make it well suited for the growing opportunities in the M2M market.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POS Technology and NFC Equipped Mobile Phone Payment Improvements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Consumer Interest in Mobile Payment. </w:t>
      </w:r>
      <w:r>
        <w:rPr>
          <w:rFonts w:ascii="Arial" w:cs="Arial" w:eastAsia="Arial" w:hAnsi="Arial"/>
          <w:sz w:val="18"/>
          <w:szCs w:val="18"/>
          <w:color w:val="auto"/>
        </w:rPr>
        <w:t>NFC, or Near Field Communication, is a short range wireless connectivity technology that uses electromagnetic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radio fields to enable communication between devices when there is a physical touch, or when they are within close proximity to one another. We believe that POS contactless terminals that are enabled to accept NFC payments and digital wallet applications, such as Google Wallet, Chase Pay, Apple Pay, the recently introduced Android Pay, and others, stand to benefit from these evolving trends in mobile payment. Digital wallet is essentially a digital service, accessed via the web or a mobile phone application that serves as a substitute for the traditional credit or debit card. Providers can also market directly to targeted consumers with coupons and loyalty programs.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over 70% of the Company’s connections contactless enabled to accept NFC payments (in addition to magnetic stripe cards) as of June 30, 2016, we believe that we are well-positioned to benefit from this emerging space.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TECHNOLOGY-BASED SOLUTION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solutions have been designed to be turnkey and include the ePort Connect service, POS electronic payment devices, certified payment software able to process traditional magnetic stripe credit and debit cards, contactless credit and debit cards, and NFC equipped mobile phones that allow consumers to make payments with their cell phones. We believe that our ability to bundle our products and services, as well as the ability to tailor and customize them to individual customer needs, makes it easy and efficient for our customers to adopt and deploy our technology, and results in a service unmatched in the small-ticket, unattended retail market today.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Product</w:t>
      </w:r>
      <w:r>
        <w:rPr>
          <w:rFonts w:ascii="Arial" w:cs="Arial" w:eastAsia="Arial" w:hAnsi="Arial"/>
          <w:sz w:val="18"/>
          <w:szCs w:val="18"/>
          <w:color w:val="auto"/>
        </w:rPr>
        <w:t>. The Company offers its customers several different devices or software to connect their distributed assets. These range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QuickConnect™ Web service, more fully described below under the section “OUR PRODUCTS”, and encrypted magnetic stripe card readers to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hardware that can be attached to the door of a stand-alone terminal.</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The Network</w:t>
      </w:r>
      <w:r>
        <w:rPr>
          <w:rFonts w:ascii="Arial" w:cs="Arial" w:eastAsia="Arial" w:hAnsi="Arial"/>
          <w:sz w:val="16"/>
          <w:szCs w:val="16"/>
          <w:color w:val="auto"/>
        </w:rPr>
        <w:t>. Our network is designed to transmit payment information from our customers’ terminals for processing and sales and diagnostic data for</w:t>
      </w:r>
      <w:r>
        <w:rPr>
          <w:rFonts w:ascii="Arial" w:cs="Arial" w:eastAsia="Arial" w:hAnsi="Arial"/>
          <w:sz w:val="16"/>
          <w:szCs w:val="16"/>
          <w:i w:val="1"/>
          <w:iCs w:val="1"/>
          <w:color w:val="auto"/>
        </w:rPr>
        <w:t xml:space="preserve"> </w:t>
      </w:r>
      <w:r>
        <w:rPr>
          <w:rFonts w:ascii="Arial" w:cs="Arial" w:eastAsia="Arial" w:hAnsi="Arial"/>
          <w:sz w:val="16"/>
          <w:szCs w:val="16"/>
          <w:color w:val="auto"/>
        </w:rPr>
        <w:t>storage and reporting to our customers. Also, the network, through server-based software applications, provides remote management information, and enables control of the networked device’s functionality. Through our network we have the ability to upload software and update devices remotely enabling us to manage the devices easily and efficiently (e.g., change protocol functionality, provide software upgrades, and change terminal display messages).</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The Connectivity Mediums. </w:t>
      </w:r>
      <w:r>
        <w:rPr>
          <w:rFonts w:ascii="Arial" w:cs="Arial" w:eastAsia="Arial" w:hAnsi="Arial"/>
          <w:sz w:val="16"/>
          <w:szCs w:val="16"/>
          <w:color w:val="auto"/>
        </w:rPr>
        <w:t>The client devices (described above) are interconnected for the transfer of our customers’ data through our ePort Connect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that provides multiple connectivity options such as phone line, ethernet, and wireless. Increased wireless connectivity options, coverage and reliability have allowed us to service a greater number of geographically dispersed customer locations. Additionally, we make it easy for our customers to deploy wireless solutions by acting as a single point of contact. We have contracted with Verizon Wireless in order to supply our customers with wireless network coverage.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Data Security. </w:t>
      </w:r>
      <w:r>
        <w:rPr>
          <w:rFonts w:ascii="Arial" w:cs="Arial" w:eastAsia="Arial" w:hAnsi="Arial"/>
          <w:sz w:val="17"/>
          <w:szCs w:val="17"/>
          <w:color w:val="auto"/>
        </w:rPr>
        <w:t>We are listed on the VISA Global Registry of Service Providers, meaning that VISA has reviewed and accepted the Report on Compliance</w:t>
      </w:r>
      <w:r>
        <w:rPr>
          <w:rFonts w:ascii="Arial" w:cs="Arial" w:eastAsia="Arial" w:hAnsi="Arial"/>
          <w:sz w:val="17"/>
          <w:szCs w:val="17"/>
          <w:i w:val="1"/>
          <w:iCs w:val="1"/>
          <w:color w:val="auto"/>
        </w:rPr>
        <w:t xml:space="preserve"> </w:t>
      </w:r>
      <w:r>
        <w:rPr>
          <w:rFonts w:ascii="Arial" w:cs="Arial" w:eastAsia="Arial" w:hAnsi="Arial"/>
          <w:sz w:val="17"/>
          <w:szCs w:val="17"/>
          <w:color w:val="auto"/>
        </w:rPr>
        <w:t>(RoC) from our authorized Payment Card Industry (“PCI”) assessor as a PCI DSS Service Provider. Our entry on this registry is renewed annually, and our current entry is valid through January 31, 2017. The VISA listing can be found online at http://www.visa.com/splisting/searchGrsp.do.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fiscal year ended June 30, 2016, license and transaction fees generated by our ePort Connect service represented 73% of the Company’s revenues. Our ePort Connect solution provides customers with all of the following services, under one cohesive service umbrella:</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Diverse POS options. Ability to connect to a broad product line of cashless acceptance devices or software.</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Card Processing Services. Through our existing relationships with card processors and card associations, we provide merchant account and terminal ID set up, pre-negotiated discounted fees on small ticket purchases, and direct electronic funds transfers (EFTs) to our customers’ bank accounts for all settled card transactions as well as ensure compliance with current processing guidelines.</w:t>
      </w:r>
    </w:p>
    <w:p>
      <w:pPr>
        <w:spacing w:after="0" w:line="165"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Wireless Connectivity. We manage wireless account activations, distributions, and relationships with wireless providers for our customers, if needed.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Customer/Consumer Services. We support our installed base by providing 24-hour help desk support, repairs, and replacement of impaired system solutions. In addition, all inbound billing inquiries are handled through a 24-hour help desk, thereby eliminating the need for our customers to deal with consumer billing inquiries and potential chargebacks.</w:t>
      </w:r>
    </w:p>
    <w:p>
      <w:pPr>
        <w:spacing w:after="0" w:line="181"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Online Sales Reporting. Via the USALive online reporting system, we provide customers with a host of sales and operational data, including information regarding their credit and cash transactions, user configuration, reporting by machine and region, by date range and transaction type, data reports for operations and finance, graphical reporting of sales, and condition monitoring for equipment service, as well as activation of new devices and redeployments.</w:t>
      </w:r>
    </w:p>
    <w:p>
      <w:pPr>
        <w:spacing w:after="0" w:line="186" w:lineRule="exact"/>
        <w:rPr>
          <w:rFonts w:ascii="Arial" w:cs="Arial" w:eastAsia="Arial" w:hAnsi="Arial"/>
          <w:sz w:val="18"/>
          <w:szCs w:val="18"/>
          <w:color w:val="auto"/>
        </w:rPr>
      </w:pPr>
    </w:p>
    <w:p>
      <w:pPr>
        <w:jc w:val="both"/>
        <w:ind w:left="980" w:hanging="324"/>
        <w:spacing w:after="0" w:line="27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M2M Telemetry and DEX data transfer. DEX, an acronym for digital exchange, is the Vending Industry’s standard way to communicate information such as sales, cash in bill validators, coins in coin boxes, sales of units by selection, pricing, door openings, and much more. USA Technologies is able to remotely transfer and push DEX data to customers’ route management systems through its DEX partner program. USA Technologies operates within the VDI (Vending Data Interchange) standards established by NAMA (National Automatic Merchandising Association) and sends DEX files compatible with most major remote management software systems.</w:t>
      </w:r>
    </w:p>
    <w:p>
      <w:pPr>
        <w:spacing w:after="0" w:line="17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Over-the-Air Update Capabilities. Automatic over-the-air updates to software, settings, and features from our network to our ePort card reader keep our customers’ hardware up-to-date and enable customers to benefit from any advancement made after their hardware or software purchase.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Value-added Services. Access to additional services such as </w:t>
      </w:r>
      <w:r>
        <w:rPr>
          <w:rFonts w:ascii="Arial" w:cs="Arial" w:eastAsia="Arial" w:hAnsi="Arial"/>
          <w:sz w:val="18"/>
          <w:szCs w:val="18"/>
          <w:b w:val="1"/>
          <w:bCs w:val="1"/>
          <w:i w:val="1"/>
          <w:iCs w:val="1"/>
          <w:color w:val="auto"/>
        </w:rPr>
        <w:t>MORE</w:t>
      </w:r>
      <w:r>
        <w:rPr>
          <w:rFonts w:ascii="Arial" w:cs="Arial" w:eastAsia="Arial" w:hAnsi="Arial"/>
          <w:sz w:val="18"/>
          <w:szCs w:val="18"/>
          <w:color w:val="auto"/>
        </w:rPr>
        <w:t>, our loyalty program, two-tier pricing, special promotions such as our nationwide Apple Pay mobile payment for vending customers, as well as a menu of hardware purchasing options including JumpStart, our terminal-included service option and hardware leasing options through third parties.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Deployment Planning. Access to services to help operators successfully deploy cashless payment systems and integrated solutions that is based on our extensive market and customer experience data.</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Premium Services. USAT offers Premium Services to support our customers that fully leverages the Company’s industry expertise and access to data. These services include planning, project management, installation support, marketing and performance evaluation.</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enter into an ePort Connect Services Agreement, our processing and licensing agreement, with our customers pursuant to which we act as a provider of cashless financial services for the customer’s distributed assets, and the customer agrees to pay us an activation fee, monthly service fees, and transaction processing fees. Our agreements are generally cancelable by the customer upon thirty to sixty days’ notice to us from the time of shipment. It typically takes thirty to sixty days for a new connection to begin contributing to the Company’s license and transaction fee revenues.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(if applicable), and is obligated to pay monthly service fees and lease payments (if applicable) in accordance with the terms of the customer’s contract with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ePort is the Company’s core device, which is currently being utilized in self-service, unattended markets such as vending, amusement and arcade, and various other kiosk applications. Our ePort product facilitates cashless payments by capturing payment information and transmitting it to our network for authorization with the payment system (e.g., credit card processors). Additional capabilities of our ePort consist of control/access management by authorized users, collection of audit information (e.g., date and time of sale and sales amount), diagnostic information of the host equipment, and transmission of this data back to our network for web-based reporting, or to a compatible remote management system. Our ePort products are available in several distinctive modular configurations, and as hardware, software or as an API Web service, offering our customers flexibility to install a POS solution that best fits their needs and consumer demands.</w:t>
      </w:r>
    </w:p>
    <w:p>
      <w:pPr>
        <w:spacing w:after="0" w:line="189"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ePort Edge™ is a one-piece design and is intended for those customers who require a magnetic swipe-only cashless system with basic features at a lower price point.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980" w:hanging="324"/>
        <w:spacing w:after="0" w:line="25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ePort G-8 is a two-piece design that supports traditional magnetic stripe credit/debit cards and contactless cards. The ePort G8 telemeter is also available as a stand-alone DEX telemetry solution.</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ePort G-9 has been designed to offer all the features of the G-8 plus additional new features that support expanded acceptance options, consumer engagement offerings and advanced diagnostics.</w:t>
      </w: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ePort Interactive is a cloud-based interactive media and content delivery management system, enabling delivery of nutritional information, remote refunds, loyalty programs, and multimedia-marketing for the unattended and self-serve retail markets.</w:t>
      </w:r>
    </w:p>
    <w:p>
      <w:pPr>
        <w:jc w:val="both"/>
        <w:ind w:left="98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QuickConnect is a Web service that allows a client application to securely interface with the Company’s ePort Connect service. QuickConnect essentially replaces ePort SDK (software development kit), which captured our ePort technology in software form for PC-based devices such as kiosks.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Other forms of our ePort technology include:</w:t>
      </w:r>
    </w:p>
    <w:p>
      <w:pPr>
        <w:spacing w:after="0" w:line="225" w:lineRule="exact"/>
        <w:rPr>
          <w:sz w:val="20"/>
          <w:szCs w:val="20"/>
          <w:color w:val="auto"/>
        </w:rPr>
      </w:pPr>
    </w:p>
    <w:p>
      <w:pPr>
        <w:jc w:val="both"/>
        <w:ind w:left="980" w:hanging="324"/>
        <w:spacing w:after="0" w:line="269"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eSuds, our solution developed for the commercial laundry industry that enables laundry operators to provide customers cashless transactions via the use of their credit cards, debit cards and other payment mediums such as student IDs. Effective with the April 2013 mutually exclusive agreement with Setomatic Systems, we are no longer selling the entire eSuds solution to new customers, but we continue to provide processing services for laundry machines equipped with cashless hardware supplied by Setomatic Systems.</w:t>
      </w:r>
    </w:p>
    <w:p>
      <w:pPr>
        <w:spacing w:after="0" w:line="2" w:lineRule="exact"/>
        <w:rPr>
          <w:rFonts w:ascii="Arial" w:cs="Arial" w:eastAsia="Arial" w:hAnsi="Arial"/>
          <w:sz w:val="17"/>
          <w:szCs w:val="17"/>
          <w:color w:val="auto"/>
        </w:rPr>
      </w:pPr>
    </w:p>
    <w:p>
      <w:pPr>
        <w:ind w:left="980" w:hanging="324"/>
        <w:spacing w:after="0" w:line="26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ePort Online, enables customers to use USALive to securely process cards typically held on on file for the purpose of online billing and recurring charges. ePort Online Online helps USAT’s customers reduce paper invoicing and collections.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MARKETS WE SERVE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current customers are primarily in the self-serve, small ticket retail markets including beverage and food vending and kiosk, commercial laundry, car wash, tolls, amusement and gaming, and office coffee. While these industry sectors represent only a small fraction of our total market potential, as described below, these are the areas where we have gained the most traction to date. In addition to being our current primary markets, we believe these sectors serve as a proof-of-concept for other unattended POS industry applications.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Vending. </w:t>
      </w:r>
      <w:r>
        <w:rPr>
          <w:rFonts w:ascii="Arial" w:cs="Arial" w:eastAsia="Arial" w:hAnsi="Arial"/>
          <w:sz w:val="18"/>
          <w:szCs w:val="18"/>
          <w:color w:val="auto"/>
        </w:rPr>
        <w:t>According to Vending Times’ 2014 Census of the Industry, annual U.S. sales in the vending industry sector were estimated to be approximately $43</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2013 transacted by approximately 4.5 million machines. The Company believes these machines represent a significant market opportunity for electronic payment conversion when compared to the Company’s existing ePort Connect service base and the overall low rate of industry adoption to date. For example, in another study conducted by Automatic Merchandiser (State of the Vending Industry, June 2015) that included a representative 5.1 million machines, cashless adoption was estimated at only 11% in 2014, up from 7% in 2012. With the continued shift to electronic payments and the advancement in mobile and POS technology, we believe that the traditional beverage and food vending industry will continue to look to cashless payments and telemetry systems to improve their business results.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Kiosk</w:t>
      </w:r>
      <w:r>
        <w:rPr>
          <w:rFonts w:ascii="Arial" w:cs="Arial" w:eastAsia="Arial" w:hAnsi="Arial"/>
          <w:sz w:val="16"/>
          <w:szCs w:val="16"/>
          <w:color w:val="auto"/>
        </w:rPr>
        <w:t>. According to IHL Consulting Group’s August 2012 North American Self-Service Kiosks Market Study, which defines, for purposes of their study, a</w:t>
      </w:r>
      <w:r>
        <w:rPr>
          <w:rFonts w:ascii="Arial" w:cs="Arial" w:eastAsia="Arial" w:hAnsi="Arial"/>
          <w:sz w:val="16"/>
          <w:szCs w:val="16"/>
          <w:i w:val="1"/>
          <w:iCs w:val="1"/>
          <w:color w:val="auto"/>
        </w:rPr>
        <w:t xml:space="preserve"> </w:t>
      </w:r>
      <w:r>
        <w:rPr>
          <w:rFonts w:ascii="Arial" w:cs="Arial" w:eastAsia="Arial" w:hAnsi="Arial"/>
          <w:sz w:val="16"/>
          <w:szCs w:val="16"/>
          <w:color w:val="auto"/>
        </w:rPr>
        <w:t>kiosk as a self-standing, technology-based, unmanned device deployed across six retail and hospitality environments, approximately $926 billion was going to be transacted through self-service kiosks in 2013, with compound annual growth for the subsequent three years of seven percent (7%). We believe that kiosks are becoming increasingly popular as credit, debit or contactless payment options enable kiosks to sell an increased variety of items. In addition, the study points to the increasing trend toward self-sufficiency, where time is the most important commodity of the consumer. As merchants continue to seek new ways to reach their customers through kiosk applications, we believe the need for a reliable cashless payment provider experienced with machine integration, PCI compliance and cashless payment services designed specifically for the unattended market will be of increasing value in this market. Our existing kiosk customers integrate with our cashless payment services via our QuickConnect Web service using one of our encrypted readers or ePort POS technologies.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Laundry</w:t>
      </w:r>
      <w:r>
        <w:rPr>
          <w:rFonts w:ascii="Arial" w:cs="Arial" w:eastAsia="Arial" w:hAnsi="Arial"/>
          <w:sz w:val="18"/>
          <w:szCs w:val="18"/>
          <w:color w:val="auto"/>
        </w:rPr>
        <w:t>. Our primary targets in laundry consist of the coin-operated commercial laundry and multi-housing laundry markets. According to the Coin Laundry</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the U.S. commercial laundry industry was comprised of about 35,000 coin laundries in the U.S. in 2015 that our partner, Setomatic Systems, estimated translates to roughly 2.5 million commercial washers and dryers. The Coin Laundry Association estimated gross annual revenue in the laundromat market at nearly $5 billion annually.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Mobile Merchant. </w:t>
      </w:r>
      <w:r>
        <w:rPr>
          <w:rFonts w:ascii="Arial" w:cs="Arial" w:eastAsia="Arial" w:hAnsi="Arial"/>
          <w:sz w:val="18"/>
          <w:szCs w:val="18"/>
          <w:color w:val="auto"/>
        </w:rPr>
        <w:t>New mobile-based payment acceptance technology has made a transformational impact on an entire base of merchants that previously had</w:t>
      </w:r>
      <w:r>
        <w:rPr>
          <w:rFonts w:ascii="Arial" w:cs="Arial" w:eastAsia="Arial" w:hAnsi="Arial"/>
          <w:sz w:val="18"/>
          <w:szCs w:val="18"/>
          <w:i w:val="1"/>
          <w:iCs w:val="1"/>
          <w:color w:val="auto"/>
        </w:rPr>
        <w:t xml:space="preserve"> </w:t>
      </w:r>
      <w:r>
        <w:rPr>
          <w:rFonts w:ascii="Arial" w:cs="Arial" w:eastAsia="Arial" w:hAnsi="Arial"/>
          <w:sz w:val="18"/>
          <w:szCs w:val="18"/>
          <w:color w:val="auto"/>
        </w:rPr>
        <w:t>almost no access to electronic-based payments. Goldman Sachs (Equity Research Report, June 19, 2012) sees the arrival of mobile technology at the micro/small merchant level addressing an estimated 13 million U.S.-based micro merchants that are likely to benefit from the ability to accept electronic payment from mobile devices. The Company believes that its mobile-based acceptance product and existing turnkey service platform align well with the market’s need for integrated, mobile payment solutions.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benefit from a number of advantages gained through our nearly twenty-five year history in our industry. They include:</w:t>
      </w:r>
    </w:p>
    <w:p>
      <w:pPr>
        <w:spacing w:after="0" w:line="225" w:lineRule="exact"/>
        <w:rPr>
          <w:sz w:val="20"/>
          <w:szCs w:val="20"/>
          <w:color w:val="auto"/>
        </w:rPr>
      </w:pPr>
    </w:p>
    <w:p>
      <w:pPr>
        <w:jc w:val="both"/>
        <w:ind w:left="340" w:hanging="332"/>
        <w:spacing w:after="0" w:line="255"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One-Stop Shop, End-to-End Solution. </w:t>
      </w:r>
      <w:r>
        <w:rPr>
          <w:rFonts w:ascii="Arial" w:cs="Arial" w:eastAsia="Arial" w:hAnsi="Arial"/>
          <w:sz w:val="18"/>
          <w:szCs w:val="18"/>
          <w:color w:val="auto"/>
        </w:rPr>
        <w:t>We believe that our ability to offer our customers one point of contact through a bundled cashless payment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makes it easy and efficient for our customers to adopt and deploy our electronic payment solutions and results in a service that is unmatched in the small ticket, self-service retail market today. To our knowledge, other cashless payment solutions available in the market today require the operator to set up their own accounts for cashless processing and manage multiple service providers (i.e., hardware terminal manufacturer, wireless network provider, and/or credit card processor). We interface directly with our card processor and wireless service provider, and, with our hardware solutions, are able to offer a bundled solution to our customers.</w:t>
      </w:r>
    </w:p>
    <w:p>
      <w:pPr>
        <w:spacing w:after="0" w:line="193"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Trusted Brand Name. </w:t>
      </w:r>
      <w:r>
        <w:rPr>
          <w:rFonts w:ascii="Arial" w:cs="Arial" w:eastAsia="Arial" w:hAnsi="Arial"/>
          <w:sz w:val="17"/>
          <w:szCs w:val="17"/>
          <w:color w:val="auto"/>
        </w:rPr>
        <w:t>We believe that the ePort has a strong national reputation for quality, reliability, and innovation. We believe that card associations,</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processors, and merchants/operators trust our system solutions and services to handle financial transactions in a secure operating environment. Our trusted brand name is best exemplified by our high level of customer retention, numerous exclusive three-year agreements with customers for use of our ePort Connect service. We have agreements with partners like Visa, MasterCard, Chase Paymentech and Verizon Wireless as well as several one-way exclusive relationships which we have solidified with leading organizations within the unattended POS industry, including Setomatic Systems, AMI Entertainment Network, Inc., Innovative Foto, and Air-Serv.</w:t>
      </w:r>
    </w:p>
    <w:p>
      <w:pPr>
        <w:spacing w:after="0" w:line="178" w:lineRule="exact"/>
        <w:rPr>
          <w:rFonts w:ascii="Arial" w:cs="Arial" w:eastAsia="Arial" w:hAnsi="Arial"/>
          <w:sz w:val="17"/>
          <w:szCs w:val="17"/>
          <w:color w:val="auto"/>
        </w:rPr>
      </w:pPr>
    </w:p>
    <w:p>
      <w:pPr>
        <w:jc w:val="both"/>
        <w:ind w:left="340" w:hanging="332"/>
        <w:spacing w:after="0" w:line="255"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Market Leadership. </w:t>
      </w:r>
      <w:r>
        <w:rPr>
          <w:rFonts w:ascii="Arial" w:cs="Arial" w:eastAsia="Arial" w:hAnsi="Arial"/>
          <w:sz w:val="18"/>
          <w:szCs w:val="18"/>
          <w:color w:val="auto"/>
        </w:rPr>
        <w:t>We believe we have the largest installed based of Unattended POS electronic payment systems in the unattended small ticket retail</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for food and beverage and we are continuing to expand to other adjacent markets such as laundry, amusement, and gaming and kiosks. As of June 30, 2016, we had approximately 429,000 connections to our network. Our installed base supports our sales and marketing initiatives by enhancing our ability to establish or expand our market position. In addition, this data in combination with our industry experts and analysis enables us to offer Premium Services to our customers to help them deploy and better leverage our technology in their locations. We believe our installed base also provides multiple opportunities for referrals for new business, either from the merchant or operator of the deployed asset or through one of our several strategic partnerships.</w:t>
      </w:r>
    </w:p>
    <w:p>
      <w:pPr>
        <w:spacing w:after="0" w:line="189" w:lineRule="exact"/>
        <w:rPr>
          <w:rFonts w:ascii="Arial" w:cs="Arial" w:eastAsia="Arial" w:hAnsi="Arial"/>
          <w:sz w:val="18"/>
          <w:szCs w:val="18"/>
          <w:color w:val="auto"/>
        </w:rPr>
      </w:pPr>
    </w:p>
    <w:p>
      <w:pPr>
        <w:jc w:val="both"/>
        <w:ind w:left="340" w:hanging="332"/>
        <w:spacing w:after="0" w:line="270"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Attractive Value Proposition for Our Customers</w:t>
      </w:r>
      <w:r>
        <w:rPr>
          <w:rFonts w:ascii="Arial" w:cs="Arial" w:eastAsia="Arial" w:hAnsi="Arial"/>
          <w:sz w:val="17"/>
          <w:szCs w:val="17"/>
          <w:color w:val="auto"/>
        </w:rPr>
        <w:t>. We believe that our solutions provide our customers an attractive value proposition. Our solutions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make possible increased purchases by consumers who in the past were limited to the physical cash on hand while making a purchase at an unattended terminal, thereby increasing the universe of potential customers and the size of the purchases of those customers. In addition, value-added offerings and services such as Two-Tier Pricing, which allows the operator to charge different amounts for the same product depending upon whether the consumer chooses to pay by cash or credit/debit, and M2M telemetry provide operators with the ability to pursue additional opportunities to reduce costs and improve operating efficiencies. Lastly, new consumer engagement services further extend the potential for customers to build new revenue opportunities, customer loyalty and brand distinction. One of such services is provided through the ePort Interactive platform, our cloud-based interactive media and content delivery management system, which enables delivery of nutritional information, remote refunds, loyalty programs, and multimedia-marketing campaigns for the unattended and self-serve retail markets.</w:t>
      </w:r>
    </w:p>
    <w:p>
      <w:pPr>
        <w:spacing w:after="0" w:line="181"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Increasing Scale and Financial Stability. </w:t>
      </w:r>
      <w:r>
        <w:rPr>
          <w:rFonts w:ascii="Arial" w:cs="Arial" w:eastAsia="Arial" w:hAnsi="Arial"/>
          <w:sz w:val="18"/>
          <w:szCs w:val="18"/>
          <w:color w:val="auto"/>
        </w:rPr>
        <w:t>Due to the continued growth in connections to the Company’s ePort Connect service, during the 2016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73% of the Company’s revenues were from licensing and processing fees which are recurring in nature. We believe that this growing scale provides us improved financial stability and the footprint to market and distribute our products and services more effectively and in more markets than most of our competitors.</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Customer-Focused Research and Development. </w:t>
      </w:r>
      <w:r>
        <w:rPr>
          <w:rFonts w:ascii="Arial" w:cs="Arial" w:eastAsia="Arial" w:hAnsi="Arial"/>
          <w:sz w:val="18"/>
          <w:szCs w:val="18"/>
          <w:color w:val="auto"/>
        </w:rPr>
        <w:t>Our research and development initiatives focus primarily on adding features and functionality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payment solutions based on customer input and emerging market trends. As of June 30, 2016, we had 78 patents (US and International) in force, and 4 United States and 7 international patent applications pending. We have generated considerable intellectual property and know-how associated with creating a seamless, end-to-end experience for our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OPPORTUNITY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objective is to continue to enhance our position as a leading provider of technology that enables electronic payment transactions and value-added services primarily at small-ticket, self-service retail locations such as vending, kiosks, commercial laundry, and other similar markets. The Company believes its service-approach business model can create a high-margin stream of recurring revenues that could create a foundation for long-term value and continued growth. Key elements of our strategy are 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Drive Growth in Connections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Leverage Existing Customers/Partners. </w:t>
      </w:r>
      <w:r>
        <w:rPr>
          <w:rFonts w:ascii="Arial" w:cs="Arial" w:eastAsia="Arial" w:hAnsi="Arial"/>
          <w:sz w:val="17"/>
          <w:szCs w:val="17"/>
          <w:color w:val="auto"/>
        </w:rPr>
        <w:t>We have a solid base of key customers across multiple markets, particularly in vending, that have currently deployed</w:t>
      </w:r>
      <w:r>
        <w:rPr>
          <w:rFonts w:ascii="Arial" w:cs="Arial" w:eastAsia="Arial" w:hAnsi="Arial"/>
          <w:sz w:val="17"/>
          <w:szCs w:val="17"/>
          <w:i w:val="1"/>
          <w:iCs w:val="1"/>
          <w:color w:val="auto"/>
        </w:rPr>
        <w:t xml:space="preserve"> </w:t>
      </w:r>
      <w:r>
        <w:rPr>
          <w:rFonts w:ascii="Arial" w:cs="Arial" w:eastAsia="Arial" w:hAnsi="Arial"/>
          <w:sz w:val="17"/>
          <w:szCs w:val="17"/>
          <w:color w:val="auto"/>
        </w:rPr>
        <w:t>our solutions and services to just a small portion of their deployed base. As a result, they are a key component of our plan to drive future sales. We have worked to build these relationships, drive future deployments, and develop customized network interfaces. Our customers have seen the benefits of our products and services first-hand and we believe they represent the largest opportunity to scale connections to our service.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Expand Distribution and Sales Reach. </w:t>
      </w:r>
      <w:r>
        <w:rPr>
          <w:rFonts w:ascii="Arial" w:cs="Arial" w:eastAsia="Arial" w:hAnsi="Arial"/>
          <w:sz w:val="18"/>
          <w:szCs w:val="18"/>
          <w:color w:val="auto"/>
        </w:rPr>
        <w:t>We are intently focused on driving profitable growth through efficient sales channels. Our sales resources and new</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relationships have led to approximately 1,450 new ePort Connect customers as well as increased penetration in markets such as amusement and arcade, and commercial laundry in fiscal year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Further Penetrate Attractive Adjacent Markets. </w:t>
      </w:r>
      <w:r>
        <w:rPr>
          <w:rFonts w:ascii="Arial" w:cs="Arial" w:eastAsia="Arial" w:hAnsi="Arial"/>
          <w:sz w:val="18"/>
          <w:szCs w:val="18"/>
          <w:color w:val="auto"/>
        </w:rPr>
        <w:t>We plan to continue to introduce our turnkey solutions and services to various adjacent markets such as the</w:t>
      </w:r>
      <w:r>
        <w:rPr>
          <w:rFonts w:ascii="Arial" w:cs="Arial" w:eastAsia="Arial" w:hAnsi="Arial"/>
          <w:sz w:val="18"/>
          <w:szCs w:val="18"/>
          <w:i w:val="1"/>
          <w:iCs w:val="1"/>
          <w:color w:val="auto"/>
        </w:rPr>
        <w:t xml:space="preserve"> </w:t>
      </w:r>
      <w:r>
        <w:rPr>
          <w:rFonts w:ascii="Arial" w:cs="Arial" w:eastAsia="Arial" w:hAnsi="Arial"/>
          <w:sz w:val="18"/>
          <w:szCs w:val="18"/>
          <w:color w:val="auto"/>
        </w:rPr>
        <w:t>broad-based kiosk market and other similar markets by leveraging our expertise in cashless payment integration combined with the capacity and uniqueness of our ePort Connect solution.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Capitalize on Opportunities in International Markets</w:t>
      </w:r>
      <w:r>
        <w:rPr>
          <w:rFonts w:ascii="Arial" w:cs="Arial" w:eastAsia="Arial" w:hAnsi="Arial"/>
          <w:sz w:val="17"/>
          <w:szCs w:val="17"/>
          <w:color w:val="auto"/>
        </w:rPr>
        <w:t>. We are currently focused on the U.S. and Canadian markets for our ePort devices and related ePort</w:t>
      </w:r>
      <w:r>
        <w:rPr>
          <w:rFonts w:ascii="Arial" w:cs="Arial" w:eastAsia="Arial" w:hAnsi="Arial"/>
          <w:sz w:val="17"/>
          <w:szCs w:val="17"/>
          <w:i w:val="1"/>
          <w:iCs w:val="1"/>
          <w:color w:val="auto"/>
        </w:rPr>
        <w:t xml:space="preserve"> </w:t>
      </w:r>
      <w:r>
        <w:rPr>
          <w:rFonts w:ascii="Arial" w:cs="Arial" w:eastAsia="Arial" w:hAnsi="Arial"/>
          <w:sz w:val="17"/>
          <w:szCs w:val="17"/>
          <w:color w:val="auto"/>
        </w:rPr>
        <w:t>Connect service but may seek to establish a presence in electronic payment markets in Europe, Asia, and Latin America. In order to do so, however, we would have to invest in additional sales and marketing and research and development resources targeted towards these regions. At this time, the Company believes the most efficient route to these markets will be achieved by optimizing and coordinating opportunities with its global partners and customers. Our energy management devices have been shipped to customers located in North America, Europe, and Asia.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Expanding the Value of our Service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Capitalize on the emerging NFC and growing mobile payments trends. </w:t>
      </w:r>
      <w:r>
        <w:rPr>
          <w:rFonts w:ascii="Arial" w:cs="Arial" w:eastAsia="Arial" w:hAnsi="Arial"/>
          <w:sz w:val="17"/>
          <w:szCs w:val="17"/>
          <w:color w:val="auto"/>
        </w:rPr>
        <w:t>With approximately 78% of our connected base contactless enabled to accept NFC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payments (including mobile wallets), the Company believes that continued increases in consumer preferences towards contactless payments, including mobile wallets like Apple Pay and Android Pay, represent a significant opportunity for the Company to further drive adoption. According to a market research study conducted in June 2015, </w:t>
      </w:r>
      <w:r>
        <w:rPr>
          <w:rFonts w:ascii="Arial" w:cs="Arial" w:eastAsia="Arial" w:hAnsi="Arial"/>
          <w:sz w:val="17"/>
          <w:szCs w:val="17"/>
          <w:color w:val="262626"/>
        </w:rPr>
        <w:t>almost one in six US consumers (15%) had used a mobile wallet in the past six months, up from 9% in the same period in 2013, and</w:t>
      </w:r>
      <w:r>
        <w:rPr>
          <w:rFonts w:ascii="Arial" w:cs="Arial" w:eastAsia="Arial" w:hAnsi="Arial"/>
          <w:sz w:val="17"/>
          <w:szCs w:val="17"/>
          <w:color w:val="auto"/>
        </w:rPr>
        <w:t xml:space="preserve"> </w:t>
      </w:r>
      <w:r>
        <w:rPr>
          <w:rFonts w:ascii="Arial" w:cs="Arial" w:eastAsia="Arial" w:hAnsi="Arial"/>
          <w:sz w:val="17"/>
          <w:szCs w:val="17"/>
          <w:color w:val="262626"/>
        </w:rPr>
        <w:t xml:space="preserve">an additional 22% are likely to adopt mobile wallet functionality in the coming six months (The Future of the Mobile Wallet - </w:t>
      </w:r>
      <w:r>
        <w:rPr>
          <w:rFonts w:ascii="Arial" w:cs="Arial" w:eastAsia="Arial" w:hAnsi="Arial"/>
          <w:sz w:val="17"/>
          <w:szCs w:val="17"/>
          <w:color w:val="000000"/>
        </w:rPr>
        <w:t>Chadwick Martin Bailey</w:t>
      </w:r>
      <w:r>
        <w:rPr>
          <w:rFonts w:ascii="Arial" w:cs="Arial" w:eastAsia="Arial" w:hAnsi="Arial"/>
          <w:sz w:val="17"/>
          <w:szCs w:val="17"/>
          <w:color w:val="262626"/>
        </w:rPr>
        <w:t xml:space="preserve">). As </w:t>
      </w:r>
      <w:r>
        <w:rPr>
          <w:rFonts w:ascii="Arial" w:cs="Arial" w:eastAsia="Arial" w:hAnsi="Arial"/>
          <w:sz w:val="17"/>
          <w:szCs w:val="17"/>
          <w:color w:val="000000"/>
        </w:rPr>
        <w:t>consumers continue to adopt these new methods of cashless payments, it is our belief that adoption will continue to accelerate at a rapid pace and result in more rapid adoption of cashless solutions like USA Technologies’ ePort in the markets that we serve.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Continuous Innovation. </w:t>
      </w:r>
      <w:r>
        <w:rPr>
          <w:rFonts w:ascii="Arial" w:cs="Arial" w:eastAsia="Arial" w:hAnsi="Arial"/>
          <w:sz w:val="18"/>
          <w:szCs w:val="18"/>
          <w:color w:val="auto"/>
        </w:rPr>
        <w:t>We are continuously enhancing our solutions and services in order to satisfy our customers and the end-consumers relying on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at the POS locations. Our product innovation team is always working to enhance the design, size, and speed of data transmission, as well as security and compatibility with other electronic payment solution providers’ technologies. We believe our continued innovation will lead to further adoption of USAT’s solutions and services in the unattended POS payments market.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Comprehensive Service and Support. </w:t>
      </w:r>
      <w:r>
        <w:rPr>
          <w:rFonts w:ascii="Arial" w:cs="Arial" w:eastAsia="Arial" w:hAnsi="Arial"/>
          <w:sz w:val="16"/>
          <w:szCs w:val="16"/>
          <w:color w:val="auto"/>
        </w:rPr>
        <w:t>In addition to its industry-leading ePort cashless payments system, USA Technologies seeks to provide its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comprehensive, value-added ePort Connect service that is designed to encourage optimal ROI through business planning and performance optimization; business metrics through the Company’s KnowledgeBase of data; a loyalty and rewards program for consumer engagement; marketing strategy and executional support; sales data and machine alerts; DEX data transmission; and the ability to extend cashless payments capabilities and the full suite of services across multiple aspects of an operator’s business including micro-markets contract food industry, online payments and mobile payments.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Leverage Intellectual Property</w:t>
      </w:r>
      <w:r>
        <w:rPr>
          <w:rFonts w:ascii="Arial" w:cs="Arial" w:eastAsia="Arial" w:hAnsi="Arial"/>
          <w:sz w:val="18"/>
          <w:szCs w:val="18"/>
          <w:color w:val="auto"/>
        </w:rPr>
        <w:t>. Through June 30, 2016, we have 78 U.S. and foreign patents in force that contain various claims, including claims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processing, networking and energy management devices. In addition, we own numerous trademarks, copyrights, and trade secrets. We will continue to explore ways to leverage this intellectual property in order to add value for our customers, attain an increased share of the market, and generate licensing revenues.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sales strategy includes both direct sales and channel development, depending on the particular dynamics of each of our markets. Our marketing strategy is diversified and includes media relations, direct mail, conferences, and client referrals. As of September 8, 2016, the Company was marketing and selling its products through its full and part-time sales staff consisting of 17 people.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Direct Sales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direct sales efforts are currently primarily focused on the beverage and food vending industry, although we continue to further develop our presence in our ancillary market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Sales/ Distribution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strategy to expand our sales reach while optimizing resources, we also have agreements with select resellers in the car wash, amusement and arcade, and vending markets. We also have a strategic marketing relationship in the commercial laundry market that makes the Company the exclusive service provider to Setomatic Systems’ POS offering, SpyderWash. We have also entered into agreements with resellers and distributors in connection with our energy management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marketing strategy includes advertising and outreach initiatives designed to build brand awareness, make clear USAT’s competitive strengths, and prove the value of our services to our target markets-both for existing and prospective customers. Activities include creating company and product presence on the web including </w:t>
      </w:r>
      <w:r>
        <w:rPr>
          <w:rFonts w:ascii="Arial" w:cs="Arial" w:eastAsia="Arial" w:hAnsi="Arial"/>
          <w:sz w:val="18"/>
          <w:szCs w:val="18"/>
          <w:u w:val="single" w:color="auto"/>
          <w:color w:val="auto"/>
        </w:rPr>
        <w:t>www.usatech.com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www.energymisers.com,</w:t>
      </w:r>
      <w:r>
        <w:rPr>
          <w:rFonts w:ascii="Arial" w:cs="Arial" w:eastAsia="Arial" w:hAnsi="Arial"/>
          <w:sz w:val="18"/>
          <w:szCs w:val="18"/>
          <w:color w:val="auto"/>
        </w:rPr>
        <w:t xml:space="preserve"> digital advertising, SEO (Search Engine Optimization), and social media; the use of direct mail and email campaigns; educational and instructional online training sessions; advertising in vertically-oriented trade publications; participating in industry tradeshows and events; and working closely with customers and key strategic partners on co-marketing opportunities and new, innovative solutions that drive customer and consumer adoption of our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Verizon Wireless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2011, we signed an agreement with Verizon for access to their digital wireless wide area network for the transport of data, including credit card transactions and inventory management data. The initial term of the agreement was three years, which was extended until April 2016. At the end of the term, the agreement automatically renews for successive one month periods unless terminated by either party upon thirty days’ notice.</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21, 2011, the Company and Verizon entered into a Joint Marketing Addendum (the “Verizon Agreement”) which amended the agreement described above. Pursuant to the Verizon Agreement, the Company and Verizon would work together to help identify business opportunities for the Company’s products and services. Verizon may introduce the Company to existing or potential Verizon customers that Verizon believes are potential purchasers of the Company’s products or services, and may attend sales calls with the Company made to these customers. The Company and Verizon would collaborate on marketing and communications materials that would be used by each of them to educate and inform customers regarding their joint marketing work. Verizon has the right to list the Company’s products and services in its Data Solutions Guide for use by its sales and marketing employees and in its external website. The Company has agreed to pay to Verizon a one-time referral fee for each customer introduced to the Company by Verizon that becomes a customer of the Company. The Verizon Marketing Agreement is terminable by either party upon 45 days’ notice.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VISA</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November 14, 2014, we entered into a three-year agreement with Visa U.S.A. Inc. (“Visa”), pursuant to which Visa has agreed to continue to make available to the Company certain promotional interchange reimbursement fees for small ticket debit and credit card transactions. As previously reported, following implementation of the Durbin Amendment, Visa had significantly increased its interchange fees for small ticket regulated debit card transactions effective October 1, 2011. The promotional interchange reimbursement fees provided by the aforementioned agreement will continue until October 31,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MasterCard</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12, 2015, we entered into a three-year MasterCard Acceptance Agreement (“MasterCard Agreement”) with MasterCard International Incorporated ("MasterCard"), pursuant to which MasterCard has agreed to make available to us reduced interchange rates for small ticket debit card transactions in certain merchant category codes. As previously reported, MasterCard had significantly increased its interchange rates for small ticket regulated debit card transactions effective October 1, 2011, and as a result, the Company ceased accepting MasterCard debit card products in mid-November 2011. Pursuant to the MasterCard Agreement, however, the Company is currently accepting MasterCard debit card products for small ticket debit card transactions in the unattended beverage and food vending merchant category code. The Company and MasterCard entered into a first amendment on April 27, 2015, pursuant to which the conditions under, or the transactions to, which the MasterCard custom pricing would be available, was amended. The reduced interchange rates became effective on April 20, 2015.</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Chase Paymentech</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entered into a five-year Third Party Payment Processor Agreement, dated April 24, 2015 with Paymentech, LLC, through its member, JPMorgan Chase Bank, N.A. (“Chase Paymentech”), pursuant to which Chase Paymentech will act as the provider of credit and debit card transaction processing services (including authorization, conveyance and settlement of transactions) to the Company and its customers. The Agreement provides that Chase Paymentech will act as the exclusive provider of transaction processing services to the Company and its customers for at least 250,000,000 transactions per year. The Agreement provides that Chase Paymentech may modify the pricing for its services upon 30-days’ notice, and in connection with certain such increases, the Company has the right to terminate the Agreement upon 120-days’ notice.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Compass/Foodbuy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per its website, Compass Group PLC, a $23 billion organization with locations worldwide, is the leader in vending, food service management and support services, has over 500,000 employees, and is one of the leading owners and operators of vending machines in the United States. Compass is a division of UK-based Compass Group PLC.</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30, 2009, we entered into a Master Purchase Agreement (“MPA”) with Foodbuy, LLC (“Foodbuy”), the procurement company for Compass Group USA, Inc. (“Compass”) and other customers. The MPA provides, among other things that, for a period of thirty-six months, Foodbuy, on behalf of Compass, shall utilize USAT as the sole credit or debit card vending system hardware and related software and connect services provider for not less than seventy-five percent of the vending machines of Compass utilizing cashless payments solutions. The MPA also provides that, for a period of thirty-six months from the effective date of the agreement, USAT shall be a preferred supplier and provider to Foodbuy and its customers, including Compass, of USAT’s products and services. The MPA automatically renews for successive one-year periods unless terminated by either party upon sixty days’ notice prior to the end of any such one year renewal period. In addition, on July 1, 2009, USAT and Compass, in conjunction with the MPA described above, also entered into a three-year ePort Connect Services Agreement pursuant to which USAT will provide Compass with all card processing, data, network, communications and financial services, and DEX telemetry data services required in connection with all Compass vending machines utilizing ePorts. The agreement automatically renews for successive one-year periods unless terminated by either party upon sixty days’ notice prior to the end of any such one-year renewal period. During the fiscal year ended June 30, 2016, Compass represented approximately 20% of our total revenues.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AMI Entertainment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22, 2011, we entered into an exclusive three-year agreement with AMI Entertainment (“AMI”) as their exclusive processor of credit and debit cards and other electronic payments in connection with equipment operated on AMI’s network in the U.S. and Canada. The agreement is subject to renewal for one-year periods thereafter, subject to notice of non-renewal by either party. The agreement renewed for one year in August 2016. AMI manufactures various types of amusement, entertainment and music equipment for sale to third party users.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Setomatic Systems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2013, we entered into an three-year exclusive agreement with Setomatic Systems (“Setomatic”), a privately owned and operated developer and manufacturer of both open and closed loop card payment systems, drop coin meters and electronic timers for the commercial laundry industry. Under the terms of the agreement, the Company, through our ePort Connect® service, will act as the exclusive service provider for all credit/debit card processing for all new customers of Setomatic’s SpyderWash, a credit/debit card acceptance product. Similarly, the Company will market its ePort Connect service in the United States laundry market exclusively through Setomatic. The agreement is subject to renewal for one- year periods after the initial three-year term, subject to notice of non-renewal by either party.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QUICK START PROGRAM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reduce customers’ upfront capital costs associated with the ePort hardware, the Company makes available to its customers the Quick Start program, pursuant to which the customer would enter into a five-year non-cancelable lease with either the Company or a third-party leasing company for the devices. At the end of the lease period, the customer would have the option to purchase the device for a nominal fee.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its introduction in September 2014 and through approximately mid-March 2015, the Company entered into these leases directly with its customers. In the third and fourth quarter of fiscal year 2015, however, the Company signed vendor agreements with two leasing companies, whereby our customers could enter into leases directly with the leasing companies.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has been a shift by our customers from acquiring our product via JumpStart, which accounted for 11% of our gross connections in fiscal year 2015, and for 9% of our gross connections in fiscal year 2016, to QuickStart or a straight purchase, which accounted for approximately 91% of gross connections in fiscal year 2016. The shift to a straight purchase, along with our ability to increase cash collections under QuickStart sales by utilizing leasing companies, has improved cash provided by operating activities.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Due to the success of the QuickStart program as measured by customer utilization of the program and the positive impact on the Company’s cash flows from operating activities when a leasing company is utilized, the Company intends to expand this program by entering into additional vendor agreements with leasing companies and/or expanding its relationship with the two incumbent leasing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 START PROGRAM</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JumpStart Program, customers acquire the ePort cashless device at no upfront cost by paying a higher monthly service fee, avoiding the need to make a major upfront capital investment. The Company would continue to own the ePort device utilized by its customer. At the time of the shipment of the ePort device, the customer is obligated to pay to the Company a one-time activation fee, and is later obligated to pay monthly ePort Connect service fees in accordance with the terms of the customer’s contract with the Company, in addition to transaction processing fees generated from the device. In fiscal year 2016, the Company added approximately 9% of its gross connections through JumpStart.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independent third party companies for the manufacturing of its products. Our internal manufacturing process mainly consists of quality assurance of materials and testing of finished goods received from our contract manufacturers. We have not entered into a long-term contract with our contract manufacturers, nor have we agreed to commit to purchase certain quantities of materials or finished goods from our manufacturers beyond those submitted under routine purchase orders, typically covering short-term forecasts.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leading provider of cashless payments systems for the small-ticket, unattended market and believe we have the largest installed base of unattended POS electronic payment systems in the beverage and food vending industry. Factors that we consider to be our competitive advantages are described above under “OUR COMPETITIVE STRENGTHS.” Our competitors are increasingly and actively marketing products and services that compete with our products and services in the vending space including manufacturers who may include in their new vending machines their own (or another third party’s) cashless payment systems and services. These major competitors include Crane Payment Innovations and Cantaloupe Systems, Inc. While we believe our products and services are superior to our competitors’, many of our competitors are much larger enterprises and have substantially greater revenues. In addition to these competitors, there are also numerous credit card processors that offer card processing services to traditional retail establishments that could decide to offer similar services to the industries that we serve.</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cashless laundry market, our joint solution with Setomatic Systems competes with hardware manufacturers, who provide joint solutions to their customers in partnership with payment processors, and with at least one competitor who provides an integrated hardware and payment processing solution.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PROPRIETARY INFORMATION, AND PATENTS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owns US federal registrations for the following trademarks and service marks: Blue Light Sequence®, Business Express®, CM2iQ®, Creating Value Through Innovation®, EnergyMiser®, ePort®, ePort Connect®, ePort Edge®, ePort GO®, ePort Mobile®, eSuds®, Intelligent Vending®, Public PC®, SnackMiser®, TransAct®, USA Technologies® USALive®, VendingMiser®, PC EXPRESS®, VENDSCREEN® and VM2iQ®. The Company owns pending applications for US federal registration of the following trademarks and service marks: Horizontal Blue Light Sequence™, and MORE.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Much of the technology developed or to be developed by the Company is subject to trade secret protection. To reduce the risk of loss of trade secret protection through disclosure, the Company has entered into confidentiality agreements with its key employees. There can be no assurance that the Company will be successful in maintaining such trade secret protection, that they will be recognized as trade secrets by a court of law, or that others will not capitalize on certain aspects of the Company’s technology.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June 30, 2016, 95 patents have been granted to the Company, including 80 United States patents and 15 foreign patents, and 4 United States and 7 international patent applications are pending. Of the 95 patents, 78 are still in force.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which are included in selling, general and administrative expense in the Consolidated Statements of Operations, were approximately $1.4 million, $1.5 million and $1.0 million for the years ended June 30, 2016,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September 8, 2016, the Company had 71 full-time employees and 4 part-time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since inception and if we continue to incur losses, the price of our shares can be expected to fall.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experienced losses from inception through June 30, 2012, with net income for the years ended June 30, 2013 and June 30, 2014. However, we experienced losses for the fiscal years 2015 and 2016, and continued profitability is not assured. From our inception through June 30, 2016, our cumulative losses from operations are approximately $181 million. Until the Company’s products and services can generate sufficient annual revenues, the Company will be required to use its cash and cash equivalents on hand, its line of credit, and may raise capital to meet its cash flow requirements including the issuance of Common Stock or debt financing. For the years ended June 30, 2016 and 2015, we incurred a net loss of $6.8 million and $1.1 million, respectively. If we continue to incur losses in the future, the price of our common stock can be expected to fall.</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occurrence of material unanticipated expenses may require us to divert our cash resources from achieving our business plan, adversely affecting our financial performance and resulting in the decline of our stock price.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event we would incur any material unanticipated expenses, we may be required to divert our cash resources from our operating activities in order to fund any such expenses. Any such occurrence may cause our anticipated connections, revenues, gross profits, and other financial metrics for the 2017 fiscal year and beyond to be materially adversely affected. In such event, the price of our common stock could be expected to fall.</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of our customers to utilize third party leasing companies under our QuickStart program would materially adversely affect our cash generated from operating activities and/or attaining our business plan.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use of third party leasing companies by our customers under our QuickStart program positively affects our net cash provided by operating activities because we receive the purchase price from the leasing company at the time of the sale. There can be no assurance that we will be able to obtain such third party leasing companies. To the extent that third party leasing companies would not be available, we would lease the equipment directly to our customers. In such event, our net cash from operating activities would be adversely affected and we may be required to incur additional equity or debt financing to fund operations. In the alternative, we would not be able to attain our business plan, including anticipated connections and revenues.</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require additional financing or find it necessary to raise capital to sustain our operations and without it we may not be able to achieve our business plan.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2016, we had net working capital of $4.9 million. We had net cash provided by operating activities of $6.5 million, $(1.7) million and $7.1 million for the fiscal years ended June 30, 2016, 2015 and 2014, respectively. Although we believe that we have adequate existing resources to provide for our funding requirements over the next 12 months, there can be no assurances that we will be able to continue to generate sufficient funds thereafter. Unless we maintain or grow our current level of operations, we may need additional funds to continue these operations. We may also need additional capital to update our technology or respond to unusual or unanticipated non-operational events. Should the financing that we require to sustain our working capital needs be unavailable or prohibitively expensive when we require it, the consequences could be a material adverse effect on our business, operating results, financial condition and prospects.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Our future operating results may fluctuate.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future operating results will depend significantly on our ability to continue to drive revenues from license and transaction fees and our ability to develop and commercialize new products and services. Our operating results may fluctuate based upon many factors, including:</w:t>
      </w:r>
    </w:p>
    <w:p>
      <w:pPr>
        <w:spacing w:after="0" w:line="170"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revenue generated by our business;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operating expenses;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or maintain effective relationships with significant partners and suppliers on acceptable terms;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debit or credit card interchange rates that are charged by Visa and MasterCard;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fees that we charge our customers for processing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successful operation of our network;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commercial success of our customers, which could be affected by such factors as general economic conditions;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product and price competition;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cost of, and our ability to develop and successfully commercialize, new or enhanced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activities of, and acquisitions or announcements by,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from any impairment of inventory, goodwill, fixed assets or intangibles;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any changes of valuation allowance on deferred tax assets;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increase the number of customer connections to our network;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programs which delay realization by us of monthly service fees on our new connections;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breach of security of any of the Company’s systems or third party systems utilized by the Company;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anticipation of and response to technological changes.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fail to gain substantial increased market acceptance. As a result, we may not generate sufficient revenues or profit margins to achieve our financial objectives or growth plans.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assurances that demand for our products will be sufficient to enable us to generate sufficient revenue or become profitable on a sustainable basis. Likewise, no assurance can be given that we will be able to have a sufficient number of ePorts</w:t>
      </w:r>
      <w:r>
        <w:rPr>
          <w:rFonts w:ascii="Arial" w:cs="Arial" w:eastAsia="Arial" w:hAnsi="Arial"/>
          <w:sz w:val="18"/>
          <w:szCs w:val="18"/>
          <w:i w:val="1"/>
          <w:iCs w:val="1"/>
          <w:color w:val="auto"/>
        </w:rPr>
        <w:t>®</w:t>
      </w:r>
      <w:r>
        <w:rPr>
          <w:rFonts w:ascii="Arial" w:cs="Arial" w:eastAsia="Arial" w:hAnsi="Arial"/>
          <w:sz w:val="18"/>
          <w:szCs w:val="18"/>
          <w:color w:val="auto"/>
        </w:rPr>
        <w:t xml:space="preserve"> connected to our network or sell or lease equipment utilizing our network to enough locations to achieve significant revenues. Alternatively, the locations which utilize the network may not be successful locations and our revenues would be adversely affected. We may lose locations utilizing our products to competitors, or may not be able to install our products at competitors’ locations, or may not obtain future locations which would be obtained by our competitors. In addition, there can be no assurance that our products could evolve or be improved to meet the future needs of the marketplace. In any such event, we may not be able to achieve our growth plans, including anticipated connections and revenue growth.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line="347" w:lineRule="auto"/>
        <w:rPr>
          <w:sz w:val="20"/>
          <w:szCs w:val="20"/>
          <w:color w:val="auto"/>
        </w:rPr>
      </w:pPr>
      <w:r>
        <w:rPr>
          <w:rFonts w:ascii="Arial" w:cs="Arial" w:eastAsia="Arial" w:hAnsi="Arial"/>
          <w:sz w:val="16"/>
          <w:szCs w:val="16"/>
          <w:b w:val="1"/>
          <w:bCs w:val="1"/>
          <w:color w:val="auto"/>
        </w:rPr>
        <w:t>We may be required to incur further debt to meet future capital requirements of our business. Should we be required to incur additional debt, the restrictions imposed by the terms of such debt could adversely affect our financial condition and our ability to respond to changes in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If we incur additional debt, we may be subject to the following risks:</w:t>
      </w:r>
    </w:p>
    <w:p>
      <w:pPr>
        <w:spacing w:after="0" w:line="22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vulnerability to adverse economic conditions and competitive pressures may be heightened;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 and industry may be limited;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debt covenants may affect our flexibility in planning for, and reacting to, changes in the economy and in our industry;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high level of debt may place us at a competitive disadvantage compared to our competitors that are less leveraged and therefore, may be able to take advantage of opportunities that our indebtedness would prevent us from pursuing;</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covenants contained in the agreements governing our outstanding indebtedness may limit our ability to borrow additional funds, dispose of assets and make certain investments;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significant portion of our cash flows could be used to service our indebtedness;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sensitive to fluctuations in interest rates if any of our debt obligations are subject to variable interest rates;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our leverage and such restrictions will not materially and adversely affect our ability to finance our future operations or capital needs or to engage in other business activities. In addition, we cannot assure you that additional financing will be available when required or, if available, will be on terms satisfactory to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bank borrowing agreement contains restrictions which may limit our flexibility in operating and growing our business.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bank borrowing agreement contains covenants regarding our maintenance of a minimum quarterly adjusted EBITDA as defined in our loan agreement and certain numbers of connections. Our loan agreement also includes covenants that limit our ability to engage in specified types of transactions, including among other things:</w:t>
      </w:r>
    </w:p>
    <w:p>
      <w:pPr>
        <w:spacing w:after="0" w:line="181"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indebtedness or issue equity;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common stock;</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certain investments (including acquisitions) and distributions;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certain transactions with respect to our affiliates,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enter into business combinations,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other financial and non-financial covenants.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 compliance with these covenants as of June 30, 2016 other than the minimum adjusted EBITDA covenant for the quarter ended June 30, 2016. We have received a waiver from our bank for the covenant default. Failure to be in compliance with these covenants could result in an event of default which, if not cured or waived, could result in the acceleration of all or a portion of our outstanding indebtedness, which would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one or more of our key customers could significantly reduce our revenues, results of operations, and net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derived, and believe we may continue to derive, a significant portion of our revenues from one large customer or a limited number of large customers. Customer concentrations for the years ended June 30, 2016, 2015 and 2014 are as follows: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60" w:type="dxa"/>
            <w:vAlign w:val="bottom"/>
            <w:tcBorders>
              <w:bottom w:val="single" w:sz="8" w:color="F0FF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F0FF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F0FFFF"/>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F0FF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F0FFFF"/>
          </w:tcPr>
          <w:p>
            <w:pPr>
              <w:spacing w:after="0"/>
              <w:rPr>
                <w:sz w:val="20"/>
                <w:szCs w:val="20"/>
                <w:color w:val="auto"/>
              </w:rPr>
            </w:pPr>
            <w:r>
              <w:rPr>
                <w:rFonts w:ascii="Arial" w:cs="Arial" w:eastAsia="Arial" w:hAnsi="Arial"/>
                <w:sz w:val="18"/>
                <w:szCs w:val="18"/>
                <w:color w:val="auto"/>
              </w:rPr>
              <w:t>Trade account and finance receivables - one customer</w:t>
            </w:r>
          </w:p>
        </w:tc>
        <w:tc>
          <w:tcPr>
            <w:tcW w:w="780" w:type="dxa"/>
            <w:vAlign w:val="bottom"/>
            <w:shd w:val="clear" w:color="auto" w:fill="F0FFFF"/>
          </w:tcPr>
          <w:p>
            <w:pPr>
              <w:spacing w:after="0"/>
              <w:rPr>
                <w:sz w:val="18"/>
                <w:szCs w:val="18"/>
                <w:color w:val="auto"/>
              </w:rPr>
            </w:pPr>
          </w:p>
        </w:tc>
        <w:tc>
          <w:tcPr>
            <w:tcW w:w="5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w:t>
            </w:r>
          </w:p>
        </w:tc>
        <w:tc>
          <w:tcPr>
            <w:tcW w:w="780" w:type="dxa"/>
            <w:vAlign w:val="bottom"/>
            <w:shd w:val="clear" w:color="auto" w:fill="F0FFFF"/>
          </w:tcPr>
          <w:p>
            <w:pPr>
              <w:spacing w:after="0"/>
              <w:rPr>
                <w:sz w:val="18"/>
                <w:szCs w:val="18"/>
                <w:color w:val="auto"/>
              </w:rPr>
            </w:pPr>
          </w:p>
        </w:tc>
        <w:tc>
          <w:tcPr>
            <w:tcW w:w="5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35%</w:t>
            </w:r>
          </w:p>
        </w:tc>
        <w:tc>
          <w:tcPr>
            <w:tcW w:w="1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License and transaction processing revenues - one customer</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Equipment sales revenue - one customer</w:t>
            </w:r>
          </w:p>
        </w:tc>
        <w:tc>
          <w:tcPr>
            <w:tcW w:w="5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w:t>
            </w:r>
          </w:p>
        </w:tc>
        <w:tc>
          <w:tcPr>
            <w:tcW w:w="780" w:type="dxa"/>
            <w:vAlign w:val="bottom"/>
            <w:shd w:val="clear" w:color="auto" w:fill="F0FFFF"/>
          </w:tcPr>
          <w:p>
            <w:pPr>
              <w:spacing w:after="0"/>
              <w:rPr>
                <w:sz w:val="18"/>
                <w:szCs w:val="18"/>
                <w:color w:val="auto"/>
              </w:rPr>
            </w:pPr>
          </w:p>
        </w:tc>
        <w:tc>
          <w:tcPr>
            <w:tcW w:w="5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17%</w:t>
            </w:r>
          </w:p>
        </w:tc>
        <w:tc>
          <w:tcPr>
            <w:tcW w:w="1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&lt; 10%</w:t>
            </w: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customers may buy less of our products or services depending on their own technological developments, end-user demand for our products and internal budget cycles. A major customer in one year may not purchase any of our products or services in another year, which may negatively affect our financial performance. If we are required to sell products to any of our large customers at reduced prices or unfavorable terms, our results of operations and revenue could be materially adversely affected. Further, there is no assurance that our customers will continue to utilize our transaction processing and related services as our customer agreements are generally cancelable by the customer on thirty to sixty days’ notice.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69"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We depend on our key personnel and if they would leave us, our business could be adversely affected</w:t>
      </w:r>
      <w:r>
        <w:rPr>
          <w:rFonts w:ascii="Arial" w:cs="Arial" w:eastAsia="Arial" w:hAnsi="Arial"/>
          <w:sz w:val="18"/>
          <w:szCs w:val="18"/>
          <w:color w:val="auto"/>
        </w:rPr>
        <w: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dependent on key management personnel, particularly the Chairman and Chief Executive Officer, Stephen P. Herbert. The loss of services of Mr. Herbert or other officers could dramatically affect our business prospects. Our executive officers and certain of our officers and employees are particularly valuable to us because:</w:t>
      </w:r>
    </w:p>
    <w:p>
      <w:pPr>
        <w:spacing w:after="0" w:line="18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have specialized knowledge about our company and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have specialized skills that are important to our operations;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would be particularly difficult to replace.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entered into an employment agreement with Mr. Herbert, which contains confidentiality and non-compete provisions. The agreement provided for an initial term continuing through January 1, 2013, which is automatically renewed for consecutive one year periods unless terminated by either Mr. Herbert or the Company upon at least 90 days’ notice prior to the end of the initial term or any one-year extension thereof.</w:t>
      </w:r>
    </w:p>
    <w:p>
      <w:pPr>
        <w:spacing w:after="0" w:line="166"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We also may be unable to retain other existing senior management, sales personnel, and development and engineering personnel critical to our ability to execute our business plan, which could result in harm to key customer relationships, loss of key information, expertise or know-how and unanticipated recruitment and training costs.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dependence on proprietary technology and limited ability to protect our intellectual property may adversely affect our ability to compete.</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June 30, 2016, we had 11 pending United States and foreign patent applications, and will consider filing applications for additional patents covering aspects of our future developments, although there can be no assurance that we will do so. In addition, there can be no assurance that we will maintain or prosecute these applications. The United States Government and other countries have granted us 95 patents as of June 30, 2016. There can be no assurance that:</w:t>
      </w:r>
    </w:p>
    <w:p>
      <w:pPr>
        <w:spacing w:after="0" w:line="18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of the remaining patent applications will be granted to us;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develop additional products that are patentable or do not infringe the patents of others;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patents issued to us will provide us with any competitive advantages or adequate protection for our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patents issued to us will not be challenged, invalidated or circumvented by others;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of our products would not infringe the patents of others.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our products or services is found to have infringed any patent, there can be no assurance that we will be able to obtain licenses to continue to manufacture, use, sell, and license such product or service or that we will not have to pay damages and/or be enjoined as a result of such infringement. Even if a patent application is granted for any of our products, there can be no assurance that the patented technology will be a commercial success or result in any profits to us.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we are unable to adequately protect our proprietary technology or fail to enforce or prosecute our patents against others, third parties may be able to compete more effectively against us, which could result in the loss of customers and our business being adversely affected. Patent and proprietary rights litigation entails substantial legal and other costs, and diverts Company resources as well as the attention of our management. There can be no assurance we will have the necessary financial resources to appropriately defend or prosecute our intellectual property rights in connection with any such litigation.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from others could prevent the Company from increasing revenue and achieving its growth plans.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are a leading provider and believe we have the largest installed base of unattended POS electronic payment systems in the small ticket, beverage and food vending industry, our competitors are increasingly and actively marketing products and services that compete with our products and services in this vending space. The competition includes manufacturers who may include in their new vending machines their own (or another third party’s) cashless payment systems and services other than our systems and services. While we believe our products and services are superior to our competitors, many of our competitors are much larger enterprises and have substantially greater revenues. In addition to these competitors, there are also numerous credit card processors that offer card processing services to traditional retail establishments that could decide to offer similar services to the industries that we serve. Competition from other companies, including those that are well established and have substantially greater resources, may reduce our profitability or reduce our business opportunities. Competition may result in lower profit margins on our products or may reduce potential profits or result in a loss of some or all of our customer base. To the extent that our competitors are able to offer more attractive technology, our ability to compete could be adversely affected.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spacing w:after="0" w:line="282" w:lineRule="auto"/>
        <w:rPr>
          <w:sz w:val="20"/>
          <w:szCs w:val="20"/>
          <w:color w:val="auto"/>
        </w:rPr>
      </w:pPr>
      <w:r>
        <w:rPr>
          <w:rFonts w:ascii="Arial" w:cs="Arial" w:eastAsia="Arial" w:hAnsi="Arial"/>
          <w:sz w:val="18"/>
          <w:szCs w:val="18"/>
          <w:b w:val="1"/>
          <w:bCs w:val="1"/>
          <w:color w:val="auto"/>
        </w:rPr>
        <w:t>The termination of any of our relationships with third parties upon whom we rely for supplies and services that are critical to our products could adversely affect our business and delay achievement of our business plan.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depend on arrangements with third parties for a variety of component parts used in our products. We have contracted with various suppliers to assist us to develop and manufacture our ePort® products. For other components, we do not have supply contracts with any of our third-party suppliers and we purchase components as needed from time to time. We have contracted with a third-party data system recovery vendor to host our network in a secure, 24/7 environment to ensure the reliability of our network services. We also have contracted with multiple land-based telecommunications providers to ensure the reliability of our land-based network. If these business relationships are terminated, the implementation of our business plan may be delayed until an alternative supplier or service provider can be retained. If we are unable to find another source or one that is comparable, the content and quality of our products could suffer and our business, operating results and financial condition could be harmed.</w:t>
      </w:r>
    </w:p>
    <w:p>
      <w:pPr>
        <w:spacing w:after="0" w:line="17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A disruption in the manufacturing capabilities of our third-party manufacturers, suppliers or distributors would negatively impact our ability to meet customer requirements.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upon third-party manufacturers, suppliers and distributors to deliver components free from defects, competitive in functionality and cost, and in compliance with our specifications and delivery schedules. Since we generally do not maintain large inventories of our products or components, any termination of, or significant disruption in, our manufacturing capability or our relationship with our third-party manufacturers or suppliers may prevent us from filling customer orders in a timely manner.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occasionally experienced, and may in the future experience, delays in delivery of products and delivery of products of inferior quality from third-party manufacturers. Although alternate manufacturers and suppliers are generally available to produce our products and product components, the number of manufacturers or suppliers of some of our products and components is limited, and a qualified replacement manufacturer or supplier could take several months. In addition, our use of third-party manufacturers reduces our direct control over product quality, manufacturing timing, yields and costs. Disruption of the manufacture or supply of our products and components, or a third-party manufacturer’s or supplier’s failure to remain competitive in functionality, quality or price, could delay or interrupt our ability to manufacture or deliver our products to customers on a timely basis, which would have a material adverse effect on our business and financial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Substantially all of the network service contracts with our customers are terminable for any or no reason upon thirty to sixty days’ advance notice.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our customers may terminate their network service contracts with us for any or no reason upon providing us with thirty or sixty days’ advance notice. Accordingly, consistent demand for and satisfaction with our products by our customers is critical to our financial condition and future success. Problems, defects, or dissatisfaction with our products or services or competition in the marketplace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reliance on our wireless telecommunication service provider exposes us to a number of risks over which we have no control, including risks with respect to increased prices and termination of essential services.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operation of our wireless networked devices depends upon the capacity, reliability and security of services provided to us by our wireless telecommunication services providers, AT&amp;T Mobility and Verizon Wireless. We have no control over the operation, quality or maintenance of these services or whether the vendor will improve its services or continue to provide services that are essential to our business. In addition, subject to our existing contracts with them, our wireless telecommunication services providers may increase their prices, which would increase our costs. If our wireless telecommunication services providers were to cease to provide essential services or to significantly increase prices, we could be required to find alternative vendors for these services. With a limited number of vendors, we could experience significant delays in obtaining new or replacement services, which could lead to slowdowns or failures of our network. In addition, we may have to replace our existing ePort</w:t>
      </w:r>
      <w:r>
        <w:rPr>
          <w:rFonts w:ascii="Arial" w:cs="Arial" w:eastAsia="Arial" w:hAnsi="Arial"/>
          <w:sz w:val="16"/>
          <w:szCs w:val="16"/>
          <w:i w:val="1"/>
          <w:iCs w:val="1"/>
          <w:color w:val="auto"/>
        </w:rPr>
        <w:t>®</w:t>
      </w:r>
      <w:r>
        <w:rPr>
          <w:rFonts w:ascii="Arial" w:cs="Arial" w:eastAsia="Arial" w:hAnsi="Arial"/>
          <w:sz w:val="16"/>
          <w:szCs w:val="16"/>
          <w:color w:val="auto"/>
        </w:rPr>
        <w:t xml:space="preserve"> devices that are already installed in the marketplace and which are utilizing the existing vendor’s services. This could significantly harm our reputation and could cause us to lose customers and revenues.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We may not be able to adapt to changing technology and our customers’ technology needs.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rapidly changing technology and frequent new service offerings that can render existing services obsolete or unmarketable. Our future depends, in part, on our ability to enhance existing services and to develop, introduce and market, on a timely and cost effective basis, new services that keep pace with technological developments and customer requirements. Developing new products and technologies is a complex, uncertain process requiring innovation and accurate anticipation of technological and market trends. When changes to the product line are announced, we will be challenged to manage possible shortened life cycles for existing products and continue to sell existing products. Our inability to respond effectively to any of these challenges may have a material adverse effect on our business and financial success.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is vital to our customers and therefore breaches in the security of transactions involving our products or services could adversely affect our reputation and results of operations.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Protection against fraud is of key importance to purchasers and end-users of our products. We incorporate security features, such as encryption software and secure hardware, into our products to protect against fraud in electronic payment transactions and to ensure the privacy and integrity of consumer data. We design and test our products to industry security standards and our products and methodologies are under periodic review and improvement. We also maintain the highest level PCI validation standard as mandated by the card industry and engage third party auditors not only to ensure that we meet the highest industry standards, but also to advise us on improving our security methods. Nevertheless, our products and services and third party products and services that are utilized by us may be vulnerable to breaches in security due to defects in our security mechanisms, the operating system and applications in our hardware platform. Security vulnerabilities could jeopardize the security of information transmitted or stored using our products. The security of the information in our products is compromised, our reputation and marketplace acceptance of our products will be adversely affected, which would adversely affect our results of operations, and subject us to potential liability. If our security applications are breached and sensitive data is lost or stolen, we could incur significant costs to not only assess and repair any damage to our systems, but also to reimburse customers for losses that occur from the fraudulent use of the data. We may also be subject to fines and penalties from the credit card associations in the event of the loss of confidential card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 may be vulnerable to security breach.</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Credit card issuers have promulgated credit card security guidelines as part of their ongoing efforts to battle identity theft and credit card fraud. We continue to work with credit card issuers to assure that our products and services comply with these rules. There can be no assurances, however, that our products and services or third party products and services utilized by us are invulnerable to unauthorized access or hacking. When there is unauthorized access to credit card data that results in financial loss, there is the potential that parties could seek damages from us, and our business reputation may be materially adversely affected.</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adhere to the standards of the Visa and MasterCard credit card associations, our registrations with these associations could be terminated and we could be required to stop providing payment processing services for Visa and MasterCard.</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Substantially all of the transactions handled by our network involve Visa or MasterCard. If we fail to comply with the applicable requirements of the Visa and MasterCard credit card associations, Visa or MasterCard could suspend or terminate our registration with them. The termination of our registration with them or any changes in the Visa or MasterCard rules that would impair our registration with them could require us to stop providing payment processing services through our network. In such event, our business plan and/or competitive advantages in the market place could be materially adversely affected.</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other card payment processors; if they fail or no longer agree to provide their services, our customer relationships could be adversely affected and we could lose business.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rely on agreements with other large payment processing organizations, primarily Chase Paymentech, to enable us to provide card authorization, data capture, settlement and merchant accounting services and access to various reporting tools for the customers we serve. The termination by our card processing providers of their arrangements with us or their failure to perform their services efficiently and effectively may adversely affect our relationships with the customers whose accounts we serve and may cause those customers to terminate their processing agreements with us.</w:t>
      </w:r>
    </w:p>
    <w:p>
      <w:pPr>
        <w:spacing w:after="0" w:line="16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among other things, subject to banking regulations and credit card association regulations. Failure to comply with these regulations may result in the suspension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both"/>
        <w:spacing w:after="0" w:line="276" w:lineRule="auto"/>
        <w:rPr>
          <w:sz w:val="20"/>
          <w:szCs w:val="20"/>
          <w:color w:val="auto"/>
        </w:rPr>
      </w:pPr>
      <w:r>
        <w:rPr>
          <w:rFonts w:ascii="Arial" w:cs="Arial" w:eastAsia="Arial" w:hAnsi="Arial"/>
          <w:sz w:val="17"/>
          <w:szCs w:val="17"/>
          <w:color w:val="auto"/>
        </w:rPr>
        <w:t>New legislation could be enacted regulating the basis upon which interchange rates are charged for debit or credit card transactions, which could increase the debit or credit card interchange fees charged by bankcard networks. An example of such legislation is the so-called “Durbin Amendment,” to the Dodd Frank Wall Street Reform and Consumer Protection Act of 2010. The Durbin Amendment regulates the basis upon which interchange rates for debit card transactions are made to ensure that interchange rates are “reasonable and proportionate to costs.” Pursuant to regulations that were promulgated by the Federal Reserve, Visa and MasterCard have significantly increased their interchange fees for small ticket debit card transactions.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November 14, 2014, we entered into a three-year agreement with Visa U.S.A. Inc. (“Visa”), pursuant to which Visa has agreed to continue to make available to the Company certain promotional interchange reimbursement fees for small ticket debit and credit card transactions. Similarly, MasterCard International Incorporated ("MasterCard") has agreed to make available to us reduced interchange rates for small ticket debit card transactions pursuant to a three-year MasterCard Acceptance Agreement dated January 12, 2015, as amended by a First Amendment thereto dated April 27, 2015. If the foregoing agreements with Visa and MasterCard are not extended, our financial results would be materially adversely affected unless we are able to pass these significant additional charges to our customers.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Increases in card association and debit network interchange fees could increase our operating costs or otherwise adversely affect our operations. If we do not pass along to our customers any future increases in credit or debit card interchange fees, assessments and transaction fees, our gross profits would be reduced.</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 increases in our processing fees. Passing along such increases could result in some of our customers canceling their contracts with us. Consequently, it is possible that competitive pressures will result in our Company absorbing some or all of the increases in the future, which would increase our operating costs, reduce our gross profit and adversely affect our business.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term of the Visa Agreement, the Company does not anticipate accepting any debit cards with interchange fees that are higher than the rates provided under the Visa Agreement. The Company will continue to accept Visa- and MasterCard- branded debit cards in addition to all major credit cards, including Visa, MasterCard, Discover and American Express at its current processing rates. If the Visa or MasterCard Agreements are not extended, our financial results would be materially adversely affected unless we are able to pass these significant additional charges to our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ability to recruit, retain and develop qualified personnel is critical to the Company’s success and growth.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Company to successfully compete and grow, it must retain, recruit and develop the necessary personnel who can provide the needed expertise required in its business. In addition, the Company must develop its personnel to provide succession plans capable of maintaining continuity in the midst of the inevitable unpredictability of human capital. However, the market for qualified personnel is competitive and the Company may not succeed in recruiting additional personnel or may fail to effectively replace current personnel who depart with qualified or effective successors. The Company’s effort to retain and develop personnel may also result in significant additional expenses. The Company cannot assure that key personnel, including executive officers, will continue to be employed or that it will be able to attract and retain qualified personnel in the future. Failure to retain or attract key personnel could have a material adverse effect on the Company.</w:t>
      </w:r>
    </w:p>
    <w:p>
      <w:pPr>
        <w:spacing w:after="0" w:line="18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incur chargeback liability when our customers refuse or cannot reimburse chargebacks resolved in favor of consumers. Any increase in chargebacks not paid by our customers may adversely affect our results of operations, financial condition and cash flows.</w:t>
      </w:r>
    </w:p>
    <w:p>
      <w:pPr>
        <w:spacing w:after="0" w:line="14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a dispute between a cardholder and a customer is not resolved in favor of the customer, the transaction is normally charged back to the customer and the purchase price is credited or otherwise refunded to the cardholder. If we are unable to collect such amounts from the customer's account, or if the customer refuses or is unable, due to closure, bankruptcy or other reasons, to reimburse us for a chargeback, we bear the loss for the amount of the refund paid to the cardholder. We may experience significant losses from chargebacks in the future. Any increase in chargebacks not paid by our customers could have a material adverse effect on our business, financial condition, results of operations and cash flows. We have policies to manage customer-related credit risk and attempt to mitigate such risk by monitoring transaction activity. Notwithstanding our programs and policies for managing credit risk, it is possible that a default on such obligations by one or more of our customers could have a material adverse effect on our business.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spacing w:after="0" w:line="282" w:lineRule="auto"/>
        <w:rPr>
          <w:sz w:val="20"/>
          <w:szCs w:val="20"/>
          <w:color w:val="auto"/>
        </w:rPr>
      </w:pPr>
      <w:r>
        <w:rPr>
          <w:rFonts w:ascii="Arial" w:cs="Arial" w:eastAsia="Arial" w:hAnsi="Arial"/>
          <w:sz w:val="18"/>
          <w:szCs w:val="18"/>
          <w:b w:val="1"/>
          <w:bCs w:val="1"/>
          <w:color w:val="auto"/>
        </w:rPr>
        <w:t>Failure to maintain effective systems of internal control over financial reporting and disclosure controls and procedures could cause a loss of confidence in our financial reporting and adversely affect the trading price of our common stock.</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internal control over financial reporting is necessary for us to provide accurate financial information. Section 404 of the Sarbanes-Oxley Act requires us to evaluate the effectiveness of our internal control over financial reporting as of the end of each fiscal year and to include a management report assessing the effectiveness of our internal control over financial reporting in our Annual Report on Form 10-K. If we fail to maintain the adequacy of our internal control, we may not be able to conclude and report that we have effective internal control over financial reporting. If we are unable to adequately maintain our internal control over financial reporting, we may not be able to accurately report our financial results, which could cause investors to lose confidence in our reported financial information, negatively affecting the trading price of our common stock, or our ability to access the capital markets.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do not expect to pay cash dividends in the foreseeable future and therefore investors should not anticipate cash dividends on their investment.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our common stock and series A convertible preferred stock are entitled to receive dividends when, and if, declared by our board of directors. Our board of directors does not intend to pay cash dividends in the foreseeable future, but instead intends to retain any and all earnings to finance the growth of the business. To date, we have not paid any cash dividends on our common stock or our series A convertible preferred stock and there can be no assurance that cash dividends will ever be paid on our common stock.</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articles of incorporation prohibit the declaration of any dividends on our common stock unless and until all unpaid and accumulated dividends on the series A convertible preferred stock have been declared and paid. Through August 25, 2016, the unpaid and cumulative dividends on the series A convertible preferred stock are $13.7 million. As of June 30, 2016, each share of series A convertible preferred stock was convertible into 0.1940 of a share of common stock at the option of the holder and is subject to further adjustment as provided in our Articles of Incorporation. The unpaid and cumulative dividends on the series A convertible preferred stock are convertible into shares of our common stock at the rate of $1,000 per share at the option of the holder. During the year ended June 30, 2016, none of our series A convertible preferred stock and no cumulative preferred dividends were converted into shares of common stock.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articles of incorporation also provide that the preferred stock has a liquidation preference over the common stock in the amount of $10 per share plus accrued and unpaid dividends. As of June 30, 2016, the liquidation preference was $18.1 million.</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Upon certain fundamental transactions involving the Company, such as a merger or sale of substantially all of our assets, we may be required to distribute the liquidation preference then due to the holders of our series A preferred stock which would reduce the amount of the distributions otherwise to be made to the holders of our common stock in connection with such transactions.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articles of incorporation provide that upon a merger or sale of substantially all of our assets or upon the disposition of more than 50% of our voting power, the holders of at least 60% of the preferred stock may elect to have such transaction treated as a liquidation and be entitled to receive their liquidation preference. Upon our liquidation, the holders of our preferred stock are entitled to receive a liquidation preference prior to any distribution to the holders of common stock which as of June 30, 2016 is equal to $18.1 million.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issue additional shares of our common stock, which could depress the market price of our common stock and dilute your ownership.</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August 25, 2016, we had issued and outstanding warrants to purchase 1,939,245 shares of our common stock. The shares underlying 1,870,267 of these warrants have been registered and may be freely sold. Market sales of large amounts of our common stock, or the potential for those sales even if they do not actually occur, may have the effect of depressing the market price of our common stock. In addition, if our future financing needs require us to issue additional shares of common stock or securities convertible into common stock, the supply of common stock available for resale could be increased which could stimulate trading activity and cause the market price of our common stock to drop, even if our business is doing well. Furthermore, the issuance of any additional shares of our common stock including those pursuant to the exercise of warrants by the holders thereof, or securities convertible into our common stock could be substantially dilutive to holders of our common stock.</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trading price of our common stock is expected to be subject to significant fluctuations in response to various factors including, but not limited to, the following:</w:t>
      </w:r>
    </w:p>
    <w:p>
      <w:pPr>
        <w:spacing w:after="0" w:line="170"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operating results and achievement of key business metrics;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if 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differences between reported results and securities analysts’ published or unpublished expectations;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new contracts, service offerings or technological innovations by us or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reaction to any acquisitions, joint ventures or strategic investments announced by us or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demand for our services and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common stock being sold pursuant to Rule 144 or upon exercise of warrants;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concerns about our financial position, operating results, litigation, government regulation, developments or disputes relating to agreements, patents or proprietary rights;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dilutive effects of future sales of shares of common stock by shareholders and by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average daily trading volume in our common stock;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working capital financing;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or stock market conditions unrelated to our operating performance.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securities market in recent years has from time to time experienced significant price and volume fluctuations that are unrelated to the operating performance of particular companies. These market fluctuations, as well as general economic conditions, may also materially and adversely affect the market price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substantial market overhang of our shares may tend to depress the market price of our shares.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August 25, 2016, the Company has 1,870,267 of our shares underlying warrants exercisable at $2.6058 per share at any time before September 18, 2016 which are required to be registered by us for resale under applicable securities laws. Sales in the public market of a substantial number of the shares underlying these warrants, or the perception that these sales may occur, could cause the market price of our common stock to decline. In addition, the sale of these shares could impair our ability to raise capital, should we wish to do so, through the sale of additional common stock. We are unable to estimate the number of shares that may be sold because this will depend on the market price for our common stock, the personal circumstances of the sellers and other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liability is limited.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publicly-filed reports are reviewed by the SEC from time to time and any significant changes required as a result of any such review may result in material liability to us, and have a material adverse impact on the trading price of our common stock.</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reports of publicly-traded companies are subject to review by the SEC from time to time for the purpose of assisting companies in complying with applicable disclosure requirements and to enhance the overall effectiveness of companies’ public filings, and comprehensive reviews of such reports are now required at least every three years under the Sarbanes-Oxley Act of 2002. SEC reviews may be initiated at any time. While we believe that our previously filed SEC reports comply, and we intend that all future reports will comply in all material respects with the published SEC rules and regulations, we could be required to modify or reformulate information contained in prior filings as a result of an SEC review. Any modification or reformulation of information contained in such reports could be significant and result in material liability to us and have a material adverse impact on the trading price of our common stock.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leases 17,249 square feet of space located in Malvern, Pennsylvania for its principal executive office and for general administrative functions, sales activities, product development, and customer support. During April 2016, the Company entered into an amendment to the lease which provides that the Company will relocate from its present offices on the first floor of the building to new offices located on the third floor of the building (the “New Offices”) consisting of approximately 17,689 square feet. Substantially all of the improvements to the New Offices will be constructed by the landlord at the landlord’s cost and expense. When the New Offices are substantially completed, the Company would relocate from its current offices to the new offices (the “New Premises Commencement Date”). The Company’s monthly base rent for the Premises will increase from approximately $32 thousand to approximately $36 thousand on the New Office Commencement Date, and will increase each year thereafter up to a maximum monthly base rent of approximately $41 thousand. The amendment also provides that the term of the lease was extended from its then current expiration date of April 30, 2016 until seven years following the New Premises Commencement Date.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leases 11,250 square feet of space in Malvern, Pennsylvania for its product warehousing and shipping under a lease agreement which expires on February 28, 2019. As of June 30, 2016, the Company’s rent payment is approximately $5,000 per month.</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its acquisition of VendScreen, on January 15, 2016, the Company assumed the lease for approximately 9,319 square feet in Portland, Oregon which is being utilized for administrative functions and customer support. The lease expires on September 30, 2016, and as of June 30, 2016, the Company’s rent payment is approximately $19,900 per month.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previously reported, on October 1, 2015, a purported class action was filed in the United States District Court for the Eastern District of Pennsylvania against the Company and its executive officers alleging violations under the Securities Exchange Act of 1934. On December 15, 2015, the court appointed a lead plaintiff, and on January 18, 2016, the plaintiff filed an amended complaint that set forth the same causes of action and requested substantially the same relief as the original complaint. On February 1, 2016, the Company filed a motion to dismiss the amended complaint. On April 11, 2016, the Court held oral argument on the Company’s motion, and on April 14, 2016, the Court issued an order granting the Company’s motion to dismiss the amended complaint without leave to amend. On May 13, 2016, the plaintiff appealed the Court’s order to the United States Court of Appeals for the Third Circuit. On August 16, 2016, the plaintiff filed a Motion For Relief From Final Judgment with the District Court seeking an order modifying the District Court’s April 14, 2016, order dismissing the complaint, and permitting the plaintiff to now file an amended complaint due to alleged newly discovered evidence. By Order dated September 6, 2016, the District Court found that the Motion raised a substantial issue, and directed the plaintiff to notify the Court of Appeals thereof. On September 7, 2016, the plaintiff so notified the Court of Appeals. It is anticipated that the Court of Appeals will remand the case to the District Court pending the District Court’s ruling on the Motion. The Company’s response to the Motion is due by no later than September 15, 2016. The Company believes that the Motion has no merit and intends to vigorously oppose the Motion.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By letter dated December 7, 2015, a purported shareholder of the Company demanded that the Board of Directors investigate, remedy and commence proceedings against certain of the Company’s current and former officers and directors for breach of fiduciary duties in connection with the material weakness in its internal controls over financial reporting which were more fully described in the Company’s Form 10-K for the fiscal year ended June 30, 2015 (the “2015 Form 10-K”). In response to the demand letter, the Board of Directors formed a special litigation committee (“the SLC”) consisting of Joel Brooks and William Reilly, Jr., in order to investigate and evaluate the demand letter. On June 1, 2016, and before the SLC had concluded its investigation, the purported shareholder filed a purported derivative action on behalf of the Company in the Chester County, Pennsylvania, Court of Common Pleas, against certain current and former officers and Directors. The complaint alleges that the defendants breached their fiduciary duties relating to the material weakness in internal controls reported in the 2015 Form 10-K. The complaint seeks unspecified damages against the defendants and certain equitable relief. On July 15, 2016 the SLC issued its report (the “SLC Report”) which, among other things, concluded that the none of the current or former officers or Directors had breached their fiduciary duties, that it was not in the best interests of the Company to pursue the pending shareholder derivative action, and that the Company request the Court to dismiss the action in its entirety. On August 1, 2016, the Board of Directors of the Company adopted all of the conclusions and recommendations set forth in the SLC Report. On August 16, 2016, the Company filed with the Court a motion to dismiss the shareholder derivative complaint. As of the date hereof, the court has not ruled on the motion to dismiss.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common stock of the Company trades on The NASDAQ Global Market under the symbol USAT. The high and low bid prices on The NASDAQ Global Market for the common stock were as follows:</w:t>
      </w:r>
    </w:p>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5100" w:type="dxa"/>
            <w:vAlign w:val="bottom"/>
            <w:gridSpan w:val="2"/>
          </w:tcPr>
          <w:p>
            <w:pPr>
              <w:spacing w:after="0"/>
              <w:rPr>
                <w:sz w:val="20"/>
                <w:szCs w:val="20"/>
                <w:color w:val="auto"/>
              </w:rPr>
            </w:pPr>
            <w:r>
              <w:rPr>
                <w:rFonts w:ascii="Arial" w:cs="Arial" w:eastAsia="Arial" w:hAnsi="Arial"/>
                <w:sz w:val="18"/>
                <w:szCs w:val="18"/>
                <w:color w:val="auto"/>
              </w:rPr>
              <w:t>Year ended June 30, 2016</w:t>
            </w:r>
          </w:p>
        </w:tc>
        <w:tc>
          <w:tcPr>
            <w:tcW w:w="14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High</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Low</w:t>
            </w:r>
          </w:p>
        </w:tc>
      </w:tr>
      <w:tr>
        <w:trPr>
          <w:trHeight w:val="216"/>
        </w:trPr>
        <w:tc>
          <w:tcPr>
            <w:tcW w:w="50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First Quarter (through September 30, 2015)</w:t>
            </w: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1.70</w:t>
            </w:r>
          </w:p>
        </w:tc>
        <w:tc>
          <w:tcPr>
            <w:tcW w:w="60" w:type="dxa"/>
            <w:vAlign w:val="bottom"/>
            <w:tcBorders>
              <w:top w:val="single" w:sz="8" w:color="F0FFFF"/>
            </w:tcBorders>
            <w:shd w:val="clear" w:color="auto" w:fill="F0FF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Second Quarter (through December 31, 2015)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r>
      <w:tr>
        <w:trPr>
          <w:trHeight w:val="216"/>
        </w:trPr>
        <w:tc>
          <w:tcPr>
            <w:tcW w:w="5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Third Quarter (through March 31, 2016)</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4.54</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2.69</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Fourth Quarter (through June 30, 2016)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r>
      <w:tr>
        <w:trPr>
          <w:trHeight w:val="465"/>
        </w:trPr>
        <w:tc>
          <w:tcPr>
            <w:tcW w:w="5100" w:type="dxa"/>
            <w:vAlign w:val="bottom"/>
            <w:gridSpan w:val="2"/>
          </w:tcPr>
          <w:p>
            <w:pPr>
              <w:spacing w:after="0"/>
              <w:rPr>
                <w:sz w:val="20"/>
                <w:szCs w:val="20"/>
                <w:color w:val="auto"/>
              </w:rPr>
            </w:pPr>
            <w:r>
              <w:rPr>
                <w:rFonts w:ascii="Arial" w:cs="Arial" w:eastAsia="Arial" w:hAnsi="Arial"/>
                <w:sz w:val="18"/>
                <w:szCs w:val="18"/>
                <w:color w:val="auto"/>
              </w:rPr>
              <w:t>Year ended June 30, 2015</w:t>
            </w:r>
          </w:p>
        </w:tc>
        <w:tc>
          <w:tcPr>
            <w:tcW w:w="14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High</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Low</w:t>
            </w:r>
          </w:p>
        </w:tc>
      </w:tr>
      <w:tr>
        <w:trPr>
          <w:trHeight w:val="216"/>
        </w:trPr>
        <w:tc>
          <w:tcPr>
            <w:tcW w:w="50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First Quarter (through September 30, 2014)</w:t>
            </w: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2.45</w:t>
            </w:r>
          </w:p>
        </w:tc>
        <w:tc>
          <w:tcPr>
            <w:tcW w:w="8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1.71</w:t>
            </w:r>
          </w:p>
        </w:tc>
        <w:tc>
          <w:tcPr>
            <w:tcW w:w="60" w:type="dxa"/>
            <w:vAlign w:val="bottom"/>
            <w:tcBorders>
              <w:top w:val="single" w:sz="8" w:color="F0FFFF"/>
            </w:tcBorders>
            <w:shd w:val="clear" w:color="auto" w:fill="F0FF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Second Quarter (through December 31, 2014)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r>
      <w:tr>
        <w:trPr>
          <w:trHeight w:val="216"/>
        </w:trPr>
        <w:tc>
          <w:tcPr>
            <w:tcW w:w="5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Third Quarter (through March 31, 2015)</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2.76</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1.55</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Fourth Quarter (through June 30, 2015)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August 25, 2016, there were 589 record holders of the common stock and 290 record holders of the preferred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August 25, 2016, such accumulated unpaid dividends amounted to $13.7 million. The preferred stock is also entitled to a liquidation preference over the common stock which as of June 30, 2016 equaled $18.1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equity securities authorized for issuance by the Company with respect to compensation plans were as follows: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Number of securities</w:t>
            </w:r>
          </w:p>
        </w:tc>
      </w:t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Number of Securities</w:t>
            </w:r>
          </w:p>
        </w:tc>
        <w:tc>
          <w:tcPr>
            <w:tcW w:w="10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Weighted average</w:t>
            </w:r>
          </w:p>
        </w:tc>
        <w:tc>
          <w:tcPr>
            <w:tcW w:w="100" w:type="dxa"/>
            <w:vAlign w:val="bottom"/>
          </w:tcPr>
          <w:p>
            <w:pPr>
              <w:spacing w:after="0"/>
              <w:rPr>
                <w:sz w:val="18"/>
                <w:szCs w:val="18"/>
                <w:color w:val="auto"/>
              </w:rPr>
            </w:pPr>
          </w:p>
        </w:tc>
        <w:tc>
          <w:tcPr>
            <w:tcW w:w="19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remaining available for</w:t>
            </w:r>
          </w:p>
        </w:tc>
      </w:t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to be issued upon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exercise price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future issuance</w:t>
            </w:r>
          </w:p>
        </w:tc>
      </w:tr>
      <w:tr>
        <w:trPr>
          <w:trHeight w:val="216"/>
        </w:trPr>
        <w:tc>
          <w:tcPr>
            <w:tcW w:w="4820" w:type="dxa"/>
            <w:vAlign w:val="bottom"/>
          </w:tcPr>
          <w:p>
            <w:pPr>
              <w:spacing w:after="0"/>
              <w:rPr>
                <w:sz w:val="18"/>
                <w:szCs w:val="18"/>
                <w:color w:val="auto"/>
              </w:rPr>
            </w:pPr>
          </w:p>
        </w:tc>
        <w:tc>
          <w:tcPr>
            <w:tcW w:w="1840" w:type="dxa"/>
            <w:vAlign w:val="bottom"/>
            <w:gridSpan w:val="4"/>
          </w:tcPr>
          <w:p>
            <w:pPr>
              <w:jc w:val="center"/>
              <w:spacing w:after="0"/>
              <w:rPr>
                <w:sz w:val="20"/>
                <w:szCs w:val="20"/>
                <w:color w:val="auto"/>
              </w:rPr>
            </w:pPr>
            <w:r>
              <w:rPr>
                <w:rFonts w:ascii="Arial" w:cs="Arial" w:eastAsia="Arial" w:hAnsi="Arial"/>
                <w:sz w:val="18"/>
                <w:szCs w:val="18"/>
                <w:color w:val="auto"/>
                <w:w w:val="90"/>
              </w:rPr>
              <w:t>exercise of outstanding</w:t>
            </w:r>
          </w:p>
        </w:tc>
        <w:tc>
          <w:tcPr>
            <w:tcW w:w="1600" w:type="dxa"/>
            <w:vAlign w:val="bottom"/>
            <w:gridSpan w:val="4"/>
          </w:tcPr>
          <w:p>
            <w:pPr>
              <w:jc w:val="center"/>
              <w:spacing w:after="0"/>
              <w:rPr>
                <w:sz w:val="20"/>
                <w:szCs w:val="20"/>
                <w:color w:val="auto"/>
              </w:rPr>
            </w:pPr>
            <w:r>
              <w:rPr>
                <w:rFonts w:ascii="Arial" w:cs="Arial" w:eastAsia="Arial" w:hAnsi="Arial"/>
                <w:sz w:val="18"/>
                <w:szCs w:val="18"/>
                <w:color w:val="auto"/>
                <w:w w:val="89"/>
              </w:rPr>
              <w:t>outstanding options</w:t>
            </w:r>
          </w:p>
        </w:tc>
        <w:tc>
          <w:tcPr>
            <w:tcW w:w="100" w:type="dxa"/>
            <w:vAlign w:val="bottom"/>
          </w:tcPr>
          <w:p>
            <w:pPr>
              <w:spacing w:after="0"/>
              <w:rPr>
                <w:sz w:val="18"/>
                <w:szCs w:val="18"/>
                <w:color w:val="auto"/>
              </w:rPr>
            </w:pPr>
          </w:p>
        </w:tc>
        <w:tc>
          <w:tcPr>
            <w:tcW w:w="19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(excluding securities</w:t>
            </w:r>
          </w:p>
        </w:tc>
      </w:t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options and warrants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and warrants</w:t>
            </w:r>
          </w:p>
        </w:tc>
        <w:tc>
          <w:tcPr>
            <w:tcW w:w="2020" w:type="dxa"/>
            <w:vAlign w:val="bottom"/>
            <w:gridSpan w:val="4"/>
          </w:tcPr>
          <w:p>
            <w:pPr>
              <w:jc w:val="center"/>
              <w:ind w:right="140"/>
              <w:spacing w:after="0"/>
              <w:rPr>
                <w:sz w:val="20"/>
                <w:szCs w:val="20"/>
                <w:color w:val="auto"/>
              </w:rPr>
            </w:pPr>
            <w:r>
              <w:rPr>
                <w:rFonts w:ascii="Arial" w:cs="Arial" w:eastAsia="Arial" w:hAnsi="Arial"/>
                <w:sz w:val="18"/>
                <w:szCs w:val="18"/>
                <w:color w:val="auto"/>
                <w:w w:val="93"/>
              </w:rPr>
              <w:t>reflected in column (a))</w:t>
            </w: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Plan category</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(c)</w:t>
            </w:r>
          </w:p>
        </w:tc>
      </w:tr>
      <w:tr>
        <w:trPr>
          <w:trHeight w:val="216"/>
        </w:trPr>
        <w:tc>
          <w:tcPr>
            <w:tcW w:w="48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00" w:type="dxa"/>
            <w:vAlign w:val="bottom"/>
            <w:tcBorders>
              <w:top w:val="single" w:sz="8" w:color="F0FFFF"/>
            </w:tcBorders>
            <w:shd w:val="clear" w:color="auto" w:fill="F0FFFF"/>
          </w:tcPr>
          <w:p>
            <w:pPr>
              <w:spacing w:after="0"/>
              <w:rPr>
                <w:sz w:val="18"/>
                <w:szCs w:val="18"/>
                <w:color w:val="auto"/>
              </w:rPr>
            </w:pPr>
          </w:p>
        </w:tc>
        <w:tc>
          <w:tcPr>
            <w:tcW w:w="166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610,140</w:t>
            </w: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70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1,518,857(1)</w:t>
            </w:r>
          </w:p>
        </w:tc>
        <w:tc>
          <w:tcPr>
            <w:tcW w:w="220" w:type="dxa"/>
            <w:vAlign w:val="bottom"/>
            <w:tcBorders>
              <w:top w:val="single" w:sz="8" w:color="F0FFFF"/>
            </w:tcBorders>
            <w:shd w:val="clear" w:color="auto" w:fill="F0FFFF"/>
          </w:tcPr>
          <w:p>
            <w:pPr>
              <w:spacing w:after="0"/>
              <w:rPr>
                <w:sz w:val="18"/>
                <w:szCs w:val="18"/>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w w:val="99"/>
              </w:rPr>
              <w:t>Equity compensation plans not approved by security holders</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r>
      <w:tr>
        <w:trPr>
          <w:trHeight w:val="216"/>
        </w:trPr>
        <w:tc>
          <w:tcPr>
            <w:tcW w:w="48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5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610,140</w:t>
            </w: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5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1,518,857</w:t>
            </w:r>
          </w:p>
        </w:tc>
        <w:tc>
          <w:tcPr>
            <w:tcW w:w="220" w:type="dxa"/>
            <w:vAlign w:val="bottom"/>
            <w:tcBorders>
              <w:top w:val="single" w:sz="8" w:color="auto"/>
            </w:tcBorders>
            <w:shd w:val="clear" w:color="auto" w:fill="F0FFFF"/>
          </w:tcPr>
          <w:p>
            <w:pPr>
              <w:spacing w:after="0"/>
              <w:rPr>
                <w:sz w:val="18"/>
                <w:szCs w:val="18"/>
                <w:color w:val="auto"/>
              </w:rPr>
            </w:pPr>
          </w:p>
        </w:tc>
      </w:tr>
    </w:tbl>
    <w:p>
      <w:pPr>
        <w:spacing w:after="0" w:line="202" w:lineRule="exact"/>
        <w:rPr>
          <w:sz w:val="20"/>
          <w:szCs w:val="20"/>
          <w:color w:val="auto"/>
        </w:rPr>
      </w:pPr>
    </w:p>
    <w:p>
      <w:pPr>
        <w:jc w:val="both"/>
        <w:ind w:firstLine="8"/>
        <w:spacing w:after="0" w:line="259" w:lineRule="auto"/>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(i) 1,250,000 shares of common stock issuable under the 2015 Equity Incentive Plan as approved by shareholders on June 18, 2015, (ii) 106,527 shares of common stock underlying stock options issuable under the 2014 Stock Option Incentive Plan as approved by shareholders on June 18, 2014, and (iii) 162,330 shares of common stock issuable under the Company’s 2013 Stock Incentive Plan as approved by shareholders on June 21, 2013 for use in compensating employees, officers and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August 25, 2016, shares of common stock reserved for future issuance were as follows:</w:t>
      </w:r>
    </w:p>
    <w:p>
      <w:pPr>
        <w:spacing w:after="0" w:line="225" w:lineRule="exact"/>
        <w:rPr>
          <w:sz w:val="20"/>
          <w:szCs w:val="20"/>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1,939,245 shares issuable upon the exercise of common stock warrants at exercise prices ranging from $2.10 to $5.00 per share</w:t>
      </w:r>
    </w:p>
    <w:p>
      <w:pPr>
        <w:spacing w:after="0" w:line="23"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100,333 shares issuable upon the conversion of outstanding preferred stock and cumulative preferred stock dividends;</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99,202 shares issuable under the 2013 Stock Incentive Plan;</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716,667 shares underlying stock options issued or to be issued under the 2014 Stock Option Incentive Plan;</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1,250,000 shares issuable under the 2015 Equity Incentive Plan;</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140,000 shares issuable to our former CEO upon the occurrence of a USA Transaction.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graph shows a comparison of the 5-year cumulative total shareholder return for our common stock with The NASDAQ Composite Index and the S&amp;P 500 Information Technology Index in the United States. The graph assumes a $100 investment on June 30, 2011 in our common stock and in the NASDAQ Composite Index and the S&amp;P 500 Information Technology Index, including reinvestment of dividends.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5-YEAR CUMULATIVE TOTAL RETURN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Among USA Technologies, Inc., The NASDAQ Composite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152400</wp:posOffset>
            </wp:positionV>
            <wp:extent cx="3542030" cy="2701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4203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4120" w:type="dxa"/>
            <w:vAlign w:val="bottom"/>
            <w:gridSpan w:val="2"/>
          </w:tcPr>
          <w:p>
            <w:pPr>
              <w:spacing w:after="0"/>
              <w:rPr>
                <w:sz w:val="20"/>
                <w:szCs w:val="20"/>
                <w:color w:val="auto"/>
              </w:rPr>
            </w:pPr>
            <w:r>
              <w:rPr>
                <w:rFonts w:ascii="Arial" w:cs="Arial" w:eastAsia="Arial" w:hAnsi="Arial"/>
                <w:sz w:val="18"/>
                <w:szCs w:val="18"/>
                <w:color w:val="auto"/>
              </w:rPr>
              <w:t>Total Return For: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w w:val="90"/>
              </w:rPr>
              <w:t>Jun-11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90"/>
              </w:rPr>
              <w:t>Jun-12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w w:val="94"/>
              </w:rPr>
              <w:t>Jun-13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Jun-14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Jun-15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Jun-16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USA Technologies, Inc.</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w:t>
            </w:r>
          </w:p>
        </w:tc>
        <w:tc>
          <w:tcPr>
            <w:tcW w:w="3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78</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122</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NASDAQ Composite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S&amp;P 500 Information Technology Index</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w:t>
            </w:r>
          </w:p>
        </w:tc>
        <w:tc>
          <w:tcPr>
            <w:tcW w:w="3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119</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154</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168</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the performance graph is not deemed to be “soliciting material” or to be “filed” with the Securities and Exchange Commission or subject to Regulation 14A or 14C under the Securities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selected financial data for the five years ended June 30, 2016 are derived from the audited consolidated financial statements of USA Technologies, Inc. The data should be read in conjunction with the consolidated financial statements, related notes, and other financial information.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9"/>
          </w:tcPr>
          <w:p>
            <w:pPr>
              <w:jc w:val="right"/>
              <w:ind w:right="760"/>
              <w:spacing w:after="0"/>
              <w:rPr>
                <w:sz w:val="20"/>
                <w:szCs w:val="20"/>
                <w:color w:val="auto"/>
              </w:rPr>
            </w:pPr>
            <w:r>
              <w:rPr>
                <w:rFonts w:ascii="Arial" w:cs="Arial" w:eastAsia="Arial" w:hAnsi="Arial"/>
                <w:sz w:val="18"/>
                <w:szCs w:val="18"/>
                <w:color w:val="auto"/>
                <w:w w:val="98"/>
              </w:rPr>
              <w:t>As of and for the Year ended June 30</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gridSpan w:val="2"/>
          </w:tcPr>
          <w:p>
            <w:pPr>
              <w:spacing w:after="0"/>
              <w:rPr>
                <w:sz w:val="20"/>
                <w:szCs w:val="20"/>
                <w:color w:val="auto"/>
              </w:rPr>
            </w:pPr>
            <w:r>
              <w:rPr>
                <w:rFonts w:ascii="Arial" w:cs="Arial" w:eastAsia="Arial" w:hAnsi="Arial"/>
                <w:sz w:val="18"/>
                <w:szCs w:val="18"/>
                <w:color w:val="auto"/>
              </w:rPr>
              <w:t>($ in thousands, except per share data)</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OPERATIONS DATA:</w:t>
            </w:r>
          </w:p>
        </w:tc>
        <w:tc>
          <w:tcPr>
            <w:tcW w:w="3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Revenues</w:t>
            </w:r>
          </w:p>
        </w:tc>
        <w:tc>
          <w:tcPr>
            <w:tcW w:w="56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77,408</w:t>
            </w:r>
          </w:p>
        </w:tc>
        <w:tc>
          <w:tcPr>
            <w:tcW w:w="34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58,077</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42,345</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35,940</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29,017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56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(1,467)</w:t>
            </w:r>
          </w:p>
        </w:tc>
        <w:tc>
          <w:tcPr>
            <w:tcW w:w="34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(240)</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436</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714</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80" w:type="dxa"/>
            <w:vAlign w:val="bottom"/>
            <w:shd w:val="clear" w:color="auto" w:fill="F0FFFF"/>
          </w:tcPr>
          <w:p>
            <w:pPr>
              <w:spacing w:after="0" w:line="230" w:lineRule="exact"/>
              <w:rPr>
                <w:sz w:val="20"/>
                <w:szCs w:val="20"/>
                <w:color w:val="auto"/>
              </w:rPr>
            </w:pPr>
            <w:r>
              <w:rPr>
                <w:rFonts w:ascii="Arial" w:cs="Arial" w:eastAsia="Arial" w:hAnsi="Arial"/>
                <w:sz w:val="16"/>
                <w:szCs w:val="16"/>
                <w:color w:val="auto"/>
              </w:rPr>
              <w:t xml:space="preserve">Net Income (loss) </w:t>
            </w:r>
            <w:r>
              <w:rPr>
                <w:rFonts w:ascii="Arial" w:cs="Arial" w:eastAsia="Arial" w:hAnsi="Arial"/>
                <w:sz w:val="26"/>
                <w:szCs w:val="26"/>
                <w:color w:val="auto"/>
                <w:vertAlign w:val="subscript"/>
              </w:rPr>
              <w:t>(1)</w:t>
            </w:r>
          </w:p>
        </w:tc>
        <w:tc>
          <w:tcPr>
            <w:tcW w:w="56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(6,806)</w:t>
            </w:r>
          </w:p>
        </w:tc>
        <w:tc>
          <w:tcPr>
            <w:tcW w:w="34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(1,089)</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27,531</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854</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3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(668)</w:t>
            </w:r>
          </w:p>
        </w:tc>
        <w:tc>
          <w:tcPr>
            <w:tcW w:w="8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(668)</w:t>
            </w:r>
          </w:p>
        </w:tc>
        <w:tc>
          <w:tcPr>
            <w:tcW w:w="8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income (loss) applicable to common shares</w:t>
            </w:r>
          </w:p>
        </w:tc>
        <w:tc>
          <w:tcPr>
            <w:tcW w:w="30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60" w:type="dxa"/>
            <w:vAlign w:val="bottom"/>
            <w:tcBorders>
              <w:top w:val="single" w:sz="8" w:color="F0FF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26,863</w:t>
            </w:r>
          </w:p>
        </w:tc>
        <w:tc>
          <w:tcPr>
            <w:tcW w:w="20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5"/>
              </w:rPr>
              <w:t>Net earnings (loss) per common share - basic and diluted</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BALANCE SHEET DATA:</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84,833</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75,134</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70,717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36,576</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Long-term debt</w:t>
            </w:r>
          </w:p>
        </w:tc>
        <w:tc>
          <w:tcPr>
            <w:tcW w:w="56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2,205</w:t>
            </w:r>
          </w:p>
        </w:tc>
        <w:tc>
          <w:tcPr>
            <w:tcW w:w="34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2,332</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423</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370</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Shareholders’ equity</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55,025</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53,311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53,736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23,378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FLOW DATA:</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6,468</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(1,698)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6,039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(7,917)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(9,181)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7,202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3,923</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7,898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3,091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11,374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9,072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5,981</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6,427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19,272</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11,374</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9,072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5,981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rPr>
              <w:t>CONNECTIONS AND TRANSACTION DATA</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New Connections #</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96,000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67,000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52,000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Total Connections #</w:t>
            </w: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429,000</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333,000</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266,000</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214,000</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New Customers Added #</w:t>
            </w: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2,300</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2,250</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Customers #</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11,050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9,600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7,300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Number of Transactions (millions)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168.5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F0FFFF"/>
          </w:tcPr>
          <w:p>
            <w:pPr>
              <w:spacing w:after="0"/>
              <w:rPr>
                <w:sz w:val="20"/>
                <w:szCs w:val="20"/>
                <w:color w:val="auto"/>
              </w:rPr>
            </w:pPr>
            <w:r>
              <w:rPr>
                <w:rFonts w:ascii="Arial" w:cs="Arial" w:eastAsia="Arial" w:hAnsi="Arial"/>
                <w:sz w:val="18"/>
                <w:szCs w:val="18"/>
                <w:color w:val="auto"/>
              </w:rPr>
              <w:t>Transaction Volume ($millions) #</w:t>
            </w:r>
          </w:p>
        </w:tc>
        <w:tc>
          <w:tcPr>
            <w:tcW w:w="56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584.4</w:t>
            </w:r>
          </w:p>
        </w:tc>
        <w:tc>
          <w:tcPr>
            <w:tcW w:w="34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388.9</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293.8</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219.0</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40" w:right="1160" w:hanging="5632"/>
        <w:spacing w:after="0" w:line="810" w:lineRule="auto"/>
        <w:tabs>
          <w:tab w:leader="none" w:pos="3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for the year ended June 30, 2014 includes an income tax benefit of $27.3 million for the reduction of tax valuation allowance.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7" w:name="page28"/>
    <w:bookmarkEnd w:id="27"/>
    <w:p>
      <w:pPr>
        <w:ind w:right="220"/>
        <w:spacing w:after="0" w:line="264" w:lineRule="auto"/>
        <w:rPr>
          <w:sz w:val="20"/>
          <w:szCs w:val="20"/>
          <w:color w:val="auto"/>
        </w:rPr>
      </w:pPr>
      <w:r>
        <w:rPr>
          <w:rFonts w:ascii="Arial" w:cs="Arial" w:eastAsia="Arial" w:hAnsi="Arial"/>
          <w:sz w:val="18"/>
          <w:szCs w:val="18"/>
          <w:color w:val="auto"/>
        </w:rPr>
        <w:t>The following unaudited quarterly financial operations data for the years ended June 30, 2016 and June 30, 2015 is derived from the audited consolidated financial statements of USA Technologies, Inc. and its interim reports for the quarters therein. The data should be read in conjunction with the consolidated financial statements, related notes, and other financial information.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i w:val="1"/>
                <w:iCs w:val="1"/>
                <w:color w:val="auto"/>
              </w:rPr>
              <w:t>UNAUDITED</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YEAR ENDED JUNE 30, 2016</w:t>
            </w:r>
          </w:p>
        </w:tc>
        <w:tc>
          <w:tcPr>
            <w:tcW w:w="10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First Quarter</w:t>
            </w: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rPr>
              <w:t>Second Quarter</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Third Quarter</w:t>
            </w:r>
          </w:p>
        </w:tc>
        <w:tc>
          <w:tcPr>
            <w:tcW w:w="8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Fourth Quarter</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16,600</w:t>
            </w: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18,503</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20,361</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21,944</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77,408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5,047</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5,483</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5,672</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5,783</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21,985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594</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(595)</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(1,578)</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(874)</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(5,420)</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(872)</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(334)</w:t>
            </w: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(334)</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 (loss) applicable to common shares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(874)</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(5,754)</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(872)</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earnings (loss) per common share:</w:t>
            </w: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number of common shares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35,848,395</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35,909,933</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36,161,626</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37,325,681</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36,309,047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36,487,879</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35,909,933</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36,161,626</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37,325,681</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36,309,047</w:t>
            </w:r>
          </w:p>
        </w:tc>
        <w:tc>
          <w:tcPr>
            <w:tcW w:w="0" w:type="dxa"/>
            <w:vAlign w:val="bottom"/>
          </w:tcPr>
          <w:p>
            <w:pPr>
              <w:spacing w:after="0"/>
              <w:rPr>
                <w:sz w:val="1"/>
                <w:szCs w:val="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i w:val="1"/>
                <w:iCs w:val="1"/>
                <w:color w:val="auto"/>
              </w:rPr>
              <w:t>UNAUDITED</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YEAR ENDED JUNE 30, 2015</w:t>
            </w: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First Quarter</w:t>
            </w:r>
          </w:p>
        </w:tc>
        <w:tc>
          <w:tcPr>
            <w:tcW w:w="10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rPr>
              <w:t>Second Quarter</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Third Quarter</w:t>
            </w:r>
          </w:p>
        </w:tc>
        <w:tc>
          <w:tcPr>
            <w:tcW w:w="8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Fourth Quarter</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12,253</w:t>
            </w: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12,821</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15,358</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17,645</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3,135</w:t>
            </w:r>
          </w:p>
        </w:tc>
        <w:tc>
          <w:tcPr>
            <w:tcW w:w="140" w:type="dxa"/>
            <w:vAlign w:val="bottom"/>
            <w:shd w:val="clear" w:color="auto" w:fill="F0FFFF"/>
          </w:tcPr>
          <w:p>
            <w:pPr>
              <w:spacing w:after="0"/>
              <w:rPr>
                <w:sz w:val="18"/>
                <w:szCs w:val="18"/>
                <w:color w:val="auto"/>
              </w:rPr>
            </w:pP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3,733</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5,146</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4,809</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16,823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(667)</w:t>
            </w: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731</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(355)</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(61)</w:t>
            </w: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(567)</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(200)</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(334)</w:t>
            </w: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(334)</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 (loss) applicable to common shares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(395)</w:t>
            </w:r>
          </w:p>
        </w:tc>
        <w:tc>
          <w:tcPr>
            <w:tcW w:w="4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(901)</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(200)</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earnings (loss) per common share</w:t>
            </w: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number of common shares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35,651,732</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35,716,848</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35,747,979</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35,761,370</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35,719,211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35,651,732</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35,716,848</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35,747,979</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36,206,934</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35,719,211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9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gridSpan w:val="2"/>
          </w:tcPr>
          <w:p>
            <w:pPr>
              <w:ind w:left="100"/>
              <w:spacing w:after="0"/>
              <w:rPr>
                <w:sz w:val="20"/>
                <w:szCs w:val="20"/>
                <w:color w:val="auto"/>
              </w:rPr>
            </w:pPr>
            <w:r>
              <w:rPr>
                <w:rFonts w:ascii="Arial" w:cs="Arial" w:eastAsia="Arial" w:hAnsi="Arial"/>
                <w:sz w:val="18"/>
                <w:szCs w:val="18"/>
                <w:color w:val="auto"/>
              </w:rPr>
              <w:t>27</w:t>
            </w:r>
          </w:p>
        </w:tc>
        <w:tc>
          <w:tcPr>
            <w:tcW w:w="94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USA Technologies, Inc. provides wireless networking, cashless transactions, asset monitoring, and other value-added services principally to the small ticket, unattended Point of Sale (“POS”) market. Our ePort® technology can be installed and/or embedded into everyday devices such as vending machines, a variety of kiosks, amusement games, and commercial laundry via either our ePort hardware or our Quick Connect solution. Our associated service, ePort Connect®, is a PCI-compliant, comprehensive service that includes simplified credit/debit card processing and support, consumer engagement services as well as telemetry, Internet of Things (“IoT”), and machine-to-machine (“M2M”) services, including the ability to remotely monitor, control and report on the results of distributed assets containing our electronic payment solutions.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generates revenue in multiple ways. During fiscal year 2016, we derived approximately 73% of our revenues from recurring license and transaction fees related to our ePort Connect service and approximately 27% of our revenue from equipment sales. Connections to our service stem from the sale or lease of our POS electronic payment devices or certified payment software or the servicing of similar third-party installed POS terminals. Connections to the ePort Connect service are the most significant driver of the Company’s revenues, particularly the recurring revenues from license and transaction fees. Customers can obtain POS electronic payment devices from us in the following ways:</w:t>
      </w:r>
    </w:p>
    <w:p>
      <w:pPr>
        <w:spacing w:after="0" w:line="18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23"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Leasing devices under the Company’s QuickStart Program, which are non-cancellable sixty month sales-type leases, through an unrelated equipment leasing company or directly from the Company; and</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which are cancellable month-to-month operating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consolidated financial statements are prepared applying certain critical accounting policies. The SEC defines “critical accounting policies” as those that require application of management’s most difficult, subjective, or complex judgments. 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Our financial statements are prepared in accordance with U.S. GAAP, and they conform to general practices in our industry. We apply critical accounting policies consistently from period to period and intend that any change in methodology occur in an appropriate manner. Accounting policies currently deemed critical are listed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sale or QuickStart lease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estimates license and transaction fee refunds on a monthly basis.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leasing company for the devices. At the end of the lease period, the customer would have the option to purchase the device for a nominal fee.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LIVED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trademarks with an indefinite economic life are not being amortized. The trademarks, not subject to amortization, are related to the EnergyMiser asset group and consist of four trademarks. The Company tests indefinite-lived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 The Company concluded there was an impairment of its indefinite-lived trademarks as a result of its testing in its fiscal year 2016, and has recorded a $432 thousand impairment expense in the fourth quarter of the fiscal year ended June 30, 2016. This impairment expense reduced the carrying value of the trademarks to zero at June 30, 2016. There was no impairment expense recorded during the fiscal years ended June 30, 2015 and 2014.</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464" w:gutter="0" w:footer="0" w:header="0"/>
        </w:sectPr>
      </w:pPr>
    </w:p>
    <w:bookmarkStart w:id="29" w:name="page30"/>
    <w:bookmarkEnd w:id="29"/>
    <w:p>
      <w:pPr>
        <w:jc w:val="both"/>
        <w:ind w:right="20"/>
        <w:spacing w:after="0" w:line="286" w:lineRule="auto"/>
        <w:rPr>
          <w:sz w:val="20"/>
          <w:szCs w:val="20"/>
          <w:color w:val="auto"/>
        </w:rPr>
      </w:pPr>
      <w:r>
        <w:rPr>
          <w:rFonts w:ascii="Arial" w:cs="Arial" w:eastAsia="Arial" w:hAnsi="Arial"/>
          <w:sz w:val="17"/>
          <w:szCs w:val="17"/>
          <w:color w:val="auto"/>
        </w:rPr>
        <w:t>Patents, non-compete agreements, brand, developed technology and customer relationships,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is determined through an analysis of various factors including the aging of accounts receivable, the strength of the relationship with the customer, the capacity of the customer transaction fund flow to satisfy the amount due from the customer, an assessment of collection costs and other factors. The allowance for uncollectible accounts receivable is management’s best estimate as of the respective reporting period. If the factors described above were to deteriorate, additional amounts may need to be added to the allowance.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JUNE 30, 2016 COMPARED TO FISCAL YEAR ENDED JUNE 30,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Highlights of year over year improvements include:</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Record net new connections of 96,000;</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revenue up 33% to $77.4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Recurring license and transaction fee revenue up 30% to $56.6 million; and</w:t>
      </w:r>
    </w:p>
    <w:p>
      <w:pPr>
        <w:spacing w:after="0" w:line="9" w:lineRule="exact"/>
        <w:rPr>
          <w:rFonts w:ascii="Arial" w:cs="Arial" w:eastAsia="Arial" w:hAnsi="Arial"/>
          <w:sz w:val="18"/>
          <w:szCs w:val="18"/>
          <w:color w:val="auto"/>
        </w:rPr>
      </w:pPr>
    </w:p>
    <w:p>
      <w:pPr>
        <w:jc w:val="both"/>
        <w:ind w:left="980" w:hanging="324"/>
        <w:spacing w:after="0" w:line="269"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Improvements in cash flows from operating activities as a result of QuickStart reintroduced in the latter half of the prior fiscal year. The Company has shifted from providing financing for the customer’s equipment purchases through month-to-month agreements under the JumpStart rental program, to using outside leasing companies through the QuickStart program with sixty month terms. This shift to QuickStart provides for an upfront payment by the leasing companies for the equipment which significantly improves the Company’s cash flow from operations. The Company also may hold QuickStart leases as finance receivables for customers that are not able to obtain third party leasing arrangements. The Company is actively working to expand its outside leasing partners. The goal of the program would be to have enough leasing partners so that the Company would not need to provide financing to its customers.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the fiscal year ended June 30, 2016 were $77.4 million, consisting of $56.6 million of license and transactions fees and $20.8 million of equipment sales, compared to $58.0 million for the fiscal year ended June 30, 2015, consisting of $43.6 million of license and transaction fees and $14.4 million of equipment sales. The increase in total revenue from the prior year of $19.3 million, or 33%, was attributable to the 44% increase in equipment sales of $6.4 million and the 30% the increase in license and transaction fees of $13.0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license and transaction fees, which represented 73% of total revenue for fiscal year 2016, is primarily attributable to monthly ePort Connect® service fees and transaction processing fees. Highlights for fiscal year 2016 include:</w:t>
      </w:r>
    </w:p>
    <w:p>
      <w:pPr>
        <w:spacing w:after="0" w:line="170" w:lineRule="exact"/>
        <w:rPr>
          <w:sz w:val="20"/>
          <w:szCs w:val="20"/>
          <w:color w:val="auto"/>
        </w:rPr>
      </w:pPr>
    </w:p>
    <w:p>
      <w:pPr>
        <w:jc w:val="both"/>
        <w:ind w:left="980" w:hanging="324"/>
        <w:spacing w:after="0" w:line="25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96,000 net connections to our service, consisting of 110,000 new gross connections to our ePort Connect service in fiscal year 2016, offset by 11,000 deactivations from business churn and 3,000 attributable to a former customer against whom we have commenced litigation in order to seek to recover the amounts due to the Company from the former customer. The 96,000 net connections added compares to 67,000 net connections added in fiscal year 2015;</w:t>
      </w:r>
    </w:p>
    <w:p>
      <w:pPr>
        <w:spacing w:after="0" w:line="2" w:lineRule="exact"/>
        <w:rPr>
          <w:rFonts w:ascii="Arial" w:cs="Arial" w:eastAsia="Arial" w:hAnsi="Arial"/>
          <w:sz w:val="18"/>
          <w:szCs w:val="18"/>
          <w:color w:val="auto"/>
        </w:rPr>
      </w:pPr>
    </w:p>
    <w:p>
      <w:pPr>
        <w:ind w:left="980" w:hanging="324"/>
        <w:spacing w:after="0" w:line="265"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of June 30, 2016, the Company had approximately 429,000 connections to the ePort Connect service compared to approximately 333,000 connections to the ePort Connect service as of June 30, 2015, an increase of 96,000 net connections or 29%;</w:t>
      </w:r>
    </w:p>
    <w:p>
      <w:pPr>
        <w:ind w:left="980" w:right="2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fiscal year 2016 of 46% and 50%, respectively, compared to the same period a year ago; and</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ePort Connect customer base grew 15% from June 30, 2015.</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that stems from the increased number of connections to our ePort Connect service.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its agreements with customers, in addition to ePort Connect service fees, the Company earns transaction processing fees equal to a percentage of the dollar volume processed by the Company. During the fiscal year ended June 30, 2016, the Company processed approximately 315.8 million transactions totaling approximately $584.4 million compared to approximately 216.6 million transactions totaling approximately $388.9 million during the fiscal year ended June 30, 2015, an increase of approximately 46% in the number of transactions and approximately 50% in the value of transactions processed.</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New customers added to our ePort® Connect service during the fiscal year ended June 30, 2016 totaled 1,450, bringing the total number of customers to approximately 11,050 as of June 30, 2016. The Company added approximately 2,300 new customers in the year ended June 30, 2015. The Company had approximately 9,600 customers as of June 30, 2015, representing a 15% increase during the past twelve months. The Company views the total installed base of machines managed by its customers that have yet to transition to cashless payment as a key strategic opportunity for future growth in connections. We count a customer as a new customer upon the signing of their ePort Connect service agreement. When a reseller sells our ePort, we count a customer as a new customer upon the signing of the applicable services agreement with the customer.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$6.4 million increase in equipment sales was primarily attributable to selling more units, versus renting units via the JumpStart program, during the current fiscal year due to the reintroduction of the QuickStart program in September 2014.</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464"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color w:val="auto"/>
        </w:rPr>
        <w:t>Cost of sales consisted of cost of services for license and transaction fees of $38.1 million and $29.4 million and equipment costs of $17.3 million and $11.8 million for the fiscal years ended June 30, 2016 and 2015, respectively. The increase in total cost of sales of $14.2 million, or 34%, was partially due to an increase in cost of equipment sales of $5.5 million primarily due to selling more units during the period under the QuickStart program. There was also an increase in cost of services of $8.7 million that stemmed from the increase in transaction dollars processed by the greater number of connections to the Company’s ePort Connect service.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(“GP”) for the fiscal year ended June 30, 2016 was $22.0 million compared to GP of $16.9 million for the previous fiscal year, an increase of $5.1 million, or 30%, of which $4.3 million is attributable to license and transaction fees GP and $0.9 million of equipment sales GP.</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Overall gross margins declined from 29.0% in the 2015 fiscal year to 28.4% in the fiscal year ended June 30, 2016, composed of an increase in license and transaction fees’ margin to 32.7% from 32.6% in the prior fiscal year, and a decrease in equipment sales margin from 18.1% in the prior fiscal year to 16.7% in the fiscal year ended June 30, 2016.</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Selling, general and administrative (“SG&amp;A”) expenses of $22.4 million for the fiscal year ended June 30, 2016, increased by $5.9 million or 36%, from the prior fiscal year. SG&amp;A expenses for the 2016 fiscal year reflects the following: $1.6 million of costs incurred in connection with the VendScreen acquisition and integration as well as operating expenses of the VendScreen business; bad debt expense of $1.5 million; $0.7 million of professional fees and expenses incurred in connection with management’s annual assessment of internal controls over financial reporting required under SOX 404; and $0.3 million of professional fees incurred in connection with the class action litigation and SLC investigation.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and expense for the fiscal year ended June 30, 2016, primarily consisted of a $5.7 million non-cash charge for the change in the fair value of the Company’s warrant liabilities. The primary factor affecting the change in fair value is the increase in the Black-Scholes value of the warrants from June 30, 2015 to June 30, 2016, which factored in the increase in the Company’s stock price as well as a decrease in its volatility used for this calculation during that period.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fiscal year ended June 30, 2016 resulted in net loss of $6.8 million compared to a net loss of $1.1 million for the fiscal year ended June 30, 2015. The net loss for the fiscal year reflected the $5.7 million non-cash charge for the change in the fair value of warrant liability described in the prior paragraph after preferred dividends of $0.7 million for each fiscal year, net loss applicable to common shareholders was $7.5 million and $1.8 million for the fiscal years ended 2016 and 2015, respectively. For the fiscal year ended June 30, 2016, net loss per common share (basic and diluted) was $0.21, compared to net loss per common share (basic and diluted) of $0.05 for the fiscal year ended June 30, 2015.</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Non-GAAP net loss was $0.7 million for the fiscal year ended June 30, 2016 compared to non-GAAP net loss of $.5 million for fiscal year ended June 30, 2015.</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A reconciliation of net loss to Non-GAAP net loss for the fiscal years ended June 30, 2016 and 2015 is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6"/>
          </w:tcPr>
          <w:p>
            <w:pPr>
              <w:jc w:val="right"/>
              <w:ind w:right="86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5"/>
              </w:rPr>
              <w:t>June 30,</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8"/>
              </w:rPr>
              <w:t>June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6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(6,806)</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Non-GAAP adjustments: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Non-cash portion of income tax provision</w:t>
            </w:r>
          </w:p>
        </w:tc>
        <w:tc>
          <w:tcPr>
            <w:tcW w:w="1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(579)</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Fair value of warrant adjustment</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VendScreen non-recurring charges</w:t>
            </w:r>
          </w:p>
        </w:tc>
        <w:tc>
          <w:tcPr>
            <w:tcW w:w="1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Litigation related professional fees</w:t>
            </w:r>
          </w:p>
        </w:tc>
        <w:tc>
          <w:tcPr>
            <w:tcW w:w="1160" w:type="dxa"/>
            <w:vAlign w:val="bottom"/>
            <w:tcBorders>
              <w:bottom w:val="single" w:sz="8" w:color="F0FF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F0FFFF"/>
            </w:tcBorders>
          </w:tcPr>
          <w:p>
            <w:pPr>
              <w:spacing w:after="0"/>
              <w:rPr>
                <w:sz w:val="19"/>
                <w:szCs w:val="19"/>
                <w:color w:val="auto"/>
              </w:rPr>
            </w:pPr>
          </w:p>
        </w:tc>
        <w:tc>
          <w:tcPr>
            <w:tcW w:w="80" w:type="dxa"/>
            <w:vAlign w:val="bottom"/>
            <w:tcBorders>
              <w:bottom w:val="single" w:sz="8" w:color="F0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Non-GAAP net loss</w:t>
            </w:r>
          </w:p>
        </w:tc>
        <w:tc>
          <w:tcPr>
            <w:tcW w:w="116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(6,806)</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65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loss applicable to common shares</w:t>
            </w:r>
          </w:p>
        </w:tc>
        <w:tc>
          <w:tcPr>
            <w:tcW w:w="116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(7,474</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F0FFFF"/>
            </w:tcBorders>
          </w:tcPr>
          <w:p>
            <w:pPr>
              <w:spacing w:after="0" w:line="20" w:lineRule="exact"/>
              <w:rPr>
                <w:sz w:val="1"/>
                <w:szCs w:val="1"/>
                <w:color w:val="auto"/>
              </w:rPr>
            </w:pPr>
          </w:p>
        </w:tc>
        <w:tc>
          <w:tcPr>
            <w:tcW w:w="11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6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F0FFFF"/>
          </w:tcPr>
          <w:p>
            <w:pPr>
              <w:spacing w:after="0"/>
              <w:rPr>
                <w:sz w:val="20"/>
                <w:szCs w:val="20"/>
                <w:color w:val="auto"/>
              </w:rPr>
            </w:pPr>
            <w:r>
              <w:rPr>
                <w:rFonts w:ascii="Arial" w:cs="Arial" w:eastAsia="Arial" w:hAnsi="Arial"/>
                <w:sz w:val="18"/>
                <w:szCs w:val="18"/>
                <w:color w:val="auto"/>
              </w:rPr>
              <w:t>Non-GAAP net loss</w:t>
            </w:r>
          </w:p>
        </w:tc>
        <w:tc>
          <w:tcPr>
            <w:tcW w:w="134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(713)</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65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Non-GAAP net loss applicable to common shares</w:t>
            </w:r>
          </w:p>
        </w:tc>
        <w:tc>
          <w:tcPr>
            <w:tcW w:w="116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(1,381</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F0FFFF"/>
            </w:tcBorders>
          </w:tcPr>
          <w:p>
            <w:pPr>
              <w:spacing w:after="0" w:line="20" w:lineRule="exact"/>
              <w:rPr>
                <w:sz w:val="1"/>
                <w:szCs w:val="1"/>
                <w:color w:val="auto"/>
              </w:rPr>
            </w:pPr>
          </w:p>
        </w:tc>
        <w:tc>
          <w:tcPr>
            <w:tcW w:w="11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6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40" w:type="dxa"/>
            <w:vAlign w:val="bottom"/>
            <w:shd w:val="clear" w:color="auto" w:fill="F0FFFF"/>
          </w:tcPr>
          <w:p>
            <w:pPr>
              <w:spacing w:after="0"/>
              <w:rPr>
                <w:sz w:val="20"/>
                <w:szCs w:val="20"/>
                <w:color w:val="auto"/>
              </w:rPr>
            </w:pPr>
            <w:r>
              <w:rPr>
                <w:rFonts w:ascii="Arial" w:cs="Arial" w:eastAsia="Arial" w:hAnsi="Arial"/>
                <w:sz w:val="18"/>
                <w:szCs w:val="18"/>
                <w:color w:val="auto"/>
              </w:rPr>
              <w:t>Net loss per common share - basic and diluted</w:t>
            </w:r>
          </w:p>
        </w:tc>
        <w:tc>
          <w:tcPr>
            <w:tcW w:w="134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(0.21)</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F0FFFF"/>
            </w:tcBorders>
            <w:shd w:val="clear" w:color="auto" w:fill="F0FFFF"/>
          </w:tcPr>
          <w:p>
            <w:pPr>
              <w:spacing w:after="0" w:line="20" w:lineRule="exact"/>
              <w:rPr>
                <w:sz w:val="1"/>
                <w:szCs w:val="1"/>
                <w:color w:val="auto"/>
              </w:rPr>
            </w:pPr>
          </w:p>
        </w:tc>
        <w:tc>
          <w:tcPr>
            <w:tcW w:w="11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F0FFFF"/>
          </w:tcPr>
          <w:p>
            <w:pPr>
              <w:spacing w:after="0" w:line="20" w:lineRule="exact"/>
              <w:rPr>
                <w:sz w:val="1"/>
                <w:szCs w:val="1"/>
                <w:color w:val="auto"/>
              </w:rPr>
            </w:pPr>
          </w:p>
        </w:tc>
        <w:tc>
          <w:tcPr>
            <w:tcW w:w="960" w:type="dxa"/>
            <w:vAlign w:val="bottom"/>
            <w:tcBorders>
              <w:top w:val="single" w:sz="8" w:color="auto"/>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F0FFFF"/>
          </w:tcPr>
          <w:p>
            <w:pPr>
              <w:spacing w:after="0" w:line="20" w:lineRule="exact"/>
              <w:rPr>
                <w:sz w:val="1"/>
                <w:szCs w:val="1"/>
                <w:color w:val="auto"/>
              </w:rPr>
            </w:pPr>
          </w:p>
        </w:tc>
        <w:tc>
          <w:tcPr>
            <w:tcW w:w="96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Non-GAAP net loss per common share - basic and diluted</w:t>
            </w:r>
          </w:p>
        </w:tc>
        <w:tc>
          <w:tcPr>
            <w:tcW w:w="1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0" w:lineRule="exact"/>
              <w:rPr>
                <w:sz w:val="20"/>
                <w:szCs w:val="20"/>
                <w:color w:val="auto"/>
              </w:rPr>
            </w:pPr>
            <w:r>
              <w:rPr>
                <w:rFonts w:ascii="Arial" w:cs="Arial" w:eastAsia="Arial" w:hAnsi="Arial"/>
                <w:sz w:val="18"/>
                <w:szCs w:val="18"/>
                <w:color w:val="auto"/>
              </w:rPr>
              <w:t>(0.04)</w:t>
            </w:r>
          </w:p>
        </w:tc>
        <w:tc>
          <w:tcPr>
            <w:tcW w:w="1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0" w:lineRule="exact"/>
              <w:rPr>
                <w:sz w:val="20"/>
                <w:szCs w:val="20"/>
                <w:color w:val="auto"/>
              </w:rPr>
            </w:pPr>
            <w:r>
              <w:rPr>
                <w:rFonts w:ascii="Arial" w:cs="Arial" w:eastAsia="Arial" w:hAnsi="Arial"/>
                <w:sz w:val="18"/>
                <w:szCs w:val="18"/>
                <w:color w:val="auto"/>
              </w:rPr>
              <w:t>(0.03)</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F0FFFF"/>
          </w:tcPr>
          <w:p>
            <w:pPr>
              <w:spacing w:after="0"/>
              <w:rPr>
                <w:sz w:val="20"/>
                <w:szCs w:val="20"/>
                <w:color w:val="auto"/>
              </w:rPr>
            </w:pPr>
            <w:r>
              <w:rPr>
                <w:rFonts w:ascii="Arial" w:cs="Arial" w:eastAsia="Arial" w:hAnsi="Arial"/>
                <w:sz w:val="18"/>
                <w:szCs w:val="18"/>
                <w:color w:val="auto"/>
              </w:rPr>
              <w:t>Basic and diluted weighted average number of common shares outstanding</w:t>
            </w:r>
          </w:p>
        </w:tc>
        <w:tc>
          <w:tcPr>
            <w:tcW w:w="1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36,309,047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35,719,211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used herein, non-GAAP net income (loss) represents GAAP (Generally Accepted Accounting Principles) net income (loss) excluding costs or benefits relating to any adjustment for fair value of warrant liabilities and non-cash portions of the Company’s income tax benefit (provision), non-recurring fees and charges that were incurred in connection with the acquisition and integration of the VendScreen business, and professional fees incurred in connection with the class action litigation and the SLC investigation. Non-GAAP net earnings (loss) per common share - diluted is calculated by dividing non-GAAP net income (loss) applicable to common shares by the number of diluted weighted average shares outstanding. Management believes that non-GAAP net income (loss) is an important measure of USAT’s business. Non-GAAP net income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income (loss) and non-GAAP net earnings (loss) per share are important measures of the Company's business. Management uses the aforementioned non-GAAP measures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(loss) as a metric in its executive officer and management incentive compensation plans.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For the fiscal year ended June 30, 2016, the Company had Adjusted EBITDA of $6.0 million. Reconciliation of net income (loss) to Adjusted EBITDA for the fiscal years ended June 30, 2016 and 2015 is as follows: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6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Year ended</w:t>
            </w:r>
          </w:p>
        </w:tc>
      </w:tr>
      <w:tr>
        <w:trPr>
          <w:trHeight w:val="211"/>
        </w:trPr>
        <w:tc>
          <w:tcPr>
            <w:tcW w:w="6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8"/>
                <w:szCs w:val="18"/>
                <w:color w:val="auto"/>
              </w:rPr>
            </w:pPr>
          </w:p>
        </w:tc>
      </w:tr>
      <w:tr>
        <w:trPr>
          <w:trHeight w:val="241"/>
        </w:trPr>
        <w:tc>
          <w:tcPr>
            <w:tcW w:w="600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 in thousands)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F0FFFF"/>
            </w:tcBorders>
          </w:tcPr>
          <w:p>
            <w:pPr>
              <w:spacing w:after="0"/>
              <w:rPr>
                <w:sz w:val="20"/>
                <w:szCs w:val="20"/>
                <w:color w:val="auto"/>
              </w:rPr>
            </w:pPr>
          </w:p>
        </w:tc>
      </w:tr>
      <w:tr>
        <w:trPr>
          <w:trHeight w:val="216"/>
        </w:trPr>
        <w:tc>
          <w:tcPr>
            <w:tcW w:w="600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(6,806)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(1,089)</w:t>
            </w:r>
          </w:p>
        </w:tc>
        <w:tc>
          <w:tcPr>
            <w:tcW w:w="60" w:type="dxa"/>
            <w:vAlign w:val="bottom"/>
            <w:shd w:val="clear" w:color="auto" w:fill="F0FFFF"/>
          </w:tcPr>
          <w:p>
            <w:pPr>
              <w:spacing w:after="0"/>
              <w:rPr>
                <w:sz w:val="18"/>
                <w:szCs w:val="18"/>
                <w:color w:val="auto"/>
              </w:rPr>
            </w:pPr>
          </w:p>
        </w:tc>
      </w:tr>
      <w:tr>
        <w:trPr>
          <w:trHeight w:val="216"/>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Less interest income</w:t>
            </w: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Plus interest expenses</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r>
      <w:tr>
        <w:trPr>
          <w:trHeight w:val="216"/>
        </w:trPr>
        <w:tc>
          <w:tcPr>
            <w:tcW w:w="60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(Less) plus income tax provision</w:t>
            </w: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289</w:t>
            </w: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Plus depreciation expense</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5,135</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5,731</w:t>
            </w:r>
          </w:p>
        </w:tc>
      </w:tr>
      <w:tr>
        <w:trPr>
          <w:trHeight w:val="236"/>
        </w:trPr>
        <w:tc>
          <w:tcPr>
            <w:tcW w:w="600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Plus amortization expense</w:t>
            </w:r>
          </w:p>
        </w:tc>
        <w:tc>
          <w:tcPr>
            <w:tcW w:w="100" w:type="dxa"/>
            <w:vAlign w:val="bottom"/>
            <w:tcBorders>
              <w:bottom w:val="single" w:sz="8" w:color="auto"/>
            </w:tcBorders>
            <w:shd w:val="clear" w:color="auto" w:fill="F0FFFF"/>
          </w:tcPr>
          <w:p>
            <w:pPr>
              <w:spacing w:after="0"/>
              <w:rPr>
                <w:sz w:val="20"/>
                <w:szCs w:val="20"/>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F0FFFF"/>
            </w:tcBorders>
            <w:shd w:val="clear" w:color="auto" w:fill="F0FFFF"/>
          </w:tcPr>
          <w:p>
            <w:pPr>
              <w:spacing w:after="0"/>
              <w:rPr>
                <w:sz w:val="20"/>
                <w:szCs w:val="20"/>
                <w:color w:val="auto"/>
              </w:rPr>
            </w:pPr>
          </w:p>
        </w:tc>
      </w:tr>
      <w:tr>
        <w:trPr>
          <w:trHeight w:val="210"/>
        </w:trPr>
        <w:tc>
          <w:tcPr>
            <w:tcW w:w="6000" w:type="dxa"/>
            <w:vAlign w:val="bottom"/>
            <w:tcBorders>
              <w:bottom w:val="single" w:sz="8" w:color="F0FFFF"/>
            </w:tcBorders>
          </w:tcPr>
          <w:p>
            <w:pPr>
              <w:ind w:left="180"/>
              <w:spacing w:after="0" w:line="203" w:lineRule="exact"/>
              <w:rPr>
                <w:sz w:val="20"/>
                <w:szCs w:val="20"/>
                <w:color w:val="auto"/>
              </w:rPr>
            </w:pPr>
            <w:r>
              <w:rPr>
                <w:rFonts w:ascii="Arial" w:cs="Arial" w:eastAsia="Arial" w:hAnsi="Arial"/>
                <w:sz w:val="18"/>
                <w:szCs w:val="18"/>
                <w:color w:val="auto"/>
              </w:rPr>
              <w:t>EBITDA</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(1,919</w:t>
            </w:r>
          </w:p>
        </w:tc>
        <w:tc>
          <w:tcPr>
            <w:tcW w:w="120" w:type="dxa"/>
            <w:vAlign w:val="bottom"/>
            <w:tcBorders>
              <w:bottom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5,150</w:t>
            </w:r>
          </w:p>
        </w:tc>
        <w:tc>
          <w:tcPr>
            <w:tcW w:w="60" w:type="dxa"/>
            <w:vAlign w:val="bottom"/>
            <w:tcBorders>
              <w:bottom w:val="single" w:sz="8" w:color="F0FFFF"/>
            </w:tcBorders>
          </w:tcPr>
          <w:p>
            <w:pPr>
              <w:spacing w:after="0"/>
              <w:rPr>
                <w:sz w:val="18"/>
                <w:szCs w:val="18"/>
                <w:color w:val="auto"/>
              </w:rPr>
            </w:pPr>
          </w:p>
        </w:tc>
      </w:tr>
      <w:tr>
        <w:trPr>
          <w:trHeight w:val="216"/>
        </w:trPr>
        <w:tc>
          <w:tcPr>
            <w:tcW w:w="60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Plus change in fair value of warrant liabilities</w:t>
            </w: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5,674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393</w:t>
            </w:r>
          </w:p>
        </w:tc>
        <w:tc>
          <w:tcPr>
            <w:tcW w:w="60" w:type="dxa"/>
            <w:vAlign w:val="bottom"/>
            <w:shd w:val="clear" w:color="auto" w:fill="F0FFFF"/>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Plus stock-based compensation</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r>
      <w:tr>
        <w:trPr>
          <w:trHeight w:val="216"/>
        </w:trPr>
        <w:tc>
          <w:tcPr>
            <w:tcW w:w="60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Plus intangible asset impairment</w:t>
            </w: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Plus VendScreen non-recurring charges</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6"/>
        </w:trPr>
        <w:tc>
          <w:tcPr>
            <w:tcW w:w="60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Plus Litigation related professional fees</w:t>
            </w:r>
          </w:p>
        </w:tc>
        <w:tc>
          <w:tcPr>
            <w:tcW w:w="10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F0FFFF"/>
          </w:tcPr>
          <w:p>
            <w:pPr>
              <w:spacing w:after="0"/>
              <w:rPr>
                <w:sz w:val="20"/>
                <w:szCs w:val="20"/>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20"/>
                <w:szCs w:val="20"/>
                <w:color w:val="auto"/>
              </w:rPr>
            </w:pPr>
          </w:p>
        </w:tc>
      </w:tr>
      <w:tr>
        <w:trPr>
          <w:trHeight w:val="210"/>
        </w:trPr>
        <w:tc>
          <w:tcPr>
            <w:tcW w:w="6000" w:type="dxa"/>
            <w:vAlign w:val="bottom"/>
            <w:tcBorders>
              <w:top w:val="single" w:sz="8" w:color="F0FFFF"/>
              <w:bottom w:val="single" w:sz="8" w:color="F0FFFF"/>
            </w:tcBorders>
          </w:tcPr>
          <w:p>
            <w:pPr>
              <w:ind w:left="180"/>
              <w:spacing w:after="0" w:line="203" w:lineRule="exact"/>
              <w:rPr>
                <w:sz w:val="20"/>
                <w:szCs w:val="20"/>
                <w:color w:val="auto"/>
              </w:rPr>
            </w:pPr>
            <w:r>
              <w:rPr>
                <w:rFonts w:ascii="Arial" w:cs="Arial" w:eastAsia="Arial" w:hAnsi="Arial"/>
                <w:sz w:val="18"/>
                <w:szCs w:val="18"/>
                <w:color w:val="auto"/>
              </w:rPr>
              <w:t>Adjustments to EBITDA</w:t>
            </w: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7,901</w:t>
            </w: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1,109</w:t>
            </w:r>
          </w:p>
        </w:tc>
        <w:tc>
          <w:tcPr>
            <w:tcW w:w="60" w:type="dxa"/>
            <w:vAlign w:val="bottom"/>
            <w:tcBorders>
              <w:top w:val="single" w:sz="8" w:color="F0FFFF"/>
              <w:bottom w:val="single" w:sz="8" w:color="F0FFFF"/>
            </w:tcBorders>
          </w:tcPr>
          <w:p>
            <w:pPr>
              <w:spacing w:after="0"/>
              <w:rPr>
                <w:sz w:val="18"/>
                <w:szCs w:val="18"/>
                <w:color w:val="auto"/>
              </w:rPr>
            </w:pPr>
          </w:p>
        </w:tc>
      </w:tr>
      <w:tr>
        <w:trPr>
          <w:trHeight w:val="255"/>
        </w:trPr>
        <w:tc>
          <w:tcPr>
            <w:tcW w:w="60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5,983</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6,259</w:t>
            </w:r>
          </w:p>
        </w:tc>
        <w:tc>
          <w:tcPr>
            <w:tcW w:w="60" w:type="dxa"/>
            <w:vAlign w:val="bottom"/>
            <w:tcBorders>
              <w:bottom w:val="single" w:sz="8" w:color="F0FFFF"/>
            </w:tcBorders>
            <w:shd w:val="clear" w:color="auto" w:fill="F0FFFF"/>
          </w:tcPr>
          <w:p>
            <w:pPr>
              <w:spacing w:after="0"/>
              <w:rPr>
                <w:sz w:val="21"/>
                <w:szCs w:val="21"/>
                <w:color w:val="auto"/>
              </w:rPr>
            </w:pPr>
          </w:p>
        </w:tc>
      </w:tr>
      <w:tr>
        <w:trPr>
          <w:trHeight w:val="20"/>
        </w:trPr>
        <w:tc>
          <w:tcPr>
            <w:tcW w:w="60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used herein, Adjusted EBITDA represents net income (loss) before interest income, interest expense, income taxes, depreciation, amortization, non-recurring fees and charges that were incurred in connection with the acquisition and integration of the VendScreen business, professional fees incurred in connection with the class action litigation incurred during the third quarter of the fiscal year, impairment charges related to our EnergyMiser asset trademarks, and change in fair value of warrant liabilities and stock-based compensation expense. We have excluded the non-operating item, change in fair value of warrant liabilities, because it represents a non-cash gain or charge that is not related to the Company’s operations. We have excluded the non-cash expense, stock-based compensation, as it does not reflect the cash-based operations of the Company. We have excluded the non-recurring costs and expenses incurred in connection with the VendScreen transaction in order to allow more accurate comparison of the financial results to historical operations. We have excluded the professional fees incurred in connection with the class action litigation as well as the trademark impairment charges because we believe that they represent a charge that is not related to the Company's operations.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Additionally, the Company utilizes Adjusted EBTIDA as a metric in its executive officer and management incentive compensation plans.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FISCAL YEAR ENDED JUNE 30, 2015 COMPARED TO FISCAL YEAR ENDED JUNE 30, 2014</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Results for the fiscal year ended June 30, 2015 continued to demonstrate growth toward achieving our long-term goals. Highlights of year over year improvements include:</w:t>
      </w:r>
    </w:p>
    <w:p>
      <w:pPr>
        <w:spacing w:after="0" w:line="17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Record net new connections of 67,000;</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revenue up 37% to $58.1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Recurring license and transaction fee revenue up 22% to $43.6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Improvements in cash flows from operating activities in third and fourth quarters, as a result of QuickStart reintroduced during the fiscal year.</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the fiscal year ended June 30, 2015 were $58.1 million, consisting of $43.6 million of license and transactions fees and $14.4 million of equipment sales, compared to $42.3 million for the fiscal year ended June 30, 2014, consisting of $35.6 million of license and transaction fees and $6.7 million of equipment sales. The increase in total revenue of $15.7 million, or 37%, was equally attributable to the increase in equipment sales of $7.7 million or 115% and the increase in license and transaction fees of $8.0 million, or 22%, from the prior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license and transaction fees, which represented 75% of total revenue for fiscal 2015, is primarily attributable to monthly ePort Connect® service fees and transaction processing fees. Highlights for fiscal 2015 include:</w:t>
      </w:r>
    </w:p>
    <w:p>
      <w:pPr>
        <w:spacing w:after="0" w:line="170" w:lineRule="exact"/>
        <w:rPr>
          <w:sz w:val="20"/>
          <w:szCs w:val="20"/>
          <w:color w:val="auto"/>
        </w:rPr>
      </w:pPr>
    </w:p>
    <w:p>
      <w:pPr>
        <w:ind w:left="980" w:hanging="324"/>
        <w:spacing w:after="0" w:line="25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Adding 67,000 net connections to our service, consisting of 82,000 new connections to our ePort Connect service in fiscal 2015, offset by 15,000 deactivations, compared to 52,000 net connections added in fiscal 2014;</w:t>
      </w:r>
    </w:p>
    <w:p>
      <w:pPr>
        <w:spacing w:after="0" w:line="1" w:lineRule="exact"/>
        <w:rPr>
          <w:rFonts w:ascii="Arial" w:cs="Arial" w:eastAsia="Arial" w:hAnsi="Arial"/>
          <w:sz w:val="18"/>
          <w:szCs w:val="18"/>
          <w:color w:val="auto"/>
        </w:rPr>
      </w:pPr>
    </w:p>
    <w:p>
      <w:pPr>
        <w:ind w:left="980" w:hanging="324"/>
        <w:spacing w:after="0" w:line="265"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of June 30, 2015, the Company had approximately 333,000 connections to the ePort Connect service compared to approximately 266,000 connections to the ePort Connect service as of June 30, 2014, an increase of 67,000 net connections or 25%;</w:t>
      </w:r>
    </w:p>
    <w:p>
      <w:pPr>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fiscal 2015 of 29% and 32%, respectively, compared to the same period a year ago; and</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ePort Connect customer base grew 32% from June 30, 2014.</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that stems from the increased number of connections to our ePort Connect service.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its agreements with customers, in addition to ePort Connect service fees, the Company earns transaction processing fees equal to a percentage of the dollar volume processed by the Company. During the year ended June 30, 2015, the Company processed approximately 216.6 million transactions totaling approximately $388.9 million compared to approximately 168.5 million transactions totaling approximately $293.8 million during the year ended June 30, 2014, an increase of approximately 29% in the number of transactions and approximately 32% in the value of transactions processed.</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New customers added to our ePort® Connect service during the fiscal year ended June 30, 2015 totaled 2,300, bringing the total number of customers to approximately 9,600 as of June 30, 2015. The Company added approximately 2,250 new customers in the year ended June 30, 2014. By comparison, the Company had approximately 7,300 customers as of June 30, 2014, representing a 32% increase during the past twelve months. The Company views the total installed base of machines managed by its customers that have yet to transition to cashless payment, as a key strategic opportunity for future growth in connections. We count a customer as a new customer upon the signing of their ePort Connect service agreement. When a reseller sells our ePort, we count a customer as a new customer upon the signing of the applicable services agreement with the customer.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$7.7 million increase in equipment sales was a result of an increase of approximately $8.1 million related to ePort® products, offset by decreases of approximately $0.4 million in Energy Miser products. The increase in ePort products is directly attributable to selling more units, versus renting units via the JumpStart program, during the current fiscal year due to the reintroduction of the QuickStart program in September 2014. The decrease in Energy Miser products is directly attributable to selling fewer units during the current fiscal year.</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of sales consisted of cost of services for license and transaction fees of $29.4 million and $23.0 million and equipment costs of $11.8 million and $4.3 million, for the years ended June 30, 2015 and 2014, respectively. The increase in total cost of sales of $14.0 million, or 51%, was due to an increase in cost of equipment sales of $7.6 million due to selling more units during the period under the QuickStart program. In fiscal 2014, the JumpStart program accounted for a significant percentage of the Company’s net new connections. Under this program, the cost of the device is depreciated to cost of services for license and transaction fees over the expected rental period. There was also an increase in cost of services of $6.4 million that stemmed from the greater number of connections to the Company’s ePort Connect service and increases in transaction dollars processed by those connections.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(“GP”) for the year ended June 30, 2015 was $16.8 million compared to GP of $15.1 million for the previous fiscal year, an increase of $1.7 million, or 12%, of which $14.2 million is attributable to license and transaction fees GP and $2.6 million of equipment sales GP. Overall gross profit margins decreased from 36% to 29% due to a decrease in license and transaction fees margins to 33%, from 35% in the prior fiscal year and by a decrease in equipment sales margins to 18%, from 37% in the prior fiscal year.</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License and transaction fees margins decreased due to the impact of certain JumpStart connections added during the third and fourth quarters of 2014 fiscal year with fee grace periods extending into fiscal year 2015 under sales incentives, as well as approximately $1.7 million of net rent expense during the year ended June 30, 2015 related to the Sale Leaseback transactions, which is approximately $0.5 million higher than the depreciation the Company would have recorded on the ePorts during the same period had the Sale Leaseback transactions not occurred. Also contributing to the decrease of license and transaction fee margins was a charge of approximately $0.4 million in connection with a customer billing dispute.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13"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t>The decrease in equipment revenue margins is attributable to sales under the QuickStart program, which has generally lower margins than what is recognized under a rental, or JumpStart. In addition, there were approximately $0.9 million less in activation fees recorded during fiscal 2015 versus fiscal 2014, which are a higher margin revenue source, and to date have not been part of the QuickStart program.</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$0.2 million increase in equipment sales GP includes one-time recoveries of $0.7 million and $0.2 million in the years ended June 30, 2015 and 2014, respectively. The $0.7 million relates to recoveries arising from a customer agreement; and, the $0.2 million was a reversal of a prior charge for equipment rebates. Excluding these one-time items, equipment sales GP decreased $0.4 million from the prior year, which was mostly attributable to having $0.9 million less GP from ePort activation fees, which are a higher margin revenue source and which to date are not part of the QuickStart Program and $0.2 million less GP related to fewer energy miser offset by a higher dollar volume of gross profit from the large increase in equipment revenue dollars as compared to a year ago.</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(“SG&amp;A”) expenses of $16.5 million for the fiscal year ended June 30, 2015, increased by $2.4 million or 17%, from the prior fiscal year. Approximately $1.1 million, or 47% of the increase, were non-cash expenses. The overall increase in SG&amp;A is attributable to increases of approximately $1.1 million in bad debt estimates, $0.6 million in employee and director compensation and benefits expenses, $0.6 million in consulting and professional services, and by a net increase of $0.2 million for various other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and expense for the year ended June 30, 2015, primarily consisted of a $0.4 million non-cash charge for the change in the fair value of the Company’s warrant liabilities. The primary factor affecting the change in fair value is the increase in the Black-Scholes value of the warrants from June 30, 2014 to June 30, 2015, which factored in the increase in the Company’s stock price as well as a decrease in its volatility used for this calculation during that period.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fiscal year ended June 30, 2015 resulted in net loss of $1.1 million compared to net income of $27.5 million for the fiscal year ended June 30, 2014. Included in net income for the fiscal year ended June 30, 2014 is a benefit from a reduction in income tax valuation allowances of $26.7 million. After preferred dividends of $0.7 million for each fiscal year, net (loss)/income applicable to common shareholders was ($1.8 million) and $26.9 million for the fiscal years ended 2015 and 2014, respectively. For the fiscal year ended June 30, 2015, net loss per common share (basic and diluted) was $0.05, compared to net earnings per common share (basic and diluted) of $0.78.</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loss was $0.5 million for the year ended June 30, 2015, compared to non-GAAP net income of $0.2 million for the year ended June 30, 2014. Management believes that non-GAAP net income is an important measure of USAT’s business. Management uses the aforementioned non-GAAP measures to monitor and evaluate ongoing operating results and trends and to gain an understanding of our comparative operating performance. We believe that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and future financial performance.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 reconciliation of net income to Non-GAAP net income for the years ended June 30, 2015 and 2014 is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Reconciliation of Net Income (Loss) to Non-GAAP Net Income (Loss) and Net Earnings (Loss) Per Common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Share - Basic and Diluted to Non-GAAP Net Earnings (Loss) Per Common Share - Basic and Diluted</w:t>
      </w:r>
    </w:p>
    <w:p>
      <w:pPr>
        <w:sectPr>
          <w:pgSz w:w="11900" w:h="16838" w:orient="portrait"/>
          <w:cols w:equalWidth="0" w:num="1">
            <w:col w:w="11420"/>
          </w:cols>
          <w:pgMar w:left="240" w:top="908" w:right="239" w:bottom="7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in thousands)</w:t>
      </w:r>
    </w:p>
    <w:p>
      <w:pPr>
        <w:spacing w:after="0" w:line="26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615759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Non-GAAP adjustments: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Non-cash portion of 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-116205</wp:posOffset>
            </wp:positionV>
            <wp:extent cx="615759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Fair value of warrant adjustment</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Non-GAAP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615759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575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Year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5"/>
              </w:rPr>
              <w:t>June 30,</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2"/>
              </w:rPr>
              <w:t>June 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(1,089)</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(27,277)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vMerge w:val="restart"/>
          </w:tcPr>
          <w:p>
            <w:pPr>
              <w:jc w:val="right"/>
              <w:ind w:right="100"/>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8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440" w:space="720"/>
            <w:col w:w="3260"/>
          </w:cols>
          <w:pgMar w:left="240" w:top="908" w:right="239" w:bottom="792" w:gutter="0" w:footer="0" w:header="0"/>
          <w:type w:val="continuous"/>
        </w:sectPr>
      </w:pP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48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(1,089)</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27,531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9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loss applicable to common shares</w:t>
            </w:r>
          </w:p>
        </w:tc>
        <w:tc>
          <w:tcPr>
            <w:tcW w:w="130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Borders>
              <w:top w:val="single" w:sz="8" w:color="F0FFFF"/>
              <w:bottom w:val="single" w:sz="8" w:color="F0FFFF"/>
            </w:tcBorders>
            <w:shd w:val="clear" w:color="auto" w:fill="F0FFFF"/>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26,863</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F0FFFF"/>
            </w:tcBorders>
          </w:tcPr>
          <w:p>
            <w:pPr>
              <w:spacing w:after="0" w:line="20" w:lineRule="exact"/>
              <w:rPr>
                <w:sz w:val="1"/>
                <w:szCs w:val="1"/>
                <w:color w:val="auto"/>
              </w:rPr>
            </w:pPr>
          </w:p>
        </w:tc>
        <w:tc>
          <w:tcPr>
            <w:tcW w:w="13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(loss)</w:t>
            </w:r>
          </w:p>
        </w:tc>
        <w:tc>
          <w:tcPr>
            <w:tcW w:w="148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(470)</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9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Non-GAAP net income (loss) applicable to common shares</w:t>
            </w:r>
          </w:p>
        </w:tc>
        <w:tc>
          <w:tcPr>
            <w:tcW w:w="130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top w:val="single" w:sz="8" w:color="F0FFFF"/>
              <w:bottom w:val="single" w:sz="8" w:color="F0FFFF"/>
            </w:tcBorders>
            <w:shd w:val="clear" w:color="auto" w:fill="F0FFFF"/>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(480</w:t>
            </w:r>
          </w:p>
        </w:tc>
        <w:tc>
          <w:tcPr>
            <w:tcW w:w="8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F0FFFF"/>
            </w:tcBorders>
          </w:tcPr>
          <w:p>
            <w:pPr>
              <w:spacing w:after="0" w:line="20" w:lineRule="exact"/>
              <w:rPr>
                <w:sz w:val="1"/>
                <w:szCs w:val="1"/>
                <w:color w:val="auto"/>
              </w:rPr>
            </w:pPr>
          </w:p>
        </w:tc>
        <w:tc>
          <w:tcPr>
            <w:tcW w:w="13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Net earnings (loss) per common share - basic</w:t>
            </w:r>
          </w:p>
        </w:tc>
        <w:tc>
          <w:tcPr>
            <w:tcW w:w="148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(0.05)</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0.77</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F0FFFF"/>
            </w:tcBorders>
          </w:tcPr>
          <w:p>
            <w:pPr>
              <w:spacing w:after="0" w:line="20" w:lineRule="exact"/>
              <w:rPr>
                <w:sz w:val="1"/>
                <w:szCs w:val="1"/>
                <w:color w:val="auto"/>
              </w:rPr>
            </w:pPr>
          </w:p>
        </w:tc>
        <w:tc>
          <w:tcPr>
            <w:tcW w:w="13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Net earnings (loss) per common share - diluted</w:t>
            </w:r>
          </w:p>
        </w:tc>
        <w:tc>
          <w:tcPr>
            <w:tcW w:w="148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(0.05)</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0.77</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F0FFFF"/>
            </w:tcBorders>
          </w:tcPr>
          <w:p>
            <w:pPr>
              <w:spacing w:after="0" w:line="20" w:lineRule="exact"/>
              <w:rPr>
                <w:sz w:val="1"/>
                <w:szCs w:val="1"/>
                <w:color w:val="auto"/>
              </w:rPr>
            </w:pPr>
          </w:p>
        </w:tc>
        <w:tc>
          <w:tcPr>
            <w:tcW w:w="13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Non-GAAP net earnings (loss) per common share - basic</w:t>
            </w:r>
          </w:p>
        </w:tc>
        <w:tc>
          <w:tcPr>
            <w:tcW w:w="148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(0.03)</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F0FFFF"/>
            </w:tcBorders>
          </w:tcPr>
          <w:p>
            <w:pPr>
              <w:spacing w:after="0" w:line="20" w:lineRule="exact"/>
              <w:rPr>
                <w:sz w:val="1"/>
                <w:szCs w:val="1"/>
                <w:color w:val="auto"/>
              </w:rPr>
            </w:pPr>
          </w:p>
        </w:tc>
        <w:tc>
          <w:tcPr>
            <w:tcW w:w="13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Non-GAAP net earnings (loss) per common share - diluted</w:t>
            </w:r>
          </w:p>
        </w:tc>
        <w:tc>
          <w:tcPr>
            <w:tcW w:w="148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(0.03)</w:t>
            </w:r>
          </w:p>
        </w:tc>
        <w:tc>
          <w:tcPr>
            <w:tcW w:w="2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F0FFFF"/>
            </w:tcBorders>
          </w:tcPr>
          <w:p>
            <w:pPr>
              <w:spacing w:after="0" w:line="20" w:lineRule="exact"/>
              <w:rPr>
                <w:sz w:val="1"/>
                <w:szCs w:val="1"/>
                <w:color w:val="auto"/>
              </w:rPr>
            </w:pPr>
          </w:p>
        </w:tc>
        <w:tc>
          <w:tcPr>
            <w:tcW w:w="13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Basic weighted average number of common shares outstanding</w:t>
            </w:r>
          </w:p>
        </w:tc>
        <w:tc>
          <w:tcPr>
            <w:tcW w:w="13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35,719,211</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34,667,769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13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35,719,211</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35,009,559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Net income for the year ended June 30, 2014 includes an income tax benefit of $27.3 million for the reduction on tax valuation allowances.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used herein, non-GAAP net income (loss) represents GAAP net income (loss) excluding costs or benefits relating to any adjustment for fair value of warrant liabilities and non-cash portions of the Company’s income tax benefit (provision). Non-GAAP net earnings (loss) per common share - diluted is calculated by dividing non-GAAP net income (loss) applicable to common shares by the number of diluted weighted average shares outstanding.</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fiscal year ended June 30, 2015, the Company had Adjusted EBITDA of $6.3 million. Reconciliation of net income (loss) to Adjusted EBITDA for the years ended June 30, 2015 and 2014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6"/>
          </w:tcPr>
          <w:p>
            <w:pPr>
              <w:jc w:val="right"/>
              <w:ind w:right="1000"/>
              <w:spacing w:after="0"/>
              <w:rPr>
                <w:sz w:val="20"/>
                <w:szCs w:val="20"/>
                <w:color w:val="auto"/>
              </w:rPr>
            </w:pPr>
            <w:r>
              <w:rPr>
                <w:rFonts w:ascii="Arial" w:cs="Arial" w:eastAsia="Arial" w:hAnsi="Arial"/>
                <w:sz w:val="18"/>
                <w:szCs w:val="18"/>
                <w:color w:val="auto"/>
              </w:rPr>
              <w:t>For year ended</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June 30,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June 30,</w:t>
            </w:r>
          </w:p>
        </w:tc>
        <w:tc>
          <w:tcPr>
            <w:tcW w:w="1140" w:type="dxa"/>
            <w:vAlign w:val="bottom"/>
          </w:tcPr>
          <w:p>
            <w:pPr>
              <w:spacing w:after="0"/>
              <w:rPr>
                <w:sz w:val="19"/>
                <w:szCs w:val="19"/>
                <w:color w:val="auto"/>
              </w:rPr>
            </w:pPr>
          </w:p>
        </w:tc>
      </w:tr>
      <w:tr>
        <w:trPr>
          <w:trHeight w:val="237"/>
        </w:trPr>
        <w:tc>
          <w:tcPr>
            <w:tcW w:w="5140" w:type="dxa"/>
            <w:vAlign w:val="bottom"/>
            <w:gridSpan w:val="2"/>
          </w:tcPr>
          <w:p>
            <w:pPr>
              <w:ind w:left="1140"/>
              <w:spacing w:after="0"/>
              <w:rPr>
                <w:sz w:val="20"/>
                <w:szCs w:val="20"/>
                <w:color w:val="auto"/>
              </w:rPr>
            </w:pPr>
            <w:r>
              <w:rPr>
                <w:rFonts w:ascii="Arial" w:cs="Arial" w:eastAsia="Arial" w:hAnsi="Arial"/>
                <w:sz w:val="18"/>
                <w:szCs w:val="18"/>
                <w:color w:val="auto"/>
              </w:rPr>
              <w:t>($ in thousands)</w:t>
            </w: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9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loss</w:t>
            </w:r>
          </w:p>
        </w:tc>
        <w:tc>
          <w:tcPr>
            <w:tcW w:w="214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27,531</w:t>
            </w:r>
          </w:p>
        </w:tc>
        <w:tc>
          <w:tcPr>
            <w:tcW w:w="80" w:type="dxa"/>
            <w:vAlign w:val="bottom"/>
            <w:tcBorders>
              <w:top w:val="single" w:sz="8" w:color="F0FFFF"/>
            </w:tcBorders>
            <w:shd w:val="clear" w:color="auto" w:fill="F0FF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Less interest income</w:t>
            </w:r>
          </w:p>
        </w:tc>
        <w:tc>
          <w:tcPr>
            <w:tcW w:w="2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(83)</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Plus interest expenses</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(Less) plus income tax provision</w:t>
            </w:r>
          </w:p>
        </w:tc>
        <w:tc>
          <w:tcPr>
            <w:tcW w:w="2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(27,255)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Plus depreciation expense</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5,464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6"/>
        </w:trPr>
        <w:tc>
          <w:tcPr>
            <w:tcW w:w="1160" w:type="dxa"/>
            <w:vAlign w:val="bottom"/>
          </w:tcPr>
          <w:p>
            <w:pPr>
              <w:spacing w:after="0"/>
              <w:rPr>
                <w:sz w:val="20"/>
                <w:szCs w:val="20"/>
                <w:color w:val="auto"/>
              </w:rPr>
            </w:pPr>
          </w:p>
        </w:tc>
        <w:tc>
          <w:tcPr>
            <w:tcW w:w="39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Plus amortization expense</w:t>
            </w:r>
          </w:p>
        </w:tc>
        <w:tc>
          <w:tcPr>
            <w:tcW w:w="214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spacing w:after="0"/>
              <w:rPr>
                <w:sz w:val="20"/>
                <w:szCs w:val="20"/>
                <w:color w:val="auto"/>
              </w:rPr>
            </w:pPr>
          </w:p>
        </w:tc>
        <w:tc>
          <w:tcPr>
            <w:tcW w:w="1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spacing w:after="0"/>
              <w:rPr>
                <w:sz w:val="20"/>
                <w:szCs w:val="20"/>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F0FFFF"/>
            </w:tcBorders>
            <w:shd w:val="clear" w:color="auto" w:fill="F0FFFF"/>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980" w:type="dxa"/>
            <w:vAlign w:val="bottom"/>
            <w:tcBorders>
              <w:bottom w:val="single" w:sz="8" w:color="F0FFFF"/>
            </w:tcBorders>
          </w:tcPr>
          <w:p>
            <w:pPr>
              <w:ind w:left="160"/>
              <w:spacing w:after="0" w:line="203" w:lineRule="exact"/>
              <w:rPr>
                <w:sz w:val="20"/>
                <w:szCs w:val="20"/>
                <w:color w:val="auto"/>
              </w:rPr>
            </w:pPr>
            <w:r>
              <w:rPr>
                <w:rFonts w:ascii="Arial" w:cs="Arial" w:eastAsia="Arial" w:hAnsi="Arial"/>
                <w:sz w:val="18"/>
                <w:szCs w:val="18"/>
                <w:color w:val="auto"/>
              </w:rPr>
              <w:t>EBITDA</w:t>
            </w:r>
          </w:p>
        </w:tc>
        <w:tc>
          <w:tcPr>
            <w:tcW w:w="214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5,150</w:t>
            </w:r>
          </w:p>
        </w:tc>
        <w:tc>
          <w:tcPr>
            <w:tcW w:w="10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5,989</w:t>
            </w:r>
          </w:p>
        </w:tc>
        <w:tc>
          <w:tcPr>
            <w:tcW w:w="80" w:type="dxa"/>
            <w:vAlign w:val="bottom"/>
            <w:tcBorders>
              <w:bottom w:val="single" w:sz="8" w:color="F0FF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Less change in fair value of warrant liabilities</w:t>
            </w:r>
          </w:p>
        </w:tc>
        <w:tc>
          <w:tcPr>
            <w:tcW w:w="2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98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Plus stock-based compensation</w:t>
            </w:r>
          </w:p>
        </w:tc>
        <w:tc>
          <w:tcPr>
            <w:tcW w:w="2140" w:type="dxa"/>
            <w:vAlign w:val="bottom"/>
            <w:tcBorders>
              <w:bottom w:val="single" w:sz="8" w:color="F0FF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F0FFFF"/>
            </w:tcBorders>
          </w:tcPr>
          <w:p>
            <w:pPr>
              <w:spacing w:after="0"/>
              <w:rPr>
                <w:sz w:val="19"/>
                <w:szCs w:val="19"/>
                <w:color w:val="auto"/>
              </w:rPr>
            </w:pPr>
          </w:p>
        </w:tc>
        <w:tc>
          <w:tcPr>
            <w:tcW w:w="60" w:type="dxa"/>
            <w:vAlign w:val="bottom"/>
            <w:tcBorders>
              <w:bottom w:val="single" w:sz="8" w:color="F0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80" w:type="dxa"/>
            <w:vAlign w:val="bottom"/>
            <w:tcBorders>
              <w:bottom w:val="single" w:sz="8" w:color="F0FFFF"/>
            </w:tcBorders>
          </w:tcPr>
          <w:p>
            <w:pPr>
              <w:spacing w:after="0"/>
              <w:rPr>
                <w:sz w:val="19"/>
                <w:szCs w:val="19"/>
                <w:color w:val="auto"/>
              </w:rPr>
            </w:pPr>
          </w:p>
        </w:tc>
        <w:tc>
          <w:tcPr>
            <w:tcW w:w="1140" w:type="dxa"/>
            <w:vAlign w:val="bottom"/>
          </w:tcPr>
          <w:p>
            <w:pPr>
              <w:spacing w:after="0"/>
              <w:rPr>
                <w:sz w:val="19"/>
                <w:szCs w:val="19"/>
                <w:color w:val="auto"/>
              </w:rPr>
            </w:pPr>
          </w:p>
        </w:tc>
      </w:tr>
      <w:tr>
        <w:trPr>
          <w:trHeight w:val="236"/>
        </w:trPr>
        <w:tc>
          <w:tcPr>
            <w:tcW w:w="1160" w:type="dxa"/>
            <w:vAlign w:val="bottom"/>
          </w:tcPr>
          <w:p>
            <w:pPr>
              <w:spacing w:after="0"/>
              <w:rPr>
                <w:sz w:val="20"/>
                <w:szCs w:val="20"/>
                <w:color w:val="auto"/>
              </w:rPr>
            </w:pPr>
          </w:p>
        </w:tc>
        <w:tc>
          <w:tcPr>
            <w:tcW w:w="39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Adjustments to EBITDA</w:t>
            </w:r>
          </w:p>
        </w:tc>
        <w:tc>
          <w:tcPr>
            <w:tcW w:w="214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spacing w:after="0"/>
              <w:rPr>
                <w:sz w:val="20"/>
                <w:szCs w:val="20"/>
                <w:color w:val="auto"/>
              </w:rPr>
            </w:pPr>
          </w:p>
        </w:tc>
        <w:tc>
          <w:tcPr>
            <w:tcW w:w="1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spacing w:after="0"/>
              <w:rPr>
                <w:sz w:val="20"/>
                <w:szCs w:val="20"/>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463</w:t>
            </w:r>
          </w:p>
        </w:tc>
        <w:tc>
          <w:tcPr>
            <w:tcW w:w="80" w:type="dxa"/>
            <w:vAlign w:val="bottom"/>
            <w:tcBorders>
              <w:bottom w:val="single" w:sz="8" w:color="F0FFFF"/>
            </w:tcBorders>
            <w:shd w:val="clear" w:color="auto" w:fill="F0FFFF"/>
          </w:tcPr>
          <w:p>
            <w:pPr>
              <w:spacing w:after="0"/>
              <w:rPr>
                <w:sz w:val="20"/>
                <w:szCs w:val="20"/>
                <w:color w:val="auto"/>
              </w:rPr>
            </w:pPr>
          </w:p>
        </w:tc>
        <w:tc>
          <w:tcPr>
            <w:tcW w:w="1140" w:type="dxa"/>
            <w:vAlign w:val="bottom"/>
          </w:tcPr>
          <w:p>
            <w:pPr>
              <w:spacing w:after="0"/>
              <w:rPr>
                <w:sz w:val="20"/>
                <w:szCs w:val="20"/>
                <w:color w:val="auto"/>
              </w:rPr>
            </w:pPr>
          </w:p>
        </w:tc>
      </w:tr>
      <w:tr>
        <w:trPr>
          <w:trHeight w:val="237"/>
        </w:trPr>
        <w:tc>
          <w:tcPr>
            <w:tcW w:w="11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Adjusted EBITDA</w:t>
            </w:r>
          </w:p>
        </w:tc>
        <w:tc>
          <w:tcPr>
            <w:tcW w:w="2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6,259</w:t>
            </w:r>
          </w:p>
        </w:tc>
        <w:tc>
          <w:tcPr>
            <w:tcW w:w="100" w:type="dxa"/>
            <w:vAlign w:val="bottom"/>
          </w:tcPr>
          <w:p>
            <w:pPr>
              <w:spacing w:after="0"/>
              <w:rPr>
                <w:sz w:val="20"/>
                <w:szCs w:val="20"/>
                <w:color w:val="auto"/>
              </w:rPr>
            </w:pP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6,452</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48"/>
        </w:trPr>
        <w:tc>
          <w:tcPr>
            <w:tcW w:w="1160" w:type="dxa"/>
            <w:vAlign w:val="bottom"/>
            <w:tcBorders>
              <w:bottom w:val="single" w:sz="8" w:color="DCDCDC"/>
            </w:tcBorders>
          </w:tcPr>
          <w:p>
            <w:pPr>
              <w:spacing w:after="0"/>
              <w:rPr>
                <w:sz w:val="24"/>
                <w:szCs w:val="24"/>
                <w:color w:val="auto"/>
              </w:rPr>
            </w:pPr>
          </w:p>
        </w:tc>
        <w:tc>
          <w:tcPr>
            <w:tcW w:w="3980" w:type="dxa"/>
            <w:vAlign w:val="bottom"/>
            <w:tcBorders>
              <w:bottom w:val="single" w:sz="8" w:color="DCDCDC"/>
            </w:tcBorders>
          </w:tcPr>
          <w:p>
            <w:pPr>
              <w:spacing w:after="0"/>
              <w:rPr>
                <w:sz w:val="24"/>
                <w:szCs w:val="24"/>
                <w:color w:val="auto"/>
              </w:rPr>
            </w:pPr>
          </w:p>
        </w:tc>
        <w:tc>
          <w:tcPr>
            <w:tcW w:w="2140" w:type="dxa"/>
            <w:vAlign w:val="bottom"/>
            <w:tcBorders>
              <w:bottom w:val="single" w:sz="8" w:color="DCDCDC"/>
            </w:tcBorders>
          </w:tcPr>
          <w:p>
            <w:pPr>
              <w:jc w:val="right"/>
              <w:ind w:right="1370"/>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auto"/>
              <w:bottom w:val="single" w:sz="8" w:color="DCDCDC"/>
            </w:tcBorders>
          </w:tcPr>
          <w:p>
            <w:pPr>
              <w:spacing w:after="0"/>
              <w:rPr>
                <w:sz w:val="24"/>
                <w:szCs w:val="24"/>
                <w:color w:val="auto"/>
              </w:rPr>
            </w:pPr>
          </w:p>
        </w:tc>
        <w:tc>
          <w:tcPr>
            <w:tcW w:w="1160" w:type="dxa"/>
            <w:vAlign w:val="bottom"/>
            <w:tcBorders>
              <w:top w:val="single" w:sz="8" w:color="auto"/>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20" w:type="dxa"/>
            <w:vAlign w:val="bottom"/>
            <w:tcBorders>
              <w:top w:val="single" w:sz="8" w:color="auto"/>
              <w:bottom w:val="single" w:sz="8" w:color="DCDCDC"/>
            </w:tcBorders>
          </w:tcPr>
          <w:p>
            <w:pPr>
              <w:spacing w:after="0"/>
              <w:rPr>
                <w:sz w:val="24"/>
                <w:szCs w:val="24"/>
                <w:color w:val="auto"/>
              </w:rPr>
            </w:pPr>
          </w:p>
        </w:tc>
        <w:tc>
          <w:tcPr>
            <w:tcW w:w="1140" w:type="dxa"/>
            <w:vAlign w:val="bottom"/>
            <w:tcBorders>
              <w:top w:val="single" w:sz="8" w:color="auto"/>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8" w:right="239" w:bottom="792" w:gutter="0" w:footer="0" w:header="0"/>
          <w:type w:val="continuous"/>
        </w:sectPr>
      </w:pPr>
    </w:p>
    <w:bookmarkStart w:id="36" w:name="page37"/>
    <w:bookmarkEnd w:id="36"/>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change in fair value of warrant liabilities and stock-based compensation expense. We have excluded the non-operating item, change in fair value of warrant liabilities, because it represents a non-cash gain or charge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June 30, 2016, net cash provided by operating activities was $6.5 million. The foregoing reflects a net benefit for non-cash operating activities of $12.0 million, and net cash provided by the change in various operating assets and liabilities of $1.3 million. Of the $12.0 million of non-cash activities, $5.1 million related to depreciation expense, of which, $4.5 million related to depreciation on JumpStart equipment allocated to cost of services. In addition to depreciation expense, other major non-cash charges included $1.5 million of bad debt expense and $5.7 million expense due to the increase in the fair value of warrant liabilities.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fiscal year ended June 30, 2015, the Company reintroduced QuickStart, a program whereby our customers are able to purchase our ePort hardware via a five-year, non-cancellable lease. From its introduction in September 2014 and through approximately mid-March 2015, the Company was entering into these leases directly with its customers. Under this scenario, the Company recorded a long-term and short-term receivable for the five-year leases. In the third and fourth quarters of fiscal 2015, the Company signed vendor agreements with two leasing companies, whereby our customers would enter into leases directly with the leasing companies. Under this scenario, the Company invoices the leasing company for the equipment leased by our customer, and records an accounts receivable for the balances due from the leasing companies. Unlike its finance receivables, where the cash would be collected over a five-year period, the accounts receivable due from the leasing company is typically collected within 30 days. QuickStart through third-party leasing companies increases cash flow needed for investing activities and improves cash flows from operations. The Company previously financed its customer's acquisition of ePort equipment primarily though the JumpStart program. Under JumpStart, the Company records an investing capital expenditure cash outflow for the equipment provided and fixed assets on the balance sheet, and then receives rental income from a month-to-month lease. During the fiscal year ended June 30, 2016, the majority of QuickStart sales consummated were with the customer entering into the lease directly with a third party leasing company. During the 2016 fiscal year, 91% of our gross connections consisted of QuickStart and sales under normal receivable terms and 9% of our gross connections consisted of JumpStart units.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By contrast, during the 2014 fiscal year, JumpStart units accounted for 60% of our gross connections. The increased use by our customers of the QuickStart program, with third party leasing, significantly improves cash flows from operating activities. We believe we will continue to be able to utilize third party leasing companies in our QuickStart program, which will increase our cash flow. However, some customers may be unable to secure third party leasing, and in those cases the Company would enter into a lease directly with the customer which would result in an increase in finance receivables. Accordingly, with the continued success of the QuickStart third-party leasing program, the Company should continue to generate positive cash flow from operations.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fiscal year ended June 30, 2016, $5.8 million of cash was used by investing activities of which $5.6 million was the cash paid for the assets acquired from VendScreen during the third quarter.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$7.2 million, generated predominantly by $4.9 million from the exercise of common stock warrants and $2.5 million net borrowings under the line of credit. During the fiscal year, the Company increased the aggregate amount available to it under its working capital line of credit from $7.5 million to $12 million.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2016 and 2015 fiscal years, the Company's net increase in cash was $7.9 million and $2.3 million, respectively. The Company has the following primary sources of capital available: (1) cash and cash equivalents on hand of $19.3 million as of June 30, 2016; (2) the anticipated cash to be provided by operating activities including our QuickStart program; (3) $4.8 million available as of June 30, 2016 under the line of credit provided we continue to satisfy the various covenants set forth in the loan agreement, including the requirement to meet minimum quarterly adjusted EBITDA, as defined in the loan agreement; (4) proceeds of $6.2 million from the potential exercise of warrants outstanding as of June 30, 2016 which expire on September 18, 2016; and (5) sales to a third party lender of all or a portion of our finance receivables.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Therefore, the Company believes its existing cash and cash equivalents and available cash resources described above, would provide sufficient capital resources to operate its anticipated business, including payment of its accrued expenses and payables, any cash resources to be utilized for the JumpStart program, other anticipated capital expenditures, and the repayment of long-term debt over the next 12 months. Although the existing working capital line of credit matures in March 2017, the Company anticipates that the line of credit would be renewed or could be refinanced with another lending institution.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the Company had certain contractual obligations due over a period of time as summarized in the following table:</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Less Than</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More than</w:t>
            </w:r>
          </w:p>
        </w:tc>
      </w:tr>
      <w:tr>
        <w:trPr>
          <w:trHeight w:val="241"/>
        </w:trPr>
        <w:tc>
          <w:tcPr>
            <w:tcW w:w="340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1 year</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1-3 years</w:t>
            </w:r>
          </w:p>
        </w:tc>
        <w:tc>
          <w:tcPr>
            <w:tcW w:w="18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3-5 years</w:t>
            </w: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5 years</w:t>
            </w:r>
          </w:p>
        </w:tc>
      </w:tr>
      <w:tr>
        <w:trPr>
          <w:trHeight w:val="216"/>
        </w:trPr>
        <w:tc>
          <w:tcPr>
            <w:tcW w:w="34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F0FFFF"/>
          </w:tcPr>
          <w:p>
            <w:pPr>
              <w:ind w:left="460"/>
              <w:spacing w:after="0"/>
              <w:rPr>
                <w:sz w:val="20"/>
                <w:szCs w:val="20"/>
                <w:color w:val="auto"/>
              </w:rPr>
            </w:pPr>
            <w:r>
              <w:rPr>
                <w:rFonts w:ascii="Arial" w:cs="Arial" w:eastAsia="Arial" w:hAnsi="Arial"/>
                <w:sz w:val="18"/>
                <w:szCs w:val="18"/>
                <w:color w:val="auto"/>
                <w:w w:val="84"/>
              </w:rPr>
              <w:t>1,906</w:t>
            </w: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509</w:t>
            </w:r>
          </w:p>
        </w:tc>
        <w:tc>
          <w:tcPr>
            <w:tcW w:w="1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1,392</w:t>
            </w:r>
          </w:p>
        </w:tc>
        <w:tc>
          <w:tcPr>
            <w:tcW w:w="18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F0FFFF"/>
          </w:tcPr>
          <w:p>
            <w:pPr>
              <w:spacing w:after="0"/>
              <w:rPr>
                <w:sz w:val="20"/>
                <w:szCs w:val="20"/>
                <w:color w:val="auto"/>
              </w:rPr>
            </w:pPr>
            <w:r>
              <w:rPr>
                <w:rFonts w:ascii="Arial" w:cs="Arial" w:eastAsia="Arial" w:hAnsi="Arial"/>
                <w:sz w:val="18"/>
                <w:szCs w:val="18"/>
                <w:color w:val="auto"/>
              </w:rPr>
              <w:t>Operating Lease Obligations, other</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ind w:left="460"/>
              <w:spacing w:after="0"/>
              <w:rPr>
                <w:sz w:val="20"/>
                <w:szCs w:val="20"/>
                <w:color w:val="auto"/>
              </w:rPr>
            </w:pPr>
            <w:r>
              <w:rPr>
                <w:rFonts w:ascii="Arial" w:cs="Arial" w:eastAsia="Arial" w:hAnsi="Arial"/>
                <w:sz w:val="18"/>
                <w:szCs w:val="18"/>
                <w:color w:val="auto"/>
              </w:rPr>
              <w:t>3,443</w:t>
            </w:r>
          </w:p>
        </w:tc>
        <w:tc>
          <w:tcPr>
            <w:tcW w:w="1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1,460</w:t>
            </w: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1,431</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Operating Lease Obligations under Sale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3400" w:type="dxa"/>
            <w:vAlign w:val="bottom"/>
          </w:tcPr>
          <w:p>
            <w:pPr>
              <w:spacing w:after="0"/>
              <w:rPr>
                <w:sz w:val="20"/>
                <w:szCs w:val="20"/>
                <w:color w:val="auto"/>
              </w:rPr>
            </w:pPr>
            <w:r>
              <w:rPr>
                <w:rFonts w:ascii="Arial" w:cs="Arial" w:eastAsia="Arial" w:hAnsi="Arial"/>
                <w:sz w:val="18"/>
                <w:szCs w:val="18"/>
                <w:color w:val="auto"/>
              </w:rPr>
              <w:t>Leaseback</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2,641</w:t>
            </w: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5"/>
        </w:trPr>
        <w:tc>
          <w:tcPr>
            <w:tcW w:w="34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ind w:left="460"/>
              <w:spacing w:after="0"/>
              <w:rPr>
                <w:sz w:val="20"/>
                <w:szCs w:val="20"/>
                <w:color w:val="auto"/>
              </w:rPr>
            </w:pPr>
            <w:r>
              <w:rPr>
                <w:rFonts w:ascii="Arial" w:cs="Arial" w:eastAsia="Arial" w:hAnsi="Arial"/>
                <w:sz w:val="18"/>
                <w:szCs w:val="18"/>
                <w:color w:val="auto"/>
                <w:w w:val="84"/>
              </w:rPr>
              <w:t>8,805</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4,001</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3,368</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1,436</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34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exposure to market risks for interest rate changes is not significant. Interest rates on its long-term debt are generally fixed. The Company has no exposure to market risks related to Available-for-sale securities. Market risks related to fluctuations of foreign currencies are not significant and the Company has no derivative instruments.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60" w:type="dxa"/>
            <w:vAlign w:val="bottom"/>
          </w:tcPr>
          <w:p>
            <w:pPr>
              <w:jc w:val="center"/>
              <w:ind w:left="1830"/>
              <w:spacing w:after="0"/>
              <w:rPr>
                <w:sz w:val="20"/>
                <w:szCs w:val="20"/>
                <w:color w:val="auto"/>
              </w:rPr>
            </w:pPr>
            <w:r>
              <w:rPr>
                <w:rFonts w:ascii="Arial" w:cs="Arial" w:eastAsia="Arial" w:hAnsi="Arial"/>
                <w:sz w:val="18"/>
                <w:szCs w:val="18"/>
                <w:b w:val="1"/>
                <w:bCs w:val="1"/>
                <w:color w:val="auto"/>
              </w:rPr>
              <w:t>USA TECHNOLOGIES, INC.</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60" w:type="dxa"/>
            <w:vAlign w:val="bottom"/>
          </w:tcPr>
          <w:p>
            <w:pPr>
              <w:jc w:val="center"/>
              <w:ind w:left="1850"/>
              <w:spacing w:after="0"/>
              <w:rPr>
                <w:sz w:val="20"/>
                <w:szCs w:val="20"/>
                <w:color w:val="auto"/>
              </w:rPr>
            </w:pPr>
            <w:r>
              <w:rPr>
                <w:rFonts w:ascii="Arial" w:cs="Arial" w:eastAsia="Arial" w:hAnsi="Arial"/>
                <w:sz w:val="18"/>
                <w:szCs w:val="18"/>
                <w:b w:val="1"/>
                <w:bCs w:val="1"/>
                <w:color w:val="auto"/>
              </w:rPr>
              <w:t>INDEX TO CONSOLIDATED FINANCIAL STATEMENTS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F0FFFF"/>
          </w:tcPr>
          <w:p>
            <w:pPr>
              <w:spacing w:after="0"/>
              <w:rPr>
                <w:sz w:val="20"/>
                <w:szCs w:val="20"/>
                <w:color w:val="auto"/>
              </w:rPr>
            </w:pPr>
            <w:r>
              <w:rPr>
                <w:rFonts w:ascii="Arial" w:cs="Arial" w:eastAsia="Arial" w:hAnsi="Arial"/>
                <w:sz w:val="18"/>
                <w:szCs w:val="18"/>
                <w:color w:val="auto"/>
              </w:rPr>
              <w:t>Financial Statements:</w:t>
            </w:r>
          </w:p>
        </w:tc>
        <w:tc>
          <w:tcPr>
            <w:tcW w:w="19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F0FF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940" w:type="dxa"/>
            <w:vAlign w:val="bottom"/>
            <w:shd w:val="clear" w:color="auto" w:fill="F0FFFF"/>
          </w:tcPr>
          <w:p>
            <w:pPr>
              <w:ind w:left="14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tc>
        <w:tc>
          <w:tcPr>
            <w:tcW w:w="1940" w:type="dxa"/>
            <w:vAlign w:val="bottom"/>
          </w:tcPr>
          <w:p>
            <w:pPr>
              <w:ind w:left="14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F0FFFF"/>
          </w:tcPr>
          <w:p>
            <w:pPr>
              <w:spacing w:after="0"/>
              <w:rPr>
                <w:sz w:val="20"/>
                <w:szCs w:val="20"/>
                <w:color w:val="auto"/>
              </w:rPr>
            </w:pPr>
            <w:r>
              <w:rPr>
                <w:rFonts w:ascii="Arial" w:cs="Arial" w:eastAsia="Arial" w:hAnsi="Arial"/>
                <w:sz w:val="18"/>
                <w:szCs w:val="18"/>
                <w:color w:val="auto"/>
              </w:rPr>
              <w:t>Consolidated Balance Sheets</w:t>
            </w:r>
          </w:p>
        </w:tc>
        <w:tc>
          <w:tcPr>
            <w:tcW w:w="1940" w:type="dxa"/>
            <w:vAlign w:val="bottom"/>
            <w:shd w:val="clear" w:color="auto" w:fill="F0FFFF"/>
          </w:tcPr>
          <w:p>
            <w:pPr>
              <w:ind w:left="14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1940" w:type="dxa"/>
            <w:vAlign w:val="bottom"/>
          </w:tcPr>
          <w:p>
            <w:pPr>
              <w:ind w:left="14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F0FFFF"/>
          </w:tcPr>
          <w:p>
            <w:pPr>
              <w:spacing w:after="0"/>
              <w:rPr>
                <w:sz w:val="20"/>
                <w:szCs w:val="20"/>
                <w:color w:val="auto"/>
              </w:rPr>
            </w:pPr>
            <w:r>
              <w:rPr>
                <w:rFonts w:ascii="Arial" w:cs="Arial" w:eastAsia="Arial" w:hAnsi="Arial"/>
                <w:sz w:val="18"/>
                <w:szCs w:val="18"/>
                <w:color w:val="auto"/>
              </w:rPr>
              <w:t>Consolidated Statements of Shareholders’ Equity</w:t>
            </w:r>
          </w:p>
        </w:tc>
        <w:tc>
          <w:tcPr>
            <w:tcW w:w="1940" w:type="dxa"/>
            <w:vAlign w:val="bottom"/>
            <w:shd w:val="clear" w:color="auto" w:fill="F0FFFF"/>
          </w:tcPr>
          <w:p>
            <w:pPr>
              <w:ind w:left="14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1940" w:type="dxa"/>
            <w:vAlign w:val="bottom"/>
          </w:tcPr>
          <w:p>
            <w:pPr>
              <w:ind w:left="14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F0FFFF"/>
          </w:tcPr>
          <w:p>
            <w:pPr>
              <w:spacing w:after="0"/>
              <w:rPr>
                <w:sz w:val="20"/>
                <w:szCs w:val="20"/>
                <w:color w:val="auto"/>
              </w:rPr>
            </w:pPr>
            <w:r>
              <w:rPr>
                <w:rFonts w:ascii="Arial" w:cs="Arial" w:eastAsia="Arial" w:hAnsi="Arial"/>
                <w:sz w:val="18"/>
                <w:szCs w:val="18"/>
                <w:color w:val="auto"/>
              </w:rPr>
              <w:t>Notes to Consolidated Financial Statements</w:t>
            </w:r>
          </w:p>
        </w:tc>
        <w:tc>
          <w:tcPr>
            <w:tcW w:w="1940" w:type="dxa"/>
            <w:vAlign w:val="bottom"/>
            <w:shd w:val="clear" w:color="auto" w:fill="F0FFFF"/>
          </w:tcPr>
          <w:p>
            <w:pPr>
              <w:ind w:left="14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460" w:type="dxa"/>
            <w:vAlign w:val="bottom"/>
            <w:tcBorders>
              <w:bottom w:val="single" w:sz="8" w:color="DCDCDC"/>
            </w:tcBorders>
          </w:tcPr>
          <w:p>
            <w:pPr>
              <w:jc w:val="center"/>
              <w:ind w:left="1870"/>
              <w:spacing w:after="0"/>
              <w:rPr>
                <w:sz w:val="20"/>
                <w:szCs w:val="20"/>
                <w:color w:val="auto"/>
              </w:rPr>
            </w:pPr>
            <w:r>
              <w:rPr>
                <w:rFonts w:ascii="Arial" w:cs="Arial" w:eastAsia="Arial" w:hAnsi="Arial"/>
                <w:sz w:val="18"/>
                <w:szCs w:val="18"/>
                <w:color w:val="auto"/>
                <w:w w:val="89"/>
              </w:rPr>
              <w:t>38</w:t>
            </w:r>
          </w:p>
        </w:tc>
        <w:tc>
          <w:tcPr>
            <w:tcW w:w="19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USA Technologies, Inc. and subsidiaries as of June 30, 2016 and 2015, and the related consolidated statements of operations, stockholders' equity and cash flows for each of the three years in the period ended June 30, 2016. Our audits also included the financial statement schedule of USA Technologies, Inc. and subsidiaries listed in Item 15(a). These financial statements and financial statement schedule are the responsibility of the Company's management. Our responsibility is to express an opinion on these financial statements and schedule based on our audits.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USA Technologies, Inc. and subsidiaries as of June 30, 2016 and 2015, and the results of their operations and their cash flows for each of the three years in the period ended June 30, 2016, in conformity with U.S. generally accepted accounting principles. Also, in our opinion, the related financial statement schedule, when considered in relation to the basic consolidated financial statements taken as a whole, present fairly, in all material respects, the information set forth therein.</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USA Technologies, Inc. and subsidiaries’ internal control over financial reporting as of June 30, 2016,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in 2013. Our report dated September 13, 2016, expressed an opinion that USA Technologies, Inc. and subsidiaries had not maintained effective internal control over financial reporting as of June 30, 2016,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 in 2013.</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2016</w:t>
      </w:r>
    </w:p>
    <w:p>
      <w:pPr>
        <w:sectPr>
          <w:pgSz w:w="11900" w:h="16838" w:orient="portrait"/>
          <w:cols w:equalWidth="0" w:num="1">
            <w:col w:w="11420"/>
          </w:cols>
          <w:pgMar w:left="240" w:top="90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200" w:lineRule="exact"/>
        <w:rPr>
          <w:sz w:val="20"/>
          <w:szCs w:val="20"/>
          <w:color w:val="auto"/>
        </w:rPr>
      </w:pP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USA Technologies, Inc. and subsidiaries' internal control over financial reporting as of June 30, 2016, based on criteria established in Internal Control — Integrated Framework issued by the Committee of Sponsoring Organizations of the Treadway Commission in 2013. USA Technologies, Inc. and subsidiaries’ management is responsible for maintaining effective internal control over financial reporting and for its assessment of the effectiveness of internal control over financial reporting included in the accompanying Management Assessment of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identified control deficiencias, including significant deficiencies, in the design or operating effectiveness of the Company’s internal control over financial reporting, which when aggregated, represent a material weakness in internal control. The significant deficiencies included that the operation of an existing control did not result in timely resolution of account receivable aging issues; the design of certain internal controls allowed for errors or omissions in the accrual process; and one operational control that did not identify certain merchant receivables as one of the critical accounts to be audited on a monthly basis. This material weakness was considered in determining the nature, timing, and extent of audit tests applied in our audit of the 2016 financial statements, and this report does not affect our report dated September 13, 2016 on those financial statements.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because of the effect of the material weakness described above on the achievement of the objectives of the control criteria, USA Technologies, Inc. and subsidiaries has not maintained effective internal control over financial reporting as of June 30, 2016, based on criteria established in Internal Control — Integrated Framework issued by the Committee of Sponsoring Organizations of the Treadway Commission in 2013.</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balance sheets of USA Technologies, Inc. and subsidiaries as of June 30, 2016 and 2015, and the related consolidated statements of operations, stockholders' equity and cash flows for each of the three years in the period ended June 30, 2016 and our report dated September 13, 2016 expressed an unqualified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September 13, 2016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June 30,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8340" w:type="dxa"/>
            <w:vAlign w:val="bottom"/>
            <w:gridSpan w:val="2"/>
          </w:tcPr>
          <w:p>
            <w:pPr>
              <w:spacing w:after="0"/>
              <w:rPr>
                <w:sz w:val="20"/>
                <w:szCs w:val="20"/>
                <w:color w:val="auto"/>
              </w:rPr>
            </w:pPr>
            <w:r>
              <w:rPr>
                <w:rFonts w:ascii="Arial" w:cs="Arial" w:eastAsia="Arial" w:hAnsi="Arial"/>
                <w:sz w:val="18"/>
                <w:szCs w:val="18"/>
                <w:color w:val="auto"/>
              </w:rPr>
              <w:t>($ in thousands, except shares)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8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F0FF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w:t>
            </w:r>
          </w:p>
        </w:tc>
        <w:tc>
          <w:tcPr>
            <w:tcW w:w="46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19,272</w:t>
            </w:r>
          </w:p>
        </w:tc>
        <w:tc>
          <w:tcPr>
            <w:tcW w:w="28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Accounts receivable, less allowance for doubtful accounts of $2,814 and $1,309, respectively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4,899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Finance receivables</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3,588</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Inventory,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987</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2,271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33,048</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24,334</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F0FFFF"/>
          </w:tcPr>
          <w:p>
            <w:pPr>
              <w:spacing w:after="0"/>
              <w:rPr>
                <w:sz w:val="20"/>
                <w:szCs w:val="20"/>
                <w:color w:val="auto"/>
              </w:rPr>
            </w:pPr>
            <w:r>
              <w:rPr>
                <w:rFonts w:ascii="Arial" w:cs="Arial" w:eastAsia="Arial" w:hAnsi="Arial"/>
                <w:sz w:val="18"/>
                <w:szCs w:val="18"/>
                <w:color w:val="auto"/>
              </w:rPr>
              <w:t>Finance receivables, less current portion</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3,718</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F0FF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9,765</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25,453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F0FFFF"/>
          </w:tcPr>
          <w:p>
            <w:pPr>
              <w:spacing w:after="0"/>
              <w:rPr>
                <w:sz w:val="20"/>
                <w:szCs w:val="20"/>
                <w:color w:val="auto"/>
              </w:rPr>
            </w:pPr>
            <w:r>
              <w:rPr>
                <w:rFonts w:ascii="Arial" w:cs="Arial" w:eastAsia="Arial" w:hAnsi="Arial"/>
                <w:sz w:val="18"/>
                <w:szCs w:val="18"/>
                <w:color w:val="auto"/>
              </w:rPr>
              <w:t>Intangibles, net</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798</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11,703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84,833</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83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6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6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F0FF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12,354</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3,458</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Line of credit,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7,119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Current obligations under long-term debt</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629</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Warrant liabilities</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3,739</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Deferred gain from sale-leaseback transactions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28,177</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18,042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F0FFFF"/>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1,576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expenses, less current portion</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Warrant liabilities, less current portion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Deferred gain from sale-leaseback transactions, less current portion</w:t>
            </w:r>
          </w:p>
        </w:tc>
        <w:tc>
          <w:tcPr>
            <w:tcW w:w="24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40" w:type="dxa"/>
            <w:vAlign w:val="bottom"/>
            <w:gridSpan w:val="2"/>
          </w:tcPr>
          <w:p>
            <w:pPr>
              <w:spacing w:after="0" w:line="203" w:lineRule="exact"/>
              <w:rPr>
                <w:sz w:val="20"/>
                <w:szCs w:val="20"/>
                <w:color w:val="auto"/>
              </w:rPr>
            </w:pPr>
            <w:r>
              <w:rPr>
                <w:rFonts w:ascii="Arial" w:cs="Arial" w:eastAsia="Arial" w:hAnsi="Arial"/>
                <w:sz w:val="18"/>
                <w:szCs w:val="18"/>
                <w:color w:val="auto"/>
              </w:rPr>
              <w:t>Total long-term liabilities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1,631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29,808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Commitments and contingencies (Note 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F0FFFF"/>
          </w:tcPr>
          <w:p>
            <w:pPr>
              <w:spacing w:after="0"/>
              <w:rPr>
                <w:sz w:val="20"/>
                <w:szCs w:val="20"/>
                <w:color w:val="auto"/>
              </w:rPr>
            </w:pPr>
            <w:r>
              <w:rPr>
                <w:rFonts w:ascii="Arial" w:cs="Arial" w:eastAsia="Arial" w:hAnsi="Arial"/>
                <w:sz w:val="18"/>
                <w:szCs w:val="18"/>
                <w:color w:val="auto"/>
              </w:rPr>
              <w:t>Preferred stock, no par value:</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Authorized shares- 1,800,000 Series A convertible preferred- Authorized shares- 900,000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7"/>
              </w:rPr>
              <w:t>Issued and outstanding shares- 445,063 with liquidation preference of $18,108 and $17,440, respectively</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3,138</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no par value: Authorized shares- 640,000,000 Issued and outstanding shares- 37,783,444 and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35,763,663, respectively</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233,394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224,874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F0FF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(181,507)</w:t>
            </w:r>
          </w:p>
        </w:tc>
        <w:tc>
          <w:tcPr>
            <w:tcW w:w="6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(174,701)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shd w:val="clear" w:color="auto" w:fill="F0FF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55,025</w:t>
            </w:r>
          </w:p>
        </w:tc>
        <w:tc>
          <w:tcPr>
            <w:tcW w:w="6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53,311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83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84,833</w:t>
            </w:r>
          </w:p>
        </w:tc>
        <w:tc>
          <w:tcPr>
            <w:tcW w:w="14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75,134</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2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Year ended 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00" w:type="dxa"/>
            <w:vAlign w:val="bottom"/>
            <w:gridSpan w:val="2"/>
          </w:tcPr>
          <w:p>
            <w:pPr>
              <w:spacing w:after="0"/>
              <w:rPr>
                <w:sz w:val="20"/>
                <w:szCs w:val="20"/>
                <w:color w:val="auto"/>
              </w:rPr>
            </w:pPr>
            <w:r>
              <w:rPr>
                <w:rFonts w:ascii="Arial" w:cs="Arial" w:eastAsia="Arial" w:hAnsi="Arial"/>
                <w:sz w:val="18"/>
                <w:szCs w:val="18"/>
                <w:color w:val="auto"/>
              </w:rPr>
              <w:t>($ in thousands, except shares and per share data)</w:t>
            </w:r>
          </w:p>
        </w:tc>
        <w:tc>
          <w:tcPr>
            <w:tcW w:w="1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Revenues:</w:t>
            </w:r>
          </w:p>
        </w:tc>
        <w:tc>
          <w:tcPr>
            <w:tcW w:w="12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License and transaction fees</w:t>
            </w:r>
          </w:p>
        </w:tc>
        <w:tc>
          <w:tcPr>
            <w:tcW w:w="14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56,589</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43,633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35,638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Equipment sales</w:t>
            </w:r>
          </w:p>
        </w:tc>
        <w:tc>
          <w:tcPr>
            <w:tcW w:w="12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20,819</w:t>
            </w:r>
          </w:p>
        </w:tc>
        <w:tc>
          <w:tcPr>
            <w:tcW w:w="1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14,444</w:t>
            </w:r>
          </w:p>
        </w:tc>
        <w:tc>
          <w:tcPr>
            <w:tcW w:w="6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20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77,408</w:t>
            </w:r>
          </w:p>
        </w:tc>
        <w:tc>
          <w:tcPr>
            <w:tcW w:w="100" w:type="dxa"/>
            <w:vAlign w:val="bottom"/>
            <w:tcBorders>
              <w:top w:val="single" w:sz="8" w:color="F0FFFF"/>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58,077</w:t>
            </w:r>
          </w:p>
        </w:tc>
        <w:tc>
          <w:tcPr>
            <w:tcW w:w="14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42,345</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Cost of services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38,089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29,429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23,018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Cost of equipment</w:t>
            </w:r>
          </w:p>
        </w:tc>
        <w:tc>
          <w:tcPr>
            <w:tcW w:w="12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17,334</w:t>
            </w:r>
          </w:p>
        </w:tc>
        <w:tc>
          <w:tcPr>
            <w:tcW w:w="1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11,825</w:t>
            </w:r>
          </w:p>
        </w:tc>
        <w:tc>
          <w:tcPr>
            <w:tcW w:w="6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cost of sales</w:t>
            </w:r>
          </w:p>
        </w:tc>
        <w:tc>
          <w:tcPr>
            <w:tcW w:w="120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55,423</w:t>
            </w:r>
          </w:p>
        </w:tc>
        <w:tc>
          <w:tcPr>
            <w:tcW w:w="10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F0FFFF"/>
              <w:bottom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41,254</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27,272</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Gross profit</w:t>
            </w:r>
          </w:p>
        </w:tc>
        <w:tc>
          <w:tcPr>
            <w:tcW w:w="120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21,985</w:t>
            </w:r>
          </w:p>
        </w:tc>
        <w:tc>
          <w:tcPr>
            <w:tcW w:w="10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16,823</w:t>
            </w:r>
          </w:p>
        </w:tc>
        <w:tc>
          <w:tcPr>
            <w:tcW w:w="14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15,073</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22,373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16,451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612</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Impairment of intangible asset</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23,452</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17,063</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14,636</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line="203" w:lineRule="exact"/>
              <w:rPr>
                <w:sz w:val="20"/>
                <w:szCs w:val="20"/>
                <w:color w:val="auto"/>
              </w:rPr>
            </w:pPr>
            <w:r>
              <w:rPr>
                <w:rFonts w:ascii="Arial" w:cs="Arial" w:eastAsia="Arial" w:hAnsi="Arial"/>
                <w:sz w:val="18"/>
                <w:szCs w:val="18"/>
                <w:color w:val="auto"/>
              </w:rPr>
              <w:t>Operating income (loss)</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(240)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437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83</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(302)</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(5,674)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other income (expense), net</w:t>
            </w:r>
          </w:p>
        </w:tc>
        <w:tc>
          <w:tcPr>
            <w:tcW w:w="120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26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Income (loss) before benefit (provision) for income taxes</w:t>
            </w:r>
          </w:p>
        </w:tc>
        <w:tc>
          <w:tcPr>
            <w:tcW w:w="12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(7,421)</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(800)</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F0FFFF"/>
            </w:tcBorders>
            <w:shd w:val="clear" w:color="auto" w:fill="F0FFFF"/>
          </w:tcPr>
          <w:p>
            <w:pPr>
              <w:spacing w:after="0"/>
              <w:rPr>
                <w:sz w:val="18"/>
                <w:szCs w:val="18"/>
                <w:color w:val="auto"/>
              </w:rPr>
            </w:pPr>
          </w:p>
        </w:tc>
        <w:tc>
          <w:tcPr>
            <w:tcW w:w="120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(6,806)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(1,089)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2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(668)</w:t>
            </w:r>
          </w:p>
        </w:tc>
        <w:tc>
          <w:tcPr>
            <w:tcW w:w="6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income (loss) applicable to common shares</w:t>
            </w:r>
          </w:p>
        </w:tc>
        <w:tc>
          <w:tcPr>
            <w:tcW w:w="120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26,863</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bottom w:val="single" w:sz="8" w:color="F0FFFF"/>
            </w:tcBorders>
          </w:tcPr>
          <w:p>
            <w:pPr>
              <w:spacing w:after="0" w:line="20" w:lineRule="exact"/>
              <w:rPr>
                <w:sz w:val="1"/>
                <w:szCs w:val="1"/>
                <w:color w:val="auto"/>
              </w:rPr>
            </w:pPr>
          </w:p>
        </w:tc>
        <w:tc>
          <w:tcPr>
            <w:tcW w:w="12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8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earnings (loss) per common share - basic</w:t>
            </w:r>
          </w:p>
        </w:tc>
        <w:tc>
          <w:tcPr>
            <w:tcW w:w="120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Net earnings (loss) per common share - diluted</w:t>
            </w:r>
          </w:p>
        </w:tc>
        <w:tc>
          <w:tcPr>
            <w:tcW w:w="1200" w:type="dxa"/>
            <w:vAlign w:val="bottom"/>
            <w:tcBorders>
              <w:top w:val="single" w:sz="8" w:color="F0FFFF"/>
              <w:bottom w:val="single" w:sz="8" w:color="F0FFFF"/>
            </w:tcBorders>
            <w:vMerge w:val="restart"/>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F0FFFF"/>
              <w:bottom w:val="single" w:sz="8" w:color="F0FFFF"/>
            </w:tcBorders>
            <w:vMerge w:val="restart"/>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bottom w:val="single" w:sz="8" w:color="F0FFFF"/>
            </w:tcBorders>
            <w:vMerge w:val="restart"/>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(0.21</w:t>
            </w:r>
          </w:p>
        </w:tc>
        <w:tc>
          <w:tcPr>
            <w:tcW w:w="1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(0.05</w:t>
            </w:r>
          </w:p>
        </w:tc>
        <w:tc>
          <w:tcPr>
            <w:tcW w:w="1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0"/>
              <w:spacing w:after="0" w:line="190"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0.77</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bottom w:val="single" w:sz="8" w:color="F0FFFF"/>
            </w:tcBorders>
          </w:tcPr>
          <w:p>
            <w:pPr>
              <w:spacing w:after="0" w:line="20" w:lineRule="exact"/>
              <w:rPr>
                <w:sz w:val="1"/>
                <w:szCs w:val="1"/>
                <w:color w:val="auto"/>
              </w:rPr>
            </w:pPr>
          </w:p>
        </w:tc>
        <w:tc>
          <w:tcPr>
            <w:tcW w:w="12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Basic weighted average number of common shares outstanding</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36,309,047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35,719,211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34,667,769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F0FFFF"/>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12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36,309,047</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35,719,211</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35,009,559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Series A</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6"/>
          </w:tcPr>
          <w:p>
            <w:pPr>
              <w:jc w:val="center"/>
              <w:ind w:right="320"/>
              <w:spacing w:after="0"/>
              <w:rPr>
                <w:sz w:val="20"/>
                <w:szCs w:val="20"/>
                <w:color w:val="auto"/>
              </w:rPr>
            </w:pPr>
            <w:r>
              <w:rPr>
                <w:rFonts w:ascii="Arial" w:cs="Arial" w:eastAsia="Arial" w:hAnsi="Arial"/>
                <w:sz w:val="18"/>
                <w:szCs w:val="18"/>
                <w:color w:val="auto"/>
                <w:w w:val="94"/>
              </w:rPr>
              <w:t>Convertible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6"/>
          </w:tcPr>
          <w:p>
            <w:pPr>
              <w:jc w:val="center"/>
              <w:ind w:right="300"/>
              <w:spacing w:after="0"/>
              <w:rPr>
                <w:sz w:val="20"/>
                <w:szCs w:val="20"/>
                <w:color w:val="auto"/>
              </w:rPr>
            </w:pPr>
            <w:r>
              <w:rPr>
                <w:rFonts w:ascii="Arial" w:cs="Arial" w:eastAsia="Arial" w:hAnsi="Arial"/>
                <w:sz w:val="18"/>
                <w:szCs w:val="18"/>
                <w:color w:val="auto"/>
                <w:w w:val="89"/>
              </w:rPr>
              <w:t>Preferred Stock</w:t>
            </w:r>
          </w:p>
        </w:tc>
        <w:tc>
          <w:tcPr>
            <w:tcW w:w="100" w:type="dxa"/>
            <w:vAlign w:val="bottom"/>
          </w:tcPr>
          <w:p>
            <w:pPr>
              <w:spacing w:after="0"/>
              <w:rPr>
                <w:sz w:val="20"/>
                <w:szCs w:val="20"/>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8"/>
                <w:szCs w:val="18"/>
                <w:color w:val="auto"/>
              </w:rPr>
              <w:t>Common Stock</w:t>
            </w:r>
          </w:p>
        </w:tc>
        <w:tc>
          <w:tcPr>
            <w:tcW w:w="1240" w:type="dxa"/>
            <w:vAlign w:val="bottom"/>
            <w:gridSpan w:val="4"/>
          </w:tcPr>
          <w:p>
            <w:pPr>
              <w:ind w:left="80"/>
              <w:spacing w:after="0"/>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20" w:type="dxa"/>
            <w:vAlign w:val="bottom"/>
            <w:gridSpan w:val="3"/>
          </w:tcPr>
          <w:p>
            <w:pPr>
              <w:spacing w:after="0"/>
              <w:rPr>
                <w:sz w:val="20"/>
                <w:szCs w:val="20"/>
                <w:color w:val="auto"/>
              </w:rPr>
            </w:pPr>
            <w:r>
              <w:rPr>
                <w:rFonts w:ascii="Arial" w:cs="Arial" w:eastAsia="Arial" w:hAnsi="Arial"/>
                <w:sz w:val="18"/>
                <w:szCs w:val="18"/>
                <w:color w:val="auto"/>
              </w:rPr>
              <w:t>($ in thousands, except shares)</w:t>
            </w: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1"/>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Amount</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Balance, June 30, 2013 As Reported</w:t>
            </w:r>
          </w:p>
        </w:tc>
        <w:tc>
          <w:tcPr>
            <w:tcW w:w="9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442,968</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3,138</w:t>
            </w:r>
          </w:p>
        </w:tc>
        <w:tc>
          <w:tcPr>
            <w:tcW w:w="106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w w:val="99"/>
              </w:rPr>
              <w:t>33,284,232</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221,383</w:t>
            </w:r>
          </w:p>
        </w:tc>
        <w:tc>
          <w:tcPr>
            <w:tcW w:w="2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(201,143)</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23,378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i w:val="1"/>
                <w:iCs w:val="1"/>
                <w:color w:val="auto"/>
                <w:w w:val="93"/>
              </w:rPr>
              <w:t>Cumulative impact of prior period revisions (See Note 19 of the Notes</w:t>
            </w:r>
          </w:p>
        </w:tc>
        <w:tc>
          <w:tcPr>
            <w:tcW w:w="10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gridSpan w:val="2"/>
            <w:shd w:val="clear" w:color="auto" w:fill="F0FFFF"/>
          </w:tcPr>
          <w:p>
            <w:pPr>
              <w:spacing w:after="0"/>
              <w:rPr>
                <w:sz w:val="20"/>
                <w:szCs w:val="20"/>
                <w:color w:val="auto"/>
              </w:rPr>
            </w:pPr>
            <w:r>
              <w:rPr>
                <w:rFonts w:ascii="Arial" w:cs="Arial" w:eastAsia="Arial" w:hAnsi="Arial"/>
                <w:sz w:val="18"/>
                <w:szCs w:val="18"/>
                <w:i w:val="1"/>
                <w:iCs w:val="1"/>
                <w:color w:val="auto"/>
              </w:rPr>
              <w:t>to Consolidated Financial Statements)</w:t>
            </w:r>
          </w:p>
        </w:tc>
        <w:tc>
          <w:tcPr>
            <w:tcW w:w="9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2,095</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62,661</w:t>
            </w:r>
          </w:p>
        </w:tc>
        <w:tc>
          <w:tcPr>
            <w:tcW w:w="8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Borders>
              <w:top w:val="single" w:sz="8" w:color="F0FFFF"/>
            </w:tcBorders>
            <w:gridSpan w:val="2"/>
          </w:tcPr>
          <w:p>
            <w:pPr>
              <w:spacing w:after="0"/>
              <w:rPr>
                <w:sz w:val="20"/>
                <w:szCs w:val="20"/>
                <w:color w:val="auto"/>
              </w:rPr>
            </w:pPr>
            <w:r>
              <w:rPr>
                <w:rFonts w:ascii="Arial" w:cs="Arial" w:eastAsia="Arial" w:hAnsi="Arial"/>
                <w:sz w:val="18"/>
                <w:szCs w:val="18"/>
                <w:color w:val="auto"/>
              </w:rPr>
              <w:t>Balance, June 30, 2013</w:t>
            </w:r>
          </w:p>
        </w:tc>
        <w:tc>
          <w:tcPr>
            <w:tcW w:w="100" w:type="dxa"/>
            <w:vAlign w:val="bottom"/>
            <w:tcBorders>
              <w:top w:val="single" w:sz="8" w:color="F0FF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445,063</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F0FFFF"/>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33,346,893</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221,383</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(201,143</w:t>
            </w:r>
          </w:p>
        </w:tc>
        <w:tc>
          <w:tcPr>
            <w:tcW w:w="200" w:type="dxa"/>
            <w:vAlign w:val="bottom"/>
            <w:tcBorders>
              <w:top w:val="single" w:sz="8" w:color="F0FF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23,378</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41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4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Exercise of warrants</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2,090,226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w w:val="89"/>
              </w:rPr>
              <w:t>2010</w:t>
            </w:r>
          </w:p>
        </w:tc>
        <w:tc>
          <w:tcPr>
            <w:tcW w:w="418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3,334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F0FFFF"/>
          </w:tcPr>
          <w:p>
            <w:pPr>
              <w:ind w:left="640"/>
              <w:spacing w:after="0"/>
              <w:rPr>
                <w:sz w:val="20"/>
                <w:szCs w:val="20"/>
                <w:color w:val="auto"/>
              </w:rPr>
            </w:pPr>
            <w:r>
              <w:rPr>
                <w:rFonts w:ascii="Arial" w:cs="Arial" w:eastAsia="Arial" w:hAnsi="Arial"/>
                <w:sz w:val="18"/>
                <w:szCs w:val="18"/>
                <w:color w:val="auto"/>
              </w:rPr>
              <w:t>2011 Stock Incentive Plan</w:t>
            </w:r>
          </w:p>
        </w:tc>
        <w:tc>
          <w:tcPr>
            <w:tcW w:w="9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w w:val="89"/>
              </w:rPr>
              <w:t>2012</w:t>
            </w:r>
          </w:p>
        </w:tc>
        <w:tc>
          <w:tcPr>
            <w:tcW w:w="418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158,505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F0FFFF"/>
          </w:tcPr>
          <w:p>
            <w:pPr>
              <w:ind w:left="640"/>
              <w:spacing w:after="0"/>
              <w:rPr>
                <w:sz w:val="20"/>
                <w:szCs w:val="20"/>
                <w:color w:val="auto"/>
              </w:rPr>
            </w:pPr>
            <w:r>
              <w:rPr>
                <w:rFonts w:ascii="Arial" w:cs="Arial" w:eastAsia="Arial" w:hAnsi="Arial"/>
                <w:sz w:val="18"/>
                <w:szCs w:val="18"/>
                <w:color w:val="auto"/>
                <w:w w:val="89"/>
              </w:rPr>
              <w:t>2013</w:t>
            </w:r>
          </w:p>
        </w:tc>
        <w:tc>
          <w:tcPr>
            <w:tcW w:w="4180" w:type="dxa"/>
            <w:vAlign w:val="bottom"/>
            <w:shd w:val="clear" w:color="auto" w:fill="F0FFFF"/>
          </w:tcPr>
          <w:p>
            <w:pPr>
              <w:ind w:left="20"/>
              <w:spacing w:after="0"/>
              <w:rPr>
                <w:sz w:val="20"/>
                <w:szCs w:val="20"/>
                <w:color w:val="auto"/>
              </w:rPr>
            </w:pPr>
            <w:r>
              <w:rPr>
                <w:rFonts w:ascii="Arial" w:cs="Arial" w:eastAsia="Arial" w:hAnsi="Arial"/>
                <w:sz w:val="18"/>
                <w:szCs w:val="18"/>
                <w:color w:val="auto"/>
              </w:rPr>
              <w:t>Stock Incentive Plan</w:t>
            </w:r>
          </w:p>
        </w:tc>
        <w:tc>
          <w:tcPr>
            <w:tcW w:w="9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55,810</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Retirement of common stock</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(52,645)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Excess tax benefits from share-based compensation</w:t>
            </w:r>
          </w:p>
        </w:tc>
        <w:tc>
          <w:tcPr>
            <w:tcW w:w="9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Net income</w:t>
            </w:r>
          </w:p>
        </w:tc>
        <w:tc>
          <w:tcPr>
            <w:tcW w:w="418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27,531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27,531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F0FFFF"/>
            </w:tcBorders>
            <w:shd w:val="clear" w:color="auto" w:fill="F0FFFF"/>
          </w:tcPr>
          <w:p>
            <w:pPr>
              <w:spacing w:after="0"/>
              <w:rPr>
                <w:sz w:val="18"/>
                <w:szCs w:val="18"/>
                <w:color w:val="auto"/>
              </w:rPr>
            </w:pPr>
          </w:p>
        </w:tc>
        <w:tc>
          <w:tcPr>
            <w:tcW w:w="41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Balance, June 30, 2014</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445,063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3,138</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35,602,123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224,210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(173,612)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53,736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418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4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F0FFFF"/>
          </w:tcPr>
          <w:p>
            <w:pPr>
              <w:ind w:left="640"/>
              <w:spacing w:after="0"/>
              <w:rPr>
                <w:sz w:val="20"/>
                <w:szCs w:val="20"/>
                <w:color w:val="auto"/>
              </w:rPr>
            </w:pPr>
            <w:r>
              <w:rPr>
                <w:rFonts w:ascii="Arial" w:cs="Arial" w:eastAsia="Arial" w:hAnsi="Arial"/>
                <w:sz w:val="18"/>
                <w:szCs w:val="18"/>
                <w:color w:val="auto"/>
              </w:rPr>
              <w:t>2011 Stock Incentive Plan</w:t>
            </w:r>
          </w:p>
        </w:tc>
        <w:tc>
          <w:tcPr>
            <w:tcW w:w="9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w w:val="89"/>
              </w:rPr>
              <w:t>2012</w:t>
            </w:r>
          </w:p>
        </w:tc>
        <w:tc>
          <w:tcPr>
            <w:tcW w:w="418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33,698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F0FFFF"/>
          </w:tcPr>
          <w:p>
            <w:pPr>
              <w:ind w:left="640"/>
              <w:spacing w:after="0"/>
              <w:rPr>
                <w:sz w:val="20"/>
                <w:szCs w:val="20"/>
                <w:color w:val="auto"/>
              </w:rPr>
            </w:pPr>
            <w:r>
              <w:rPr>
                <w:rFonts w:ascii="Arial" w:cs="Arial" w:eastAsia="Arial" w:hAnsi="Arial"/>
                <w:sz w:val="18"/>
                <w:szCs w:val="18"/>
                <w:color w:val="auto"/>
                <w:w w:val="89"/>
              </w:rPr>
              <w:t>2013</w:t>
            </w:r>
          </w:p>
        </w:tc>
        <w:tc>
          <w:tcPr>
            <w:tcW w:w="4180" w:type="dxa"/>
            <w:vAlign w:val="bottom"/>
            <w:shd w:val="clear" w:color="auto" w:fill="F0FFFF"/>
          </w:tcPr>
          <w:p>
            <w:pPr>
              <w:ind w:left="20"/>
              <w:spacing w:after="0"/>
              <w:rPr>
                <w:sz w:val="20"/>
                <w:szCs w:val="20"/>
                <w:color w:val="auto"/>
              </w:rPr>
            </w:pPr>
            <w:r>
              <w:rPr>
                <w:rFonts w:ascii="Arial" w:cs="Arial" w:eastAsia="Arial" w:hAnsi="Arial"/>
                <w:sz w:val="18"/>
                <w:szCs w:val="18"/>
                <w:color w:val="auto"/>
              </w:rPr>
              <w:t>Stock Incentive Plan</w:t>
            </w:r>
          </w:p>
        </w:tc>
        <w:tc>
          <w:tcPr>
            <w:tcW w:w="9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159,741</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w w:val="89"/>
              </w:rPr>
              <w:t>2014</w:t>
            </w:r>
          </w:p>
        </w:tc>
        <w:tc>
          <w:tcPr>
            <w:tcW w:w="4180" w:type="dxa"/>
            <w:vAlign w:val="bottom"/>
          </w:tcPr>
          <w:p>
            <w:pPr>
              <w:ind w:left="20"/>
              <w:spacing w:after="0"/>
              <w:rPr>
                <w:sz w:val="20"/>
                <w:szCs w:val="20"/>
                <w:color w:val="auto"/>
              </w:rPr>
            </w:pPr>
            <w:r>
              <w:rPr>
                <w:rFonts w:ascii="Arial" w:cs="Arial" w:eastAsia="Arial" w:hAnsi="Arial"/>
                <w:sz w:val="18"/>
                <w:szCs w:val="18"/>
                <w:color w:val="auto"/>
              </w:rPr>
              <w:t>Stock Option Incentive Plan</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Retirement of common stock</w:t>
            </w:r>
          </w:p>
        </w:tc>
        <w:tc>
          <w:tcPr>
            <w:tcW w:w="9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(31,899)</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Excess tax benefits from share-based compensation</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4180" w:type="dxa"/>
            <w:vAlign w:val="bottom"/>
            <w:shd w:val="clear" w:color="auto" w:fill="F0FFFF"/>
          </w:tcPr>
          <w:p>
            <w:pPr>
              <w:spacing w:after="0"/>
              <w:rPr>
                <w:sz w:val="20"/>
                <w:szCs w:val="20"/>
                <w:color w:val="auto"/>
              </w:rPr>
            </w:pPr>
          </w:p>
        </w:tc>
        <w:tc>
          <w:tcPr>
            <w:tcW w:w="9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(1,089)</w:t>
            </w:r>
          </w:p>
        </w:tc>
        <w:tc>
          <w:tcPr>
            <w:tcW w:w="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7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418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5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Balance, June 30, 2015</w:t>
            </w:r>
          </w:p>
        </w:tc>
        <w:tc>
          <w:tcPr>
            <w:tcW w:w="9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445,063</w:t>
            </w:r>
          </w:p>
        </w:tc>
        <w:tc>
          <w:tcPr>
            <w:tcW w:w="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3,138</w:t>
            </w:r>
          </w:p>
        </w:tc>
        <w:tc>
          <w:tcPr>
            <w:tcW w:w="106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w w:val="99"/>
              </w:rPr>
              <w:t>35,763,663</w:t>
            </w:r>
          </w:p>
        </w:tc>
        <w:tc>
          <w:tcPr>
            <w:tcW w:w="8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224,874</w:t>
            </w:r>
          </w:p>
        </w:tc>
        <w:tc>
          <w:tcPr>
            <w:tcW w:w="8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(174,701)</w:t>
            </w:r>
          </w:p>
        </w:tc>
        <w:tc>
          <w:tcPr>
            <w:tcW w:w="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53,311</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F0FF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0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Warrants issued in conjunction with Line of Credit Agreement</w:t>
            </w:r>
          </w:p>
        </w:tc>
        <w:tc>
          <w:tcPr>
            <w:tcW w:w="9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w w:val="98"/>
              </w:rPr>
              <w:t>Reclass of fair value of warranty liability upon exercise of warrants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Exercise of warrants</w:t>
            </w:r>
          </w:p>
        </w:tc>
        <w:tc>
          <w:tcPr>
            <w:tcW w:w="9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1,887,325</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4,918</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4,918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F0FFFF"/>
          </w:tcPr>
          <w:p>
            <w:pPr>
              <w:ind w:left="640"/>
              <w:spacing w:after="0"/>
              <w:rPr>
                <w:sz w:val="20"/>
                <w:szCs w:val="20"/>
                <w:color w:val="auto"/>
              </w:rPr>
            </w:pPr>
            <w:r>
              <w:rPr>
                <w:rFonts w:ascii="Arial" w:cs="Arial" w:eastAsia="Arial" w:hAnsi="Arial"/>
                <w:sz w:val="18"/>
                <w:szCs w:val="18"/>
                <w:color w:val="auto"/>
                <w:w w:val="89"/>
              </w:rPr>
              <w:t>2013</w:t>
            </w:r>
          </w:p>
        </w:tc>
        <w:tc>
          <w:tcPr>
            <w:tcW w:w="4180" w:type="dxa"/>
            <w:vAlign w:val="bottom"/>
            <w:shd w:val="clear" w:color="auto" w:fill="F0FFFF"/>
          </w:tcPr>
          <w:p>
            <w:pPr>
              <w:ind w:left="20"/>
              <w:spacing w:after="0"/>
              <w:rPr>
                <w:sz w:val="20"/>
                <w:szCs w:val="20"/>
                <w:color w:val="auto"/>
              </w:rPr>
            </w:pPr>
            <w:r>
              <w:rPr>
                <w:rFonts w:ascii="Arial" w:cs="Arial" w:eastAsia="Arial" w:hAnsi="Arial"/>
                <w:sz w:val="18"/>
                <w:szCs w:val="18"/>
                <w:color w:val="auto"/>
              </w:rPr>
              <w:t>Stock Incentive Plan</w:t>
            </w:r>
          </w:p>
        </w:tc>
        <w:tc>
          <w:tcPr>
            <w:tcW w:w="9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172,207</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w w:val="89"/>
              </w:rPr>
              <w:t>2014</w:t>
            </w:r>
          </w:p>
        </w:tc>
        <w:tc>
          <w:tcPr>
            <w:tcW w:w="4180" w:type="dxa"/>
            <w:vAlign w:val="bottom"/>
          </w:tcPr>
          <w:p>
            <w:pPr>
              <w:ind w:left="20"/>
              <w:spacing w:after="0"/>
              <w:rPr>
                <w:sz w:val="20"/>
                <w:szCs w:val="20"/>
                <w:color w:val="auto"/>
              </w:rPr>
            </w:pPr>
            <w:r>
              <w:rPr>
                <w:rFonts w:ascii="Arial" w:cs="Arial" w:eastAsia="Arial" w:hAnsi="Arial"/>
                <w:sz w:val="18"/>
                <w:szCs w:val="18"/>
                <w:color w:val="auto"/>
              </w:rPr>
              <w:t>Stock Option Incentive Plan</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12,785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Retirement of common stock</w:t>
            </w:r>
          </w:p>
        </w:tc>
        <w:tc>
          <w:tcPr>
            <w:tcW w:w="9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(52,536)</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Net loss</w:t>
            </w:r>
          </w:p>
        </w:tc>
        <w:tc>
          <w:tcPr>
            <w:tcW w:w="418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(6,806)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F0FFFF"/>
            </w:tcBorders>
            <w:shd w:val="clear" w:color="auto" w:fill="F0FFFF"/>
          </w:tcPr>
          <w:p>
            <w:pPr>
              <w:spacing w:after="0"/>
              <w:rPr>
                <w:sz w:val="18"/>
                <w:szCs w:val="18"/>
                <w:color w:val="auto"/>
              </w:rPr>
            </w:pPr>
          </w:p>
        </w:tc>
        <w:tc>
          <w:tcPr>
            <w:tcW w:w="41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Balance, June 30, 2016</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445,063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3,138</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37,783,444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233,394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(181,507)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55,025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60" w:type="dxa"/>
            <w:vAlign w:val="bottom"/>
            <w:gridSpan w:val="2"/>
          </w:tcPr>
          <w:p>
            <w:pPr>
              <w:spacing w:after="0"/>
              <w:rPr>
                <w:sz w:val="20"/>
                <w:szCs w:val="20"/>
                <w:color w:val="auto"/>
              </w:rPr>
            </w:pPr>
            <w:r>
              <w:rPr>
                <w:rFonts w:ascii="Arial" w:cs="Arial" w:eastAsia="Arial" w:hAnsi="Arial"/>
                <w:sz w:val="18"/>
                <w:szCs w:val="18"/>
                <w:color w:val="auto"/>
              </w:rPr>
              <w:t>($ in thousands, except shares)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color w:val="auto"/>
              </w:rPr>
              <w:t>Year ended June 30,</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40" w:type="dxa"/>
            <w:vAlign w:val="bottom"/>
            <w:tcBorders>
              <w:bottom w:val="single" w:sz="8" w:color="F0FFFF"/>
            </w:tcBorders>
          </w:tcPr>
          <w:p>
            <w:pPr>
              <w:spacing w:after="0"/>
              <w:rPr>
                <w:sz w:val="20"/>
                <w:szCs w:val="20"/>
                <w:color w:val="auto"/>
              </w:rPr>
            </w:pPr>
          </w:p>
        </w:tc>
        <w:tc>
          <w:tcPr>
            <w:tcW w:w="22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F0FFFF"/>
            </w:tcBorders>
          </w:tcPr>
          <w:p>
            <w:pPr>
              <w:spacing w:after="0"/>
              <w:rPr>
                <w:sz w:val="20"/>
                <w:szCs w:val="20"/>
                <w:color w:val="auto"/>
              </w:rPr>
            </w:pPr>
          </w:p>
        </w:tc>
        <w:tc>
          <w:tcPr>
            <w:tcW w:w="10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(6,806)</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(1,089)</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spacing w:after="0"/>
              <w:rPr>
                <w:sz w:val="20"/>
                <w:szCs w:val="20"/>
                <w:color w:val="auto"/>
              </w:rPr>
            </w:pPr>
            <w:r>
              <w:rPr>
                <w:rFonts w:ascii="Arial" w:cs="Arial" w:eastAsia="Arial" w:hAnsi="Arial"/>
                <w:sz w:val="18"/>
                <w:szCs w:val="18"/>
                <w:color w:val="auto"/>
                <w:w w:val="98"/>
              </w:rPr>
              <w:t>Adjustments to reconcile net income (loss) to net cash provided by (used in) operating activities: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tcPr>
          <w:p>
            <w:pPr>
              <w:ind w:left="320"/>
              <w:spacing w:after="0" w:line="201" w:lineRule="exact"/>
              <w:rPr>
                <w:sz w:val="20"/>
                <w:szCs w:val="20"/>
                <w:color w:val="auto"/>
              </w:rPr>
            </w:pPr>
            <w:r>
              <w:rPr>
                <w:rFonts w:ascii="Arial" w:cs="Arial" w:eastAsia="Arial" w:hAnsi="Arial"/>
                <w:sz w:val="18"/>
                <w:szCs w:val="18"/>
                <w:color w:val="auto"/>
                <w:w w:val="92"/>
              </w:rPr>
              <w:t>Charges incurred in connection with the vesting and issuance of common stock for employee and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director compensation</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(Gain) loss on disposal of property and equipment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Non-cash interest and amortization of debt discount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Bad debt expense</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1,098</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5,731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Impairment of intangible asset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5,674</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393</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(27,301)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Gain on sale of finance receivables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(52)</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Recognition of deferred gain from sale-leaseback transactions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Finance receivables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(4,114)</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(304)</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55</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267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6,468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spacing w:after="0"/>
              <w:rPr>
                <w:sz w:val="20"/>
                <w:szCs w:val="20"/>
                <w:color w:val="auto"/>
              </w:rPr>
            </w:pPr>
            <w:r>
              <w:rPr>
                <w:rFonts w:ascii="Arial" w:cs="Arial" w:eastAsia="Arial" w:hAnsi="Arial"/>
                <w:sz w:val="18"/>
                <w:szCs w:val="18"/>
                <w:color w:val="auto"/>
              </w:rPr>
              <w:t>Purchase and additions of property and equipment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(60)</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Purchase of property for rental program</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spacing w:after="0"/>
              <w:rPr>
                <w:sz w:val="20"/>
                <w:szCs w:val="20"/>
                <w:color w:val="auto"/>
              </w:rPr>
            </w:pPr>
            <w:r>
              <w:rPr>
                <w:rFonts w:ascii="Arial" w:cs="Arial" w:eastAsia="Arial" w:hAnsi="Arial"/>
                <w:sz w:val="18"/>
                <w:szCs w:val="18"/>
                <w:color w:val="auto"/>
              </w:rPr>
              <w:t>Proceeds from sale of rental equipment under sale-leaseback transactions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4,994</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2,995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40" w:type="dxa"/>
            <w:vAlign w:val="bottom"/>
            <w:shd w:val="clear" w:color="auto" w:fill="F0FFFF"/>
          </w:tcPr>
          <w:p>
            <w:pPr>
              <w:spacing w:after="0"/>
              <w:rPr>
                <w:sz w:val="20"/>
                <w:szCs w:val="20"/>
                <w:color w:val="auto"/>
              </w:rPr>
            </w:pPr>
            <w:r>
              <w:rPr>
                <w:rFonts w:ascii="Arial" w:cs="Arial" w:eastAsia="Arial" w:hAnsi="Arial"/>
                <w:sz w:val="18"/>
                <w:szCs w:val="18"/>
                <w:color w:val="auto"/>
              </w:rPr>
              <w:t>Cash paid for assets acquired from VendScreen</w:t>
            </w:r>
          </w:p>
        </w:tc>
        <w:tc>
          <w:tcPr>
            <w:tcW w:w="2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(5,772)</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3,354</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F0FF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used in retirement of 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spacing w:after="0"/>
              <w:rPr>
                <w:sz w:val="20"/>
                <w:szCs w:val="20"/>
                <w:color w:val="auto"/>
              </w:rPr>
            </w:pPr>
            <w:r>
              <w:rPr>
                <w:rFonts w:ascii="Arial" w:cs="Arial" w:eastAsia="Arial" w:hAnsi="Arial"/>
                <w:sz w:val="18"/>
                <w:szCs w:val="18"/>
                <w:color w:val="auto"/>
              </w:rPr>
              <w:t>Proceeds from exercise of common stock warrants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4,918</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2,362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7,163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spacing w:after="0"/>
              <w:rPr>
                <w:sz w:val="20"/>
                <w:szCs w:val="20"/>
                <w:color w:val="auto"/>
              </w:rPr>
            </w:pPr>
            <w:r>
              <w:rPr>
                <w:rFonts w:ascii="Arial" w:cs="Arial" w:eastAsia="Arial" w:hAnsi="Arial"/>
                <w:sz w:val="18"/>
                <w:szCs w:val="18"/>
                <w:color w:val="auto"/>
              </w:rPr>
              <w:t>Repayment of line of credit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(3,992)</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F0FFFF"/>
          </w:tcPr>
          <w:p>
            <w:pPr>
              <w:spacing w:after="0"/>
              <w:rPr>
                <w:sz w:val="20"/>
                <w:szCs w:val="20"/>
                <w:color w:val="auto"/>
              </w:rPr>
            </w:pPr>
            <w:r>
              <w:rPr>
                <w:rFonts w:ascii="Arial" w:cs="Arial" w:eastAsia="Arial" w:hAnsi="Arial"/>
                <w:sz w:val="18"/>
                <w:szCs w:val="18"/>
                <w:color w:val="auto"/>
              </w:rPr>
              <w:t>Proceeds from long-term debt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2,057</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7,202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increase in cash</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7,898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4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11,374</w:t>
            </w:r>
          </w:p>
        </w:tc>
        <w:tc>
          <w:tcPr>
            <w:tcW w:w="10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9,072</w:t>
            </w:r>
          </w:p>
        </w:tc>
        <w:tc>
          <w:tcPr>
            <w:tcW w:w="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5,981</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Cash at end of year</w:t>
            </w:r>
          </w:p>
        </w:tc>
        <w:tc>
          <w:tcPr>
            <w:tcW w:w="22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19,272</w:t>
            </w:r>
          </w:p>
        </w:tc>
        <w:tc>
          <w:tcPr>
            <w:tcW w:w="16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11,374</w:t>
            </w:r>
          </w:p>
        </w:tc>
        <w:tc>
          <w:tcPr>
            <w:tcW w:w="220" w:type="dxa"/>
            <w:vAlign w:val="bottom"/>
            <w:tcBorders>
              <w:top w:val="single" w:sz="8" w:color="F0FFFF"/>
              <w:bottom w:val="single" w:sz="8" w:color="F0FFFF"/>
            </w:tcBorders>
          </w:tcPr>
          <w:p>
            <w:pPr>
              <w:spacing w:after="0"/>
              <w:rPr>
                <w:sz w:val="18"/>
                <w:szCs w:val="18"/>
                <w:color w:val="auto"/>
              </w:rPr>
            </w:pPr>
          </w:p>
        </w:tc>
        <w:tc>
          <w:tcPr>
            <w:tcW w:w="2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9,072</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i w:val="1"/>
                <w:iCs w:val="1"/>
                <w:color w:val="auto"/>
              </w:rPr>
              <w:t>Supplemental disclosures of cash flow information: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40" w:type="dxa"/>
            <w:vAlign w:val="bottom"/>
            <w:shd w:val="clear" w:color="auto" w:fill="F0FFFF"/>
          </w:tcPr>
          <w:p>
            <w:pPr>
              <w:spacing w:after="0"/>
              <w:rPr>
                <w:sz w:val="20"/>
                <w:szCs w:val="20"/>
                <w:color w:val="auto"/>
              </w:rPr>
            </w:pPr>
            <w:r>
              <w:rPr>
                <w:rFonts w:ascii="Arial" w:cs="Arial" w:eastAsia="Arial" w:hAnsi="Arial"/>
                <w:sz w:val="18"/>
                <w:szCs w:val="18"/>
                <w:color w:val="auto"/>
              </w:rPr>
              <w:t>Interest paid in cash</w:t>
            </w:r>
          </w:p>
        </w:tc>
        <w:tc>
          <w:tcPr>
            <w:tcW w:w="44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551</w:t>
            </w:r>
          </w:p>
        </w:tc>
        <w:tc>
          <w:tcPr>
            <w:tcW w:w="30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306</w:t>
            </w:r>
          </w:p>
        </w:tc>
        <w:tc>
          <w:tcPr>
            <w:tcW w:w="200" w:type="dxa"/>
            <w:vAlign w:val="bottom"/>
            <w:gridSpan w:val="2"/>
            <w:shd w:val="clear" w:color="auto" w:fill="F0FF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Income taxes paid in cash</w:t>
            </w: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F0FFFF"/>
            </w:tcBorders>
            <w:vMerge w:val="restart"/>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5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0"/>
              <w:spacing w:after="0" w:line="19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501</w:t>
            </w:r>
          </w:p>
        </w:tc>
        <w:tc>
          <w:tcPr>
            <w:tcW w:w="1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31</w:t>
            </w:r>
          </w:p>
        </w:tc>
        <w:tc>
          <w:tcPr>
            <w:tcW w:w="2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5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Depreciation expense allocated to cost of services</w:t>
            </w:r>
          </w:p>
        </w:tc>
        <w:tc>
          <w:tcPr>
            <w:tcW w:w="2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4,575</w:t>
            </w:r>
          </w:p>
        </w:tc>
        <w:tc>
          <w:tcPr>
            <w:tcW w:w="1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5,120</w:t>
            </w:r>
          </w:p>
        </w:tc>
        <w:tc>
          <w:tcPr>
            <w:tcW w:w="22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4,881</w:t>
            </w: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Reclass of rental program property to inventory, net</w:t>
            </w: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F0FFFF"/>
            </w:tcBorders>
            <w:vMerge w:val="restart"/>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5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0"/>
              <w:spacing w:after="0" w:line="19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1,150</w:t>
            </w:r>
          </w:p>
        </w:tc>
        <w:tc>
          <w:tcPr>
            <w:tcW w:w="1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674</w:t>
            </w:r>
          </w:p>
        </w:tc>
        <w:tc>
          <w:tcPr>
            <w:tcW w:w="2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5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Prepaid items financed with debt</w:t>
            </w:r>
          </w:p>
        </w:tc>
        <w:tc>
          <w:tcPr>
            <w:tcW w:w="2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Warrant issuance for debt discount</w:t>
            </w: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F0FFFF"/>
            </w:tcBorders>
            <w:vMerge w:val="restart"/>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5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0"/>
              <w:spacing w:after="0" w:line="19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52</w:t>
            </w:r>
          </w:p>
        </w:tc>
        <w:tc>
          <w:tcPr>
            <w:tcW w:w="1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5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Debt financing costs financed with debt</w:t>
            </w:r>
          </w:p>
        </w:tc>
        <w:tc>
          <w:tcPr>
            <w:tcW w:w="2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Equipment and software acquired under capital lease</w:t>
            </w: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F0FFFF"/>
            </w:tcBorders>
            <w:vMerge w:val="restart"/>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5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0"/>
              <w:spacing w:after="0" w:line="19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444</w:t>
            </w:r>
          </w:p>
        </w:tc>
        <w:tc>
          <w:tcPr>
            <w:tcW w:w="1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108</w:t>
            </w:r>
          </w:p>
        </w:tc>
        <w:tc>
          <w:tcPr>
            <w:tcW w:w="2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325</w:t>
            </w: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5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Disposal of property and equipment</w:t>
            </w:r>
          </w:p>
        </w:tc>
        <w:tc>
          <w:tcPr>
            <w:tcW w:w="2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1,081</w:t>
            </w:r>
          </w:p>
        </w:tc>
        <w:tc>
          <w:tcPr>
            <w:tcW w:w="1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842</w:t>
            </w:r>
          </w:p>
        </w:tc>
        <w:tc>
          <w:tcPr>
            <w:tcW w:w="22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710</w:t>
            </w: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Disposal of property and equipment under sale-leaseback transactions</w:t>
            </w: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F0FFFF"/>
            </w:tcBorders>
            <w:vMerge w:val="restart"/>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5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0"/>
              <w:spacing w:after="0" w:line="19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3,873</w:t>
            </w:r>
          </w:p>
        </w:tc>
        <w:tc>
          <w:tcPr>
            <w:tcW w:w="2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1,919</w:t>
            </w:r>
          </w:p>
        </w:tc>
        <w:tc>
          <w:tcPr>
            <w:tcW w:w="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904" w:right="239" w:bottom="0" w:gutter="0" w:footer="0" w:header="0"/>
        </w:sectPr>
      </w:pPr>
    </w:p>
    <w:bookmarkStart w:id="45" w:name="page46"/>
    <w:bookmarkEnd w:id="45"/>
    <w:p>
      <w:pPr>
        <w:jc w:val="center"/>
        <w:spacing w:after="0"/>
        <w:rPr>
          <w:sz w:val="20"/>
          <w:szCs w:val="20"/>
          <w:color w:val="auto"/>
        </w:rPr>
      </w:pPr>
      <w:r>
        <w:rPr>
          <w:rFonts w:ascii="Arial" w:cs="Arial" w:eastAsia="Arial" w:hAnsi="Arial"/>
          <w:sz w:val="19"/>
          <w:szCs w:val="19"/>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29845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All of our customers are located in North America.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significant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its cash in bank deposit accounts, which may exceed federally insured limits at times.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include amounts due to the Company for sales of equipment, other amounts due from customers, merchant service receivables, and unbilled amounts due from customers, net of the allowance for uncollectible accounts.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 assessment of collection costs and other factors. The allowance for doubtful accounts receivable is management’s best estimate as of the respective reporting date.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offers extended payment terms to certain customers for equipment sales under its Quick Start Program. In accordance with the Financial Accounting Standards Board Accounting Standards Codification® (“ASC”) Topic 840, “Leases”, agreements under the Quick Start Program qualify for sales-type lease accounting. Accordingly, the future minimum lease payments are classified as finance receivables in the Company’s consolidated balance sheets. Finance receivables or Quick Start leases are generally for a sixty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Net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intangible assets include goodwill, trademarks, non-compete agreements, brand, developed technology and customer relationships.</w:t>
      </w:r>
    </w:p>
    <w:p>
      <w:pPr>
        <w:spacing w:after="0" w:line="2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trademarks with an indefinite economic life are not being amortized. The trademarks, not subject to amortization, are related to the EnergyMiser asset group and consist of four trademarks. The Company tests indefinite-life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 The Company concluded there was no impairment of trademarks during the fiscal years ended June 30, 2015 and 2014, respectively. During the fourth quarter of the fiscal year ended June 30, 2016, the fair value of the trademarks were determined to have inconsequential value based on the “relief from royalty” methodology. This assessment resulted in an impairment write-down during the fourth fiscal quarter of $432 thousand, which is included in “Impairment of intangible asset” in the Consolidated Statement of Operations for the fiscal year ended June 30, 2016. (See Note 7 Goodwill and Intangible Assets for details.)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 The Company has concluded there has been no impairment of goodwill during the fiscal years ended June 30, 2016, 2015 and 2014,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 The Company has concluded that the carrying amount of definite lived long-lived assets is recoverable as of June 30, 2016 and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Accounting Standards Board (“FASB”) issued Accounting Standards Update (“ASU”) 2010-06, “Fair Value Measurements and Disclosures (“Topic 820”): Improving Disclosures about Fair Value Measurements.” ASU 2010-06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financial assets and liabilities are accounted for in accordance with ASC 820 “Fair Value Measurement.” Under ASC 820 the Company uses inputs from the three levels of the fair value hierarchy to measure its financial assets and liabilities. The three levels are as follows: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accounts receivable, short-term finance receivables, prepaid expenses and other assets, accounts payable and accrued expenses, are carried at cost which approximates fair value due to the short-term maturity of these instruments. The fair value of the Company’s obligations under its long-term debt agreements and the long-term portion of its finance receivables approximate their carrying value as such instruments are at market rates currently available to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w:t>
      </w:r>
      <w:r>
        <w:rPr>
          <w:rFonts w:ascii="Arial" w:cs="Arial" w:eastAsia="Arial" w:hAnsi="Arial"/>
          <w:sz w:val="18"/>
          <w:szCs w:val="18"/>
          <w:color w:val="auto"/>
        </w:rPr>
        <w: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that subject the Company to a concentration of credit risk consist principally of cash and accounts and finance receivables. The Company maintains cash with various financial institutions where accounts may exceed federally insured limits at times. Approximately 18%, 35% and 22% of the Company’s trade accounts and finance receivables at June 30, 2016, 2015 and 2014, respectively, were concentrated with one customer.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Concentration of revenues with customers subject the Company to operating risks. Approximately 16%, 21% and 26% of the Company’s license and transaction processing revenues for the years ended June 30, 2016, 2015 and 2014, respectively, were concentrated with one customer. Approximately 28% and 17% of the Company’s equipment sales revenue were concentrated with one customer for the years ended June 30, 2016 and 2015, respectively, with no concentrations for the year ended June 30, 2014. The Company’s customers are principally located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sale or QuickStart lease of equipment is recognized on the terms of free-on-board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leasing company for the devices. The Company qualifies for sales type lease accounting. Accordingly, the company recognizes a portion of lease payments as interest income. At the end of the lease period, the customer would have the option to purchase the device at its residual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RENTAL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offers its customers a rental program for its ePort devices, the JumpStart program (“JumpStart”). JumpStart terms are typically 36 months and are cancellable with thirty to sixty days’ written notice. In accordance with ASC 840, “Leases”, the Company classifies the rental agreements as operating leases, with service fee revenue related to the leases included in license and transaction fees in the Consolidated Statements of Operations. Cost for the JumpStart revenues, which consists of depreciation expense on the JumpStart equipment, is included in cost of services in the Consolidated Statements of Operations. ePort equipment utilized by the JumpStart program is included in property and equipment, net on the Consolidated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generally warrants its products for one to three years. Warranty costs are estimated and recorded at the time of sale based on historical warranty experience, if available. These costs are reviewed and adjusted, if necessary, periodically throughout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Shipping and handling fees billed to our customers in connection with sales are recorded as revenue. The costs incurred for shipping and handling of our product are recorded as cost of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Advertising expense was $0.3 million, $0.2 million, and $0.2 million in the fiscal years ended June 30, 2016,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are expensed as incurred. Research and development expenses, which are included in selling, general and administrative expenses in the Consolidated Statements of Operations, were approximately $1.4 million, $1.5 million and $1.0 million, for the years ended June 30, 2016, 2015, and 2014, respectively. Our research and development initiatives focus on adding features and functionality to our system solutions through the development and utilization of our processing and reporting network and new technology.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requisite service period of the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Costs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From time to time, we are involved in litigation, claims, contingencies and other legal matters. We record a charge equal to at least the minimum estimated liability for a loss contingency when both of the following conditions are met: (i) information available prior to issuance of the financial statements indicates that it is probable that an asset had been impaired or a liability had been incurred at the date of the financial statement and (ii) the range of the loss can be reasonably estimated. We expense legal costs, including those legal costs expected to be incurred in connection with a loss contingency, as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the provisions of FASB ASC 740, Accounting for Uncertainty in Income Taxes, which provides detailed guidance for the financial statement recognition, measurement and disclosure of uncertain tax positions recognized in the financial statements. Tax positions must meet a “more-likely-than-not” recognition threshold at the effective date to be recognized upon the adoption of ASC 740 and in subsequent periods.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years ended June 30, 2016, 2015, and 2014.</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income tax returns in the United States federal jurisdiction and various state jurisdictions. The tax years ended June 30, 2013 through June 30, 2016 remain open to examination by taxing jurisdictions to which the Company is subject. As of June 30, 2016, the Company did not have any income tax examinations in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are calculated by dividing net income (loss) applicable to common shares by the weighted average common shares outstanding for the period. Diluted earnings (loss) per share are calculated by dividing net income (loss) applicable to common shares by the weighted average common shares outstanding for the period plus the dilutive effects of common stock equivalents unless the effects of such common stock equivalents are anti-dilutive. For the years ended June 30, 2016, 2015 and 2014 no effect for common stock equivalents was considered in the calculation of diluted earnings (loss) per share because their effect was anti-dilutive.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consolidated financial statements included in this Form 10-K reflect additional shares of common stock and preferred stock that had been issued and outstanding in prior periods but were not reflected as such in previous consolidated financial statements as explained in Note 19. The basic and diluted weighted average number of common shares outstanding for the years ended June 30, 2015 and 2014 have been adjusted to reflect the additional number of shares pertaining to each of those years. The foregoing adjustments in basic and diluted weighted common shares outstanding did not affect the previously reported net loss per common share-basic or diluted for the year ended June 30, 2015. The previously reported net income per common share-basic and diluted for the year ended June 30, 2014 was decreased from $.78 to $.77 as a result of the foregoing adjustments.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incurred during the preliminary project along with post-implementation stages of internal use computer software development and costs incurred to maintain existing product offerings are expensed as incurred. The capitalization and ongoing assessment of recoverability of development costs require considerable judgment by management with respect to certain external factors, including, but not limited to, technological and economic feasibility and estimated economic life. At June 30, 2016, the Company had $137 thousand in capitalized software development which is being amortized over a period of three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ASC 220, “Comprehensive Income”, prescribes the reporting required for comprehensive income and items of other comprehensive income. Entities having no items of other comprehensive income are not required to report on comprehensive income. The Company has no items of other comprehensive income for its years ended June 30, 2016, 2015 or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Financial Accounting Standards Board issued ASU 2014-09, Revenue from Contracts with Customers (Topic 606). This ASU was amended by ASU No. 2015-14, issued in August 2015, which deferred the original effective date by one year. The new guidance provides a single model for entities to use in accounting for revenue arising from contracts with customers and will supersede most current revenue recognition guidance. The new standard also requires expanded qualitative and quantitative disclosures about the nature, timing and uncertainty of revenue and cash flows rising from contracts with customers. The ASU is now effective for fiscal years, and interim reporting periods within those years, beginning with the year ending June 30, 2019.</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2014, the Financial Accounting Standards Board issued ASU 2014-12 Compensation - Stock Compensation (Topic 718); Accounting for share-based payments when the terms of the award provide that a performance target could be achieved after the requisite service period. Under the new guidance an entity will not record compensation expense related to an award until it becomes probable that the performance target will be met. This pronouncement will be effective for the Company beginning with the year ending June 30,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2015, the Financial Accounting Standards Board issued ASU 2015-03 Interest - Imputation of Interest (Subtopic 835-30): Simplifying the presentation of debt issuance costs. This standard is part of FASB’s simplification initiative which has as its objective to identify, evaluate, and improve areas where cost and complexity can be reduced while maintaining or improving the usefulness of the information for users. The Company adopted this pronouncement for the year ended June 30, 2016.</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Financial Accounting Standards Board issued ASU 2015-11 Inventory (Topic 330): Simplifying the measurement of inventory. This standard is part of FASB’s simplification initiative which has as its objective to identify, evaluate, and improve areas where cost and complexity can be reduced while maintaining or improving the usefulness of the information for users. This pronouncement will be effective for the Company beginning with the year ending June 30, 2018.</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2015, the Financial Accounting Standards Board issued ASU 2015-16, "Simplifying the Accounting for Measurement-Period Adjustments". ASU 2015-16 eliminates the requirement for an acquirer in a business combination to account for measurement-period adjustments retrospectively. ASU 2015-16 will be effective for the Company beginning with the quarter ending September 30, 2016. Since this standard is prospective, the impact of ASU 2015-16 on the Company's financial condition, results of operations and cash flows will depend upon the nature of any measurement period adjustments identified in future periods.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November 2015, the Financial Accounting Standards Board issued ASU 2015-17, "Balance Sheet Classification of Deferred Taxes" ("ASU 2015-17"), which will require entities to present all deferred tax liabilities and assets as noncurrent on the balance sheet instead of separating deferred taxes into current and noncurrent amounts. The standard will be effective for the Company beginning with the quarter ending September 30, 2017. Early application is permitted. The standard can be applied either prospectively to all deferred tax liabilities and assets or retrospectively to all periods presented.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2016, the Financial Accounting Standards Board issued ASU 2016-02 “Leases” (Topic 842). Under the new guidance, those leases classified as operating leases under previous GAAP, will be recognized on our consolidated balance sheet as liabilities with corresponding right-of-use assets. This pronouncement will be effective for the Company beginning with the year ending June 30, 2018.</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2016, the Financial Accounting Standards Board issued ASU 2016-09 Compensation – Stock Compensation (Topic 718): Improvements to Employee Share-Based Payment Accounting. The new guidance simplifies several aspects of accounting and presentation for share-bases compensation. This pronouncement will be effective for the Company beginning with the year ending June 30,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the Financial Accounting Standards Board issued ASU 2016-15 Statement of Cash Flows Classification of Certain Cash Receipts and Cash Payments (Topic 230). This update addresses eight specific cash flow issues with the objective of reducing the existing diversity in practice. This pronouncement will be effective for the Company beginning with the year ending June 30, 2018.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There are three amendments to ASU 2014-09 issued in 2016. They are ASU 2016-08, issued in March 2016 Revenue from Contracts with Customers (Topic</w:t>
      </w:r>
    </w:p>
    <w:p>
      <w:pPr>
        <w:spacing w:after="0" w:line="46" w:lineRule="exact"/>
        <w:rPr>
          <w:sz w:val="20"/>
          <w:szCs w:val="20"/>
          <w:color w:val="auto"/>
        </w:rPr>
      </w:pPr>
    </w:p>
    <w:p>
      <w:pPr>
        <w:jc w:val="both"/>
        <w:ind w:firstLine="8"/>
        <w:spacing w:after="0" w:line="252" w:lineRule="auto"/>
        <w:tabs>
          <w:tab w:leader="none" w:pos="3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Principal versus Agent Considerations which clarifies those relationships with the customer, ASU 2016-10, issued in April 2016 Revenue from Contracts with Customers (Topic 606), Identifying Performance Obligations and Licensing, what is the entity’s obligations to its customer and what is the customer’s entitlement in the license agreements and ASU 2016-12, issued in April 2016 Revenue from Contracts with Customers (Topic 606), Narrow Scope Improvements and Practical Expedients, guidance on assessing collectability, presentation of sales taxes, noncash consideration, and completed contract modifications at transition. These amendments to ASU 2014-09 are now effective for fiscal years, and interim reporting periods within those years, beginning with the year ending June 30,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reported in the Company’s Form 10-Q for the quarter ended September 30, 2015, commencing with the September 30, 2015 financial statements, the Company changed the manner in which it presents certain uncollected customer accounts receivable and the related allowance in its consolidated balance sheets and the related statements of cash flows. These accounts receivable represent a large number of small balance amounts due from customers for processing and service fees which had not been billed to customers, and as to which, there had been no customer transaction proceeds from which the Company could collect the amounts due in accordance with its normal procedures. The previous accounting classification recorded these amounts as a reduction of its accounts payable in the consolidated balance sheets and the related statements of cash flows. The new accounting classification moves these amounts to accounts receivable and allowance for bad debt.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ectPr>
          <w:pgSz w:w="11900" w:h="16838" w:orient="portrait"/>
          <w:cols w:equalWidth="0" w:num="1">
            <w:col w:w="11420"/>
          </w:cols>
          <w:pgMar w:left="240" w:top="905"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Line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1068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10685"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 of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right="40"/>
        <w:spacing w:after="0" w:line="323" w:lineRule="auto"/>
        <w:rPr>
          <w:sz w:val="20"/>
          <w:szCs w:val="20"/>
          <w:color w:val="auto"/>
        </w:rPr>
      </w:pPr>
      <w:r>
        <w:rPr>
          <w:rFonts w:ascii="Arial" w:cs="Arial" w:eastAsia="Arial" w:hAnsi="Arial"/>
          <w:sz w:val="16"/>
          <w:szCs w:val="16"/>
          <w:color w:val="auto"/>
        </w:rPr>
        <w:t>·Reclassification of balances included in accounts payable to accounts receivable ·Reclassification of the allowance for doubtful accounts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·Reclassification of the allowance for doubtful accounts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right="40"/>
        <w:spacing w:after="0" w:line="323" w:lineRule="auto"/>
        <w:rPr>
          <w:sz w:val="20"/>
          <w:szCs w:val="20"/>
          <w:color w:val="auto"/>
        </w:rPr>
      </w:pPr>
      <w:r>
        <w:rPr>
          <w:rFonts w:ascii="Arial" w:cs="Arial" w:eastAsia="Arial" w:hAnsi="Arial"/>
          <w:sz w:val="16"/>
          <w:szCs w:val="16"/>
          <w:color w:val="auto"/>
        </w:rPr>
        <w:t>·Reclassification of balances included in accounts payable to accounts receivable ·Reclassification of the allowance for doubtful accounts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June 30, 2015 Balances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7"/>
              </w:rPr>
              <w:t>As previously</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reported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Reclassification</w:t>
            </w:r>
          </w:p>
        </w:tc>
        <w:tc>
          <w:tcPr>
            <w:tcW w:w="22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1"/>
              </w:rPr>
              <w:t>As reclassified</w:t>
            </w:r>
          </w:p>
        </w:tc>
        <w:tc>
          <w:tcPr>
            <w:tcW w:w="60" w:type="dxa"/>
            <w:vAlign w:val="bottom"/>
            <w:gridSpan w:val="2"/>
          </w:tcPr>
          <w:p>
            <w:pPr>
              <w:spacing w:after="0"/>
              <w:rPr>
                <w:sz w:val="20"/>
                <w:szCs w:val="20"/>
                <w:color w:val="auto"/>
              </w:rPr>
            </w:pPr>
          </w:p>
        </w:tc>
      </w:tr>
      <w:tr>
        <w:trPr>
          <w:trHeight w:val="634"/>
        </w:trPr>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2,114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1"/>
        </w:trPr>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5,971</w:t>
            </w:r>
          </w:p>
        </w:tc>
        <w:tc>
          <w:tcPr>
            <w:tcW w:w="40" w:type="dxa"/>
            <w:vAlign w:val="bottom"/>
          </w:tcPr>
          <w:p>
            <w:pPr>
              <w:spacing w:after="0"/>
              <w:rPr>
                <w:sz w:val="19"/>
                <w:szCs w:val="19"/>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69"/>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(815)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(1,309)</w:t>
            </w: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7"/>
        </w:trPr>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2,114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1"/>
        </w:trPr>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10,542</w:t>
            </w:r>
          </w:p>
        </w:tc>
        <w:tc>
          <w:tcPr>
            <w:tcW w:w="40" w:type="dxa"/>
            <w:vAlign w:val="bottom"/>
          </w:tcPr>
          <w:p>
            <w:pPr>
              <w:spacing w:after="0"/>
              <w:rPr>
                <w:sz w:val="19"/>
                <w:szCs w:val="19"/>
                <w:color w:val="auto"/>
              </w:rPr>
            </w:pP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40" w:space="720"/>
            <w:col w:w="4660"/>
          </w:cols>
          <w:pgMar w:left="240" w:top="905" w:right="2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Accordingly, the respective balances for all prior periods presented in these financial statements were reclassified in order to be consistent with and comparable to the accounting classification of these items in our June 30, 2015 financial statements. The new accounting classification as well as the reclassification for prior periods had no effect on the consolidated statements of operations or the consolidated statements of shareholders’ equity. The details of the reclassification of the consolidated balance sheets were disclosed in the Company’s Form 10-Q for the quarter ended September 30, 2015. The consolidated statements of cash flows amounts are presented in the table below:</w:t>
      </w:r>
    </w:p>
    <w:p>
      <w:pPr>
        <w:sectPr>
          <w:pgSz w:w="11900" w:h="16838" w:orient="portrait"/>
          <w:cols w:equalWidth="0" w:num="1">
            <w:col w:w="11420"/>
          </w:cols>
          <w:pgMar w:left="240" w:top="905" w:right="239" w:bottom="1440" w:gutter="0" w:footer="0" w:header="0"/>
          <w:type w:val="continuous"/>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 Line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1068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10685"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line="261" w:lineRule="auto"/>
        <w:rPr>
          <w:sz w:val="20"/>
          <w:szCs w:val="20"/>
          <w:color w:val="auto"/>
        </w:rPr>
      </w:pPr>
      <w:r>
        <w:rPr>
          <w:rFonts w:ascii="Arial" w:cs="Arial" w:eastAsia="Arial" w:hAnsi="Arial"/>
          <w:sz w:val="18"/>
          <w:szCs w:val="18"/>
          <w:color w:val="auto"/>
        </w:rPr>
        <w:t>·Reclassification of cash provided by and included in accounts payable to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For the fiscal year ended June 30, 2015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95"/>
              </w:rPr>
              <w:t>As previously</w:t>
            </w: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reported</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Reclassification</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reclassified</w:t>
            </w:r>
          </w:p>
        </w:tc>
        <w:tc>
          <w:tcPr>
            <w:tcW w:w="60" w:type="dxa"/>
            <w:vAlign w:val="bottom"/>
            <w:gridSpan w:val="2"/>
          </w:tcPr>
          <w:p>
            <w:pPr>
              <w:spacing w:after="0"/>
              <w:rPr>
                <w:sz w:val="20"/>
                <w:szCs w:val="20"/>
                <w:color w:val="auto"/>
              </w:rPr>
            </w:pPr>
          </w:p>
        </w:tc>
      </w:tr>
      <w:tr>
        <w:trPr>
          <w:trHeight w:val="891"/>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(2,517)  $</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(22)  $</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(2,539)</w:t>
            </w: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20" w:space="640"/>
            <w:col w:w="4660"/>
          </w:cols>
          <w:pgMar w:left="240" w:top="905" w:right="239" w:bottom="1440" w:gutter="0" w:footer="0" w:header="0"/>
          <w:type w:val="continuous"/>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6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7"/>
        </w:trPr>
        <w:tc>
          <w:tcPr>
            <w:tcW w:w="7360" w:type="dxa"/>
            <w:vAlign w:val="bottom"/>
          </w:tcPr>
          <w:p>
            <w:pPr>
              <w:ind w:left="180"/>
              <w:spacing w:after="0"/>
              <w:rPr>
                <w:sz w:val="20"/>
                <w:szCs w:val="20"/>
                <w:color w:val="auto"/>
              </w:rPr>
            </w:pPr>
            <w:r>
              <w:rPr>
                <w:rFonts w:ascii="Arial" w:cs="Arial" w:eastAsia="Arial" w:hAnsi="Arial"/>
                <w:sz w:val="18"/>
                <w:szCs w:val="18"/>
                <w:color w:val="auto"/>
                <w:w w:val="97"/>
              </w:rPr>
              <w:t>·Reclassification of cash used in and included in accounts payable to accounts receivable  $</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919</w:t>
            </w:r>
          </w:p>
        </w:tc>
        <w:tc>
          <w:tcPr>
            <w:tcW w:w="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0</wp:posOffset>
            </wp:positionV>
            <wp:extent cx="2889885"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89885" cy="342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ectPr>
          <w:pgSz w:w="11900" w:h="16838" w:orient="portrait"/>
          <w:cols w:equalWidth="0" w:num="1">
            <w:col w:w="11380"/>
          </w:cols>
          <w:pgMar w:left="240" w:top="904" w:right="2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 Line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1068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10685"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line="261" w:lineRule="auto"/>
        <w:rPr>
          <w:sz w:val="20"/>
          <w:szCs w:val="20"/>
          <w:color w:val="auto"/>
        </w:rPr>
      </w:pPr>
      <w:r>
        <w:rPr>
          <w:rFonts w:ascii="Arial" w:cs="Arial" w:eastAsia="Arial" w:hAnsi="Arial"/>
          <w:sz w:val="18"/>
          <w:szCs w:val="18"/>
          <w:color w:val="auto"/>
        </w:rPr>
        <w:t>·Reclassification of cash provided by and included in accounts payable to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For the fiscal year ended June 30, 2014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95"/>
              </w:rPr>
              <w:t>As previously</w:t>
            </w: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reported</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Reclassification</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reclassified</w:t>
            </w:r>
          </w:p>
        </w:tc>
        <w:tc>
          <w:tcPr>
            <w:tcW w:w="60" w:type="dxa"/>
            <w:vAlign w:val="bottom"/>
            <w:gridSpan w:val="2"/>
          </w:tcPr>
          <w:p>
            <w:pPr>
              <w:spacing w:after="0"/>
              <w:rPr>
                <w:sz w:val="20"/>
                <w:szCs w:val="20"/>
                <w:color w:val="auto"/>
              </w:rPr>
            </w:pPr>
          </w:p>
        </w:tc>
      </w:tr>
      <w:tr>
        <w:trPr>
          <w:trHeight w:val="891"/>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(157)  $</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(47)  $</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(204)</w:t>
            </w: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20" w:space="640"/>
            <w:col w:w="4620"/>
          </w:cols>
          <w:pgMar w:left="240" w:top="904" w:right="279" w:bottom="1440" w:gutter="0" w:footer="0" w:header="0"/>
          <w:type w:val="continuous"/>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6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7"/>
        </w:trPr>
        <w:tc>
          <w:tcPr>
            <w:tcW w:w="7360" w:type="dxa"/>
            <w:vAlign w:val="bottom"/>
          </w:tcPr>
          <w:p>
            <w:pPr>
              <w:ind w:left="180"/>
              <w:spacing w:after="0"/>
              <w:rPr>
                <w:sz w:val="20"/>
                <w:szCs w:val="20"/>
                <w:color w:val="auto"/>
              </w:rPr>
            </w:pPr>
            <w:r>
              <w:rPr>
                <w:rFonts w:ascii="Arial" w:cs="Arial" w:eastAsia="Arial" w:hAnsi="Arial"/>
                <w:sz w:val="18"/>
                <w:szCs w:val="18"/>
                <w:color w:val="auto"/>
                <w:w w:val="97"/>
              </w:rPr>
              <w:t>·Reclassification of cash used in and included in accounts payable to accounts receivable  $</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0</wp:posOffset>
            </wp:positionV>
            <wp:extent cx="2889885"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89885" cy="342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VENDSCREEN,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15, 2016, the Company executed an Asset Purchase Agreement with VendScreen, Inc. (“VendScreen”), a Portland, Oregon based developer of vending industry cashless payment technology, by which it acquired substantially all of VendScreen’s assets and assumed specified liabilities, for a cash payment of $5.625 million. The purchase price was funded using $2.625 million in cash, and the balance of $3.0 million from a term loan which was converted from a line of credit.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acquisition expands the Company’s capability with interactive media (touchscreen) and content delivery through VendScreen’s cloud-based content delivery platform, device platform and products, customer base, vendor management system (VMS) integration, and consumer product information including nutritional data. In addition to new technology and services, the acquisition adds a West Coast operational footprint, with former VendScreen employees able to offer expanded customer services, sales and technical support. On the date of the acquisition, VendScreen had approximately 150 customers with approximately 6,000 connections. Of those 150 customers approximately 50% are new customers of USAT.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preliminary purchase price allocation to reflect the fair values of the assets acquired and liabilities assumed at the date of acquisition.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5200" w:type="dxa"/>
            <w:vAlign w:val="bottom"/>
          </w:tcPr>
          <w:p>
            <w:pPr>
              <w:ind w:left="2520"/>
              <w:spacing w:after="0"/>
              <w:rPr>
                <w:sz w:val="20"/>
                <w:szCs w:val="20"/>
                <w:color w:val="auto"/>
              </w:rPr>
            </w:pPr>
            <w:r>
              <w:rPr>
                <w:rFonts w:ascii="Arial" w:cs="Arial" w:eastAsia="Arial" w:hAnsi="Arial"/>
                <w:sz w:val="18"/>
                <w:szCs w:val="18"/>
                <w:b w:val="1"/>
                <w:bCs w:val="1"/>
                <w:color w:val="auto"/>
              </w:rPr>
              <w:t>USA Technologies, Inc.</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5200" w:type="dxa"/>
            <w:vAlign w:val="bottom"/>
          </w:tcPr>
          <w:p>
            <w:pPr>
              <w:ind w:left="1740"/>
              <w:spacing w:after="0"/>
              <w:rPr>
                <w:sz w:val="20"/>
                <w:szCs w:val="20"/>
                <w:color w:val="auto"/>
              </w:rPr>
            </w:pPr>
            <w:r>
              <w:rPr>
                <w:rFonts w:ascii="Arial" w:cs="Arial" w:eastAsia="Arial" w:hAnsi="Arial"/>
                <w:sz w:val="18"/>
                <w:szCs w:val="18"/>
                <w:b w:val="1"/>
                <w:bCs w:val="1"/>
                <w:color w:val="auto"/>
                <w:w w:val="91"/>
              </w:rPr>
              <w:t>Notes to Consolidated Financial Statements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3. ACQUISITION (CONTINUED)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ind w:left="2300"/>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2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Consideration:</w:t>
            </w: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Fair value of total consideration paid in cash</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2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restart"/>
          </w:tcPr>
          <w:p>
            <w:pPr>
              <w:spacing w:after="0"/>
              <w:rPr>
                <w:sz w:val="18"/>
                <w:szCs w:val="18"/>
                <w:color w:val="auto"/>
              </w:rPr>
            </w:pPr>
          </w:p>
        </w:tc>
        <w:tc>
          <w:tcPr>
            <w:tcW w:w="5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Acquisition / non-recurring acquisition expenses:</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vMerge w:val="continue"/>
          </w:tcPr>
          <w:p>
            <w:pPr>
              <w:spacing w:after="0"/>
              <w:rPr>
                <w:sz w:val="17"/>
                <w:szCs w:val="17"/>
                <w:color w:val="auto"/>
              </w:rPr>
            </w:pPr>
          </w:p>
        </w:tc>
        <w:tc>
          <w:tcPr>
            <w:tcW w:w="520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Recognized amounts of identifiable assets acquired and liabilities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00" w:type="dxa"/>
            <w:vAlign w:val="bottom"/>
            <w:gridSpan w:val="2"/>
          </w:tcPr>
          <w:p>
            <w:pPr>
              <w:ind w:left="2300"/>
              <w:spacing w:after="0"/>
              <w:rPr>
                <w:sz w:val="20"/>
                <w:szCs w:val="20"/>
                <w:color w:val="auto"/>
              </w:rPr>
            </w:pPr>
            <w:r>
              <w:rPr>
                <w:rFonts w:ascii="Arial" w:cs="Arial" w:eastAsia="Arial" w:hAnsi="Arial"/>
                <w:sz w:val="18"/>
                <w:szCs w:val="18"/>
                <w:b w:val="1"/>
                <w:bCs w:val="1"/>
                <w:color w:val="auto"/>
              </w:rPr>
              <w:t>assumed:</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Financial Assets: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200" w:type="dxa"/>
            <w:vAlign w:val="bottom"/>
            <w:shd w:val="clear" w:color="auto" w:fill="F0FFFF"/>
          </w:tcPr>
          <w:p>
            <w:pPr>
              <w:ind w:left="480"/>
              <w:spacing w:after="0"/>
              <w:rPr>
                <w:sz w:val="20"/>
                <w:szCs w:val="20"/>
                <w:color w:val="auto"/>
              </w:rPr>
            </w:pPr>
            <w:r>
              <w:rPr>
                <w:rFonts w:ascii="Arial" w:cs="Arial" w:eastAsia="Arial" w:hAnsi="Arial"/>
                <w:sz w:val="18"/>
                <w:szCs w:val="18"/>
                <w:color w:val="auto"/>
              </w:rPr>
              <w:t>Accounts receivable</w:t>
            </w:r>
          </w:p>
        </w:tc>
        <w:tc>
          <w:tcPr>
            <w:tcW w:w="680" w:type="dxa"/>
            <w:vAlign w:val="bottom"/>
            <w:gridSpan w:val="2"/>
            <w:shd w:val="clear" w:color="auto" w:fill="F0FFFF"/>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Finance receivables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200" w:type="dxa"/>
            <w:vAlign w:val="bottom"/>
            <w:shd w:val="clear" w:color="auto" w:fill="F0FFFF"/>
          </w:tcPr>
          <w:p>
            <w:pPr>
              <w:ind w:left="4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5200" w:type="dxa"/>
            <w:vAlign w:val="bottom"/>
            <w:tcBorders>
              <w:bottom w:val="single" w:sz="8" w:color="F0FFFF"/>
            </w:tcBorders>
          </w:tcPr>
          <w:p>
            <w:pPr>
              <w:ind w:left="48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F0FF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669</w:t>
            </w: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200" w:type="dxa"/>
            <w:vAlign w:val="bottom"/>
            <w:shd w:val="clear" w:color="auto" w:fill="F0FFFF"/>
          </w:tcPr>
          <w:p>
            <w:pPr>
              <w:spacing w:after="0"/>
              <w:rPr>
                <w:sz w:val="20"/>
                <w:szCs w:val="20"/>
                <w:color w:val="auto"/>
              </w:rPr>
            </w:pPr>
            <w:r>
              <w:rPr>
                <w:rFonts w:ascii="Arial" w:cs="Arial" w:eastAsia="Arial" w:hAnsi="Arial"/>
                <w:sz w:val="18"/>
                <w:szCs w:val="18"/>
                <w:color w:val="auto"/>
              </w:rPr>
              <w:t>Property, plant &amp; equipment</w:t>
            </w: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200" w:type="dxa"/>
            <w:vAlign w:val="bottom"/>
            <w:shd w:val="clear" w:color="auto" w:fill="F0FFFF"/>
          </w:tcPr>
          <w:p>
            <w:pPr>
              <w:spacing w:after="0"/>
              <w:rPr>
                <w:sz w:val="20"/>
                <w:szCs w:val="20"/>
                <w:color w:val="auto"/>
              </w:rPr>
            </w:pPr>
            <w:r>
              <w:rPr>
                <w:rFonts w:ascii="Arial" w:cs="Arial" w:eastAsia="Arial" w:hAnsi="Arial"/>
                <w:sz w:val="18"/>
                <w:szCs w:val="18"/>
                <w:color w:val="auto"/>
              </w:rPr>
              <w:t>Identifiable intangible assets:</w:t>
            </w: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200" w:type="dxa"/>
            <w:vAlign w:val="bottom"/>
            <w:shd w:val="clear" w:color="auto" w:fill="F0FFFF"/>
          </w:tcPr>
          <w:p>
            <w:pPr>
              <w:ind w:left="48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Brand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5200" w:type="dxa"/>
            <w:vAlign w:val="bottom"/>
            <w:shd w:val="clear" w:color="auto" w:fill="F0FFFF"/>
          </w:tcPr>
          <w:p>
            <w:pPr>
              <w:ind w:left="480"/>
              <w:spacing w:after="0"/>
              <w:rPr>
                <w:sz w:val="20"/>
                <w:szCs w:val="20"/>
                <w:color w:val="auto"/>
              </w:rPr>
            </w:pPr>
            <w:r>
              <w:rPr>
                <w:rFonts w:ascii="Arial" w:cs="Arial" w:eastAsia="Arial" w:hAnsi="Arial"/>
                <w:sz w:val="18"/>
                <w:szCs w:val="18"/>
                <w:color w:val="auto"/>
              </w:rPr>
              <w:t>Noncompete agreements</w:t>
            </w:r>
          </w:p>
        </w:tc>
        <w:tc>
          <w:tcPr>
            <w:tcW w:w="120" w:type="dxa"/>
            <w:vAlign w:val="bottom"/>
            <w:shd w:val="clear" w:color="auto" w:fill="F0FFFF"/>
          </w:tcPr>
          <w:p>
            <w:pPr>
              <w:spacing w:after="0"/>
              <w:rPr>
                <w:sz w:val="21"/>
                <w:szCs w:val="21"/>
                <w:color w:val="auto"/>
              </w:rPr>
            </w:pPr>
          </w:p>
        </w:tc>
        <w:tc>
          <w:tcPr>
            <w:tcW w:w="56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5200" w:type="dxa"/>
            <w:vAlign w:val="bottom"/>
            <w:tcBorders>
              <w:top w:val="single" w:sz="8" w:color="F0FFFF"/>
            </w:tcBorders>
          </w:tcPr>
          <w:p>
            <w:pPr>
              <w:ind w:left="480"/>
              <w:spacing w:after="0" w:line="203" w:lineRule="exact"/>
              <w:rPr>
                <w:sz w:val="20"/>
                <w:szCs w:val="20"/>
                <w:color w:val="auto"/>
              </w:rPr>
            </w:pPr>
            <w:r>
              <w:rPr>
                <w:rFonts w:ascii="Arial" w:cs="Arial" w:eastAsia="Arial" w:hAnsi="Arial"/>
                <w:sz w:val="18"/>
                <w:szCs w:val="18"/>
                <w:color w:val="auto"/>
              </w:rPr>
              <w:t>Fair value of intangible assets</w:t>
            </w:r>
          </w:p>
        </w:tc>
        <w:tc>
          <w:tcPr>
            <w:tcW w:w="120" w:type="dxa"/>
            <w:vAlign w:val="bottom"/>
            <w:tcBorders>
              <w:top w:val="single" w:sz="8" w:color="F0FF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885</w:t>
            </w:r>
          </w:p>
        </w:tc>
        <w:tc>
          <w:tcPr>
            <w:tcW w:w="6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200" w:type="dxa"/>
            <w:vAlign w:val="bottom"/>
            <w:shd w:val="clear" w:color="auto" w:fill="F0FFFF"/>
          </w:tcPr>
          <w:p>
            <w:pPr>
              <w:ind w:left="48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F0FFFF"/>
          </w:tcPr>
          <w:p>
            <w:pPr>
              <w:spacing w:after="0"/>
              <w:rPr>
                <w:sz w:val="19"/>
                <w:szCs w:val="19"/>
                <w:color w:val="auto"/>
              </w:rPr>
            </w:pPr>
          </w:p>
        </w:tc>
        <w:tc>
          <w:tcPr>
            <w:tcW w:w="560" w:type="dxa"/>
            <w:vAlign w:val="bottom"/>
            <w:shd w:val="clear" w:color="auto" w:fill="F0FFFF"/>
          </w:tcPr>
          <w:p>
            <w:pPr>
              <w:spacing w:after="0"/>
              <w:rPr>
                <w:sz w:val="19"/>
                <w:szCs w:val="19"/>
                <w:color w:val="auto"/>
              </w:rPr>
            </w:pP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2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200" w:type="dxa"/>
            <w:vAlign w:val="bottom"/>
            <w:shd w:val="clear" w:color="auto" w:fill="F0FFFF"/>
          </w:tcPr>
          <w:p>
            <w:pPr>
              <w:spacing w:after="0"/>
              <w:rPr>
                <w:sz w:val="20"/>
                <w:szCs w:val="20"/>
                <w:color w:val="auto"/>
              </w:rPr>
            </w:pPr>
            <w:r>
              <w:rPr>
                <w:rFonts w:ascii="Arial" w:cs="Arial" w:eastAsia="Arial" w:hAnsi="Arial"/>
                <w:sz w:val="18"/>
                <w:szCs w:val="18"/>
                <w:color w:val="auto"/>
              </w:rPr>
              <w:t>Total identifiable net assets</w:t>
            </w: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vMerge w:val="continue"/>
          </w:tcPr>
          <w:p>
            <w:pPr>
              <w:spacing w:after="0"/>
              <w:rPr>
                <w:sz w:val="20"/>
                <w:szCs w:val="20"/>
                <w:color w:val="auto"/>
              </w:rPr>
            </w:pPr>
          </w:p>
        </w:tc>
        <w:tc>
          <w:tcPr>
            <w:tcW w:w="5200" w:type="dxa"/>
            <w:vAlign w:val="bottom"/>
            <w:shd w:val="clear" w:color="auto" w:fill="F0FF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F0FFFF"/>
          </w:tcPr>
          <w:p>
            <w:pPr>
              <w:spacing w:after="0"/>
              <w:rPr>
                <w:sz w:val="20"/>
                <w:szCs w:val="20"/>
                <w:color w:val="auto"/>
              </w:rPr>
            </w:pPr>
          </w:p>
        </w:tc>
        <w:tc>
          <w:tcPr>
            <w:tcW w:w="56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2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300" w:type="dxa"/>
            <w:vAlign w:val="bottom"/>
            <w:vMerge w:val="continue"/>
          </w:tcPr>
          <w:p>
            <w:pPr>
              <w:spacing w:after="0"/>
              <w:rPr>
                <w:sz w:val="22"/>
                <w:szCs w:val="22"/>
                <w:color w:val="auto"/>
              </w:rPr>
            </w:pPr>
          </w:p>
        </w:tc>
        <w:tc>
          <w:tcPr>
            <w:tcW w:w="52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Total Fair Value</w:t>
            </w:r>
          </w:p>
        </w:tc>
        <w:tc>
          <w:tcPr>
            <w:tcW w:w="680" w:type="dxa"/>
            <w:vAlign w:val="bottom"/>
            <w:gridSpan w:val="2"/>
            <w:shd w:val="clear" w:color="auto" w:fill="F0FFFF"/>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$885 thousand of acquired intangible assets, $639 thousand was assigned to Developed Technology that is subject to amortization over 5 years, $149 thousand was assigned to Customer Relationships which are subject to amortization over 10 years; $2 thousand was assigned to a non-compete agreement that is subject to amortization over 2 years, and $95 thousand was assigned to the Brand that is subject to amortization over 3 years. All of the intangible assets are amortizable for income tax purposes.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VendScreen has been included in the accompanying consolidated financial statements of the Company since the date of acquisition. The $842 thousand of acquisition / non-recurring expenses consists of non-recurring expenses incurred in connection with the acquisition and integration of the VendScreen business and were included in SG&amp;A expenses during the 1 year ended June 30, 2016.</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acquired business contributed net revenues of $1.2 million during the fiscal year ended June 30, 2016. ASC No. 2010-29 requires the disclosure of additional information including the amounts of earnings of the acquiree since the acquisition date included in the consolidated income statement, and the revenue and earnings of the combined entity as though the business combination that occurred during the current year had occurred at the beginning of the prior annual reporting period (supplemental pro forma information). The disclosure of such information was impractical and is not provided as (1) the acquiree had been integrated into the Company’s operation such that discreet financial information of the acquiree could not be determined, and (2) the financial records of the acquiree were not adequate to allow the preparation of supplemental pro forma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 CALCULATION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earnings per share (“eps”) and diluted earnings per share is presented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 in thousands, except per share data)</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Year Ended June 30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6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Numerator for basic and diluted earnings per share</w:t>
            </w:r>
          </w:p>
        </w:tc>
        <w:tc>
          <w:tcPr>
            <w:tcW w:w="5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tcBorders>
              <w:right w:val="single" w:sz="8" w:color="F0FFFF"/>
            </w:tcBorders>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income (loss)</w:t>
            </w:r>
          </w:p>
        </w:tc>
        <w:tc>
          <w:tcPr>
            <w:tcW w:w="8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(6,806)</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(1,089)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shd w:val="clear" w:color="auto" w:fill="F0FFFF"/>
          </w:tcPr>
          <w:p>
            <w:pPr>
              <w:spacing w:after="0"/>
              <w:rPr>
                <w:sz w:val="20"/>
                <w:szCs w:val="20"/>
                <w:color w:val="auto"/>
              </w:rPr>
            </w:pPr>
            <w:r>
              <w:rPr>
                <w:rFonts w:ascii="Arial" w:cs="Arial" w:eastAsia="Arial" w:hAnsi="Arial"/>
                <w:sz w:val="18"/>
                <w:szCs w:val="18"/>
                <w:color w:val="auto"/>
              </w:rPr>
              <w:t>Preferred dividends</w:t>
            </w:r>
          </w:p>
        </w:tc>
        <w:tc>
          <w:tcPr>
            <w:tcW w:w="5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8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(668)</w:t>
            </w:r>
          </w:p>
        </w:tc>
        <w:tc>
          <w:tcPr>
            <w:tcW w:w="2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income (loss) available to common shareholders</w:t>
            </w:r>
          </w:p>
        </w:tc>
        <w:tc>
          <w:tcPr>
            <w:tcW w:w="54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200" w:type="dxa"/>
            <w:vAlign w:val="bottom"/>
            <w:tcBorders>
              <w:top w:val="single" w:sz="8" w:color="F0FF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26,863</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bottom w:val="single" w:sz="8" w:color="F0FFFF"/>
            </w:tcBorders>
          </w:tcPr>
          <w:p>
            <w:pPr>
              <w:spacing w:after="0" w:line="20" w:lineRule="exact"/>
              <w:rPr>
                <w:sz w:val="1"/>
                <w:szCs w:val="1"/>
                <w:color w:val="auto"/>
              </w:rPr>
            </w:pPr>
          </w:p>
        </w:tc>
        <w:tc>
          <w:tcPr>
            <w:tcW w:w="5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tcBorders>
              <w:right w:val="single" w:sz="8" w:color="F0FFFF"/>
            </w:tcBorders>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w w:val="96"/>
              </w:rPr>
              <w:t xml:space="preserve">Denominator for basic earnings per share </w:t>
            </w:r>
            <w:r>
              <w:rPr>
                <w:rFonts w:ascii="Arial" w:cs="Arial" w:eastAsia="Arial" w:hAnsi="Arial"/>
                <w:sz w:val="18"/>
                <w:szCs w:val="18"/>
                <w:color w:val="auto"/>
                <w:w w:val="96"/>
              </w:rPr>
              <w:t>- Weighted average shares outstanding</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36,309,047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35,719,211</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34,667,769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F0FFFF"/>
          </w:tcPr>
          <w:p>
            <w:pPr>
              <w:spacing w:after="0"/>
              <w:rPr>
                <w:sz w:val="20"/>
                <w:szCs w:val="20"/>
                <w:color w:val="auto"/>
              </w:rPr>
            </w:pPr>
            <w:r>
              <w:rPr>
                <w:rFonts w:ascii="Arial" w:cs="Arial" w:eastAsia="Arial" w:hAnsi="Arial"/>
                <w:sz w:val="18"/>
                <w:szCs w:val="18"/>
                <w:color w:val="auto"/>
              </w:rPr>
              <w:t>Effect of dilutive potential common shares</w:t>
            </w:r>
          </w:p>
        </w:tc>
        <w:tc>
          <w:tcPr>
            <w:tcW w:w="54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18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spacing w:after="0"/>
              <w:rPr>
                <w:sz w:val="19"/>
                <w:szCs w:val="19"/>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341,790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shd w:val="clear" w:color="auto" w:fill="F0FFFF"/>
          </w:tcPr>
          <w:p>
            <w:pPr>
              <w:spacing w:after="0"/>
              <w:rPr>
                <w:sz w:val="2"/>
                <w:szCs w:val="2"/>
                <w:color w:val="auto"/>
              </w:rPr>
            </w:pPr>
          </w:p>
        </w:tc>
        <w:tc>
          <w:tcPr>
            <w:tcW w:w="54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w w:val="91"/>
              </w:rPr>
              <w:t xml:space="preserve">Denominator for diluted earnings per share </w:t>
            </w:r>
            <w:r>
              <w:rPr>
                <w:rFonts w:ascii="Arial" w:cs="Arial" w:eastAsia="Arial" w:hAnsi="Arial"/>
                <w:sz w:val="18"/>
                <w:szCs w:val="18"/>
                <w:color w:val="auto"/>
                <w:w w:val="91"/>
              </w:rPr>
              <w:t>- Adjusted weighted average shares outstanding</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36,309,047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35,719,211#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35,009,559</w:t>
            </w:r>
          </w:p>
        </w:tc>
        <w:tc>
          <w:tcPr>
            <w:tcW w:w="0" w:type="dxa"/>
            <w:vAlign w:val="bottom"/>
          </w:tcPr>
          <w:p>
            <w:pPr>
              <w:spacing w:after="0"/>
              <w:rPr>
                <w:sz w:val="1"/>
                <w:szCs w:val="1"/>
                <w:color w:val="auto"/>
              </w:rPr>
            </w:pPr>
          </w:p>
        </w:tc>
      </w:tr>
      <w:tr>
        <w:trPr>
          <w:trHeight w:val="27"/>
        </w:trPr>
        <w:tc>
          <w:tcPr>
            <w:tcW w:w="6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Antidilutive shares excluded from the calculation of diluted earnings per share were 1,168,689, 252,827 and 98,497 for the years ended June 30, 2016, 2015 and 2014,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center"/>
        <w:ind w:right="-120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5. FINANCE RECEIVABLES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0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June 30,</w:t>
            </w:r>
          </w:p>
        </w:tc>
        <w:tc>
          <w:tcPr>
            <w:tcW w:w="18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7"/>
        </w:trPr>
        <w:tc>
          <w:tcPr>
            <w:tcW w:w="6700" w:type="dxa"/>
            <w:vAlign w:val="bottom"/>
            <w:gridSpan w:val="2"/>
          </w:tcPr>
          <w:p>
            <w:pPr>
              <w:ind w:left="2300"/>
              <w:spacing w:after="0"/>
              <w:rPr>
                <w:sz w:val="20"/>
                <w:szCs w:val="20"/>
                <w:color w:val="auto"/>
              </w:rPr>
            </w:pPr>
            <w:r>
              <w:rPr>
                <w:rFonts w:ascii="Arial" w:cs="Arial" w:eastAsia="Arial" w:hAnsi="Arial"/>
                <w:sz w:val="18"/>
                <w:szCs w:val="18"/>
                <w:color w:val="auto"/>
              </w:rPr>
              <w:t>($ in thousands)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Total finance receivables</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7,306</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3,588</w:t>
            </w:r>
          </w:p>
        </w:tc>
        <w:tc>
          <w:tcPr>
            <w:tcW w:w="1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4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Non-current portion of finance receivables</w:t>
            </w: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3,698</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40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96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96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Credit quality indicators consist of the following:</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4400" w:type="dxa"/>
            <w:vAlign w:val="bottom"/>
          </w:tcPr>
          <w:p>
            <w:pPr>
              <w:ind w:left="2560"/>
              <w:spacing w:after="0"/>
              <w:rPr>
                <w:sz w:val="20"/>
                <w:szCs w:val="20"/>
                <w:color w:val="auto"/>
              </w:rPr>
            </w:pPr>
            <w:r>
              <w:rPr>
                <w:rFonts w:ascii="Arial" w:cs="Arial" w:eastAsia="Arial" w:hAnsi="Arial"/>
                <w:sz w:val="18"/>
                <w:szCs w:val="18"/>
                <w:color w:val="auto"/>
                <w:w w:val="94"/>
              </w:rPr>
              <w:t>Credit Quality Indicators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700" w:type="dxa"/>
            <w:vAlign w:val="bottom"/>
            <w:gridSpan w:val="2"/>
          </w:tcPr>
          <w:p>
            <w:pPr>
              <w:ind w:left="2300"/>
              <w:spacing w:after="0"/>
              <w:rPr>
                <w:sz w:val="20"/>
                <w:szCs w:val="20"/>
                <w:color w:val="auto"/>
              </w:rPr>
            </w:pPr>
            <w:r>
              <w:rPr>
                <w:rFonts w:ascii="Arial" w:cs="Arial" w:eastAsia="Arial" w:hAnsi="Arial"/>
                <w:sz w:val="18"/>
                <w:szCs w:val="18"/>
                <w:color w:val="auto"/>
              </w:rPr>
              <w:t>Credit risk profile based on payment activity:</w:t>
            </w: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June 30,</w:t>
            </w:r>
          </w:p>
        </w:tc>
        <w:tc>
          <w:tcPr>
            <w:tcW w:w="18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300"/>
              <w:spacing w:after="0"/>
              <w:rPr>
                <w:sz w:val="20"/>
                <w:szCs w:val="20"/>
                <w:color w:val="auto"/>
              </w:rPr>
            </w:pPr>
            <w:r>
              <w:rPr>
                <w:rFonts w:ascii="Arial" w:cs="Arial" w:eastAsia="Arial" w:hAnsi="Arial"/>
                <w:sz w:val="18"/>
                <w:szCs w:val="18"/>
                <w:color w:val="auto"/>
              </w:rPr>
              <w:t>($ in thousands)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Performing</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7,174</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Nonperforming</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300" w:type="dxa"/>
            <w:vAlign w:val="bottom"/>
          </w:tcPr>
          <w:p>
            <w:pPr>
              <w:spacing w:after="0"/>
              <w:rPr>
                <w:sz w:val="21"/>
                <w:szCs w:val="21"/>
                <w:color w:val="auto"/>
              </w:rPr>
            </w:pPr>
          </w:p>
        </w:tc>
        <w:tc>
          <w:tcPr>
            <w:tcW w:w="44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7,306</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4,639</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4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5. FINANCE RECEIVABLES (CONTINUED)</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60" w:type="dxa"/>
            <w:vAlign w:val="bottom"/>
            <w:gridSpan w:val="15"/>
          </w:tcPr>
          <w:p>
            <w:pPr>
              <w:jc w:val="center"/>
              <w:spacing w:after="0"/>
              <w:rPr>
                <w:sz w:val="20"/>
                <w:szCs w:val="20"/>
                <w:color w:val="auto"/>
              </w:rPr>
            </w:pPr>
            <w:r>
              <w:rPr>
                <w:rFonts w:ascii="Arial" w:cs="Arial" w:eastAsia="Arial" w:hAnsi="Arial"/>
                <w:sz w:val="18"/>
                <w:szCs w:val="18"/>
                <w:color w:val="auto"/>
                <w:w w:val="90"/>
              </w:rPr>
              <w:t>Age Analysis of Past Due Finance Receivables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80" w:type="dxa"/>
            <w:vAlign w:val="bottom"/>
            <w:gridSpan w:val="7"/>
          </w:tcPr>
          <w:p>
            <w:pPr>
              <w:jc w:val="center"/>
              <w:ind w:right="330"/>
              <w:spacing w:after="0"/>
              <w:rPr>
                <w:sz w:val="20"/>
                <w:szCs w:val="20"/>
                <w:color w:val="auto"/>
              </w:rPr>
            </w:pPr>
            <w:r>
              <w:rPr>
                <w:rFonts w:ascii="Arial" w:cs="Arial" w:eastAsia="Arial" w:hAnsi="Arial"/>
                <w:sz w:val="18"/>
                <w:szCs w:val="18"/>
                <w:color w:val="auto"/>
                <w:w w:val="89"/>
              </w:rPr>
              <w:t>As of June 30, 2016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9"/>
              </w:rPr>
              <w:t>31 – 60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61 – 90</w:t>
            </w:r>
          </w:p>
        </w:tc>
        <w:tc>
          <w:tcPr>
            <w:tcW w:w="160" w:type="dxa"/>
            <w:vAlign w:val="bottom"/>
          </w:tcPr>
          <w:p>
            <w:pPr>
              <w:spacing w:after="0"/>
              <w:rPr>
                <w:sz w:val="24"/>
                <w:szCs w:val="24"/>
                <w:color w:val="auto"/>
              </w:rPr>
            </w:pPr>
          </w:p>
        </w:tc>
        <w:tc>
          <w:tcPr>
            <w:tcW w:w="1000" w:type="dxa"/>
            <w:vAlign w:val="bottom"/>
            <w:gridSpan w:val="5"/>
          </w:tcPr>
          <w:p>
            <w:pPr>
              <w:jc w:val="center"/>
              <w:ind w:right="100"/>
              <w:spacing w:after="0"/>
              <w:rPr>
                <w:sz w:val="20"/>
                <w:szCs w:val="20"/>
                <w:color w:val="auto"/>
              </w:rPr>
            </w:pPr>
            <w:r>
              <w:rPr>
                <w:rFonts w:ascii="Arial" w:cs="Arial" w:eastAsia="Arial" w:hAnsi="Arial"/>
                <w:sz w:val="18"/>
                <w:szCs w:val="18"/>
                <w:color w:val="auto"/>
                <w:w w:val="89"/>
              </w:rPr>
              <w:t>Greater than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5"/>
          </w:tcPr>
          <w:p>
            <w:pPr>
              <w:jc w:val="center"/>
              <w:ind w:right="100"/>
              <w:spacing w:after="0"/>
              <w:rPr>
                <w:sz w:val="20"/>
                <w:szCs w:val="20"/>
                <w:color w:val="auto"/>
              </w:rPr>
            </w:pPr>
            <w:r>
              <w:rPr>
                <w:rFonts w:ascii="Arial" w:cs="Arial" w:eastAsia="Arial" w:hAnsi="Arial"/>
                <w:sz w:val="18"/>
                <w:szCs w:val="18"/>
                <w:color w:val="auto"/>
                <w:w w:val="89"/>
              </w:rPr>
              <w:t>Total</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5"/>
              </w:rPr>
              <w:t>Days Past</w:t>
            </w:r>
          </w:p>
        </w:tc>
        <w:tc>
          <w:tcPr>
            <w:tcW w:w="16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87"/>
              </w:rPr>
              <w:t>Days Past</w:t>
            </w:r>
          </w:p>
        </w:tc>
        <w:tc>
          <w:tcPr>
            <w:tcW w:w="160" w:type="dxa"/>
            <w:vAlign w:val="bottom"/>
          </w:tcPr>
          <w:p>
            <w:pPr>
              <w:spacing w:after="0"/>
              <w:rPr>
                <w:sz w:val="18"/>
                <w:szCs w:val="18"/>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8"/>
                <w:szCs w:val="18"/>
                <w:color w:val="auto"/>
                <w:w w:val="85"/>
              </w:rPr>
              <w:t>90 Days Past</w:t>
            </w: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Total Past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5"/>
          </w:tcPr>
          <w:p>
            <w:pPr>
              <w:jc w:val="center"/>
              <w:ind w:right="80"/>
              <w:spacing w:after="0"/>
              <w:rPr>
                <w:sz w:val="20"/>
                <w:szCs w:val="20"/>
                <w:color w:val="auto"/>
              </w:rPr>
            </w:pPr>
            <w:r>
              <w:rPr>
                <w:rFonts w:ascii="Arial" w:cs="Arial" w:eastAsia="Arial" w:hAnsi="Arial"/>
                <w:sz w:val="18"/>
                <w:szCs w:val="18"/>
                <w:color w:val="auto"/>
                <w:w w:val="90"/>
              </w:rPr>
              <w:t>Finance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0" w:type="dxa"/>
            <w:vAlign w:val="bottom"/>
            <w:gridSpan w:val="3"/>
          </w:tcPr>
          <w:p>
            <w:pPr>
              <w:ind w:left="840"/>
              <w:spacing w:after="0"/>
              <w:rPr>
                <w:sz w:val="20"/>
                <w:szCs w:val="20"/>
                <w:color w:val="auto"/>
              </w:rPr>
            </w:pPr>
            <w:r>
              <w:rPr>
                <w:rFonts w:ascii="Arial" w:cs="Arial" w:eastAsia="Arial" w:hAnsi="Arial"/>
                <w:sz w:val="18"/>
                <w:szCs w:val="18"/>
                <w:color w:val="auto"/>
              </w:rPr>
              <w:t>($ in thousands)</w:t>
            </w:r>
          </w:p>
        </w:tc>
        <w:tc>
          <w:tcPr>
            <w:tcW w:w="400" w:type="dxa"/>
            <w:vAlign w:val="bottom"/>
          </w:tcPr>
          <w:p>
            <w:pPr>
              <w:spacing w:after="0"/>
              <w:rPr>
                <w:sz w:val="20"/>
                <w:szCs w:val="20"/>
                <w:color w:val="auto"/>
              </w:rPr>
            </w:pPr>
          </w:p>
        </w:tc>
        <w:tc>
          <w:tcPr>
            <w:tcW w:w="640" w:type="dxa"/>
            <w:vAlign w:val="bottom"/>
          </w:tcPr>
          <w:p>
            <w:pPr>
              <w:jc w:val="center"/>
              <w:ind w:left="90"/>
              <w:spacing w:after="0"/>
              <w:rPr>
                <w:sz w:val="20"/>
                <w:szCs w:val="20"/>
                <w:color w:val="auto"/>
              </w:rPr>
            </w:pPr>
            <w:r>
              <w:rPr>
                <w:rFonts w:ascii="Arial" w:cs="Arial" w:eastAsia="Arial" w:hAnsi="Arial"/>
                <w:sz w:val="18"/>
                <w:szCs w:val="18"/>
                <w:color w:val="auto"/>
                <w:w w:val="90"/>
              </w:rPr>
              <w:t>Due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Due</w:t>
            </w:r>
          </w:p>
        </w:tc>
        <w:tc>
          <w:tcPr>
            <w:tcW w:w="160" w:type="dxa"/>
            <w:vAlign w:val="bottom"/>
          </w:tcPr>
          <w:p>
            <w:pPr>
              <w:spacing w:after="0"/>
              <w:rPr>
                <w:sz w:val="20"/>
                <w:szCs w:val="20"/>
                <w:color w:val="auto"/>
              </w:rPr>
            </w:pPr>
          </w:p>
        </w:tc>
        <w:tc>
          <w:tcPr>
            <w:tcW w:w="640" w:type="dxa"/>
            <w:vAlign w:val="bottom"/>
          </w:tcPr>
          <w:p>
            <w:pPr>
              <w:jc w:val="center"/>
              <w:ind w:left="17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Due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Current</w:t>
            </w:r>
          </w:p>
        </w:tc>
        <w:tc>
          <w:tcPr>
            <w:tcW w:w="1100" w:type="dxa"/>
            <w:vAlign w:val="bottom"/>
            <w:gridSpan w:val="6"/>
          </w:tcPr>
          <w:p>
            <w:pPr>
              <w:jc w:val="center"/>
              <w:spacing w:after="0"/>
              <w:rPr>
                <w:sz w:val="20"/>
                <w:szCs w:val="20"/>
                <w:color w:val="auto"/>
              </w:rPr>
            </w:pPr>
            <w:r>
              <w:rPr>
                <w:rFonts w:ascii="Arial" w:cs="Arial" w:eastAsia="Arial" w:hAnsi="Arial"/>
                <w:sz w:val="18"/>
                <w:szCs w:val="18"/>
                <w:color w:val="auto"/>
                <w:w w:val="87"/>
              </w:rPr>
              <w:t>Receivables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7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QuickStart Leases</w:t>
            </w:r>
          </w:p>
        </w:tc>
        <w:tc>
          <w:tcPr>
            <w:tcW w:w="1040" w:type="dxa"/>
            <w:vAlign w:val="bottom"/>
            <w:gridSpan w:val="2"/>
            <w:shd w:val="clear" w:color="auto" w:fill="F0FFFF"/>
          </w:tcPr>
          <w:p>
            <w:pPr>
              <w:jc w:val="right"/>
              <w:ind w:right="47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9"/>
              </w:rPr>
              <w:t>98</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31</w:t>
            </w:r>
          </w:p>
        </w:tc>
        <w:tc>
          <w:tcPr>
            <w:tcW w:w="800" w:type="dxa"/>
            <w:vAlign w:val="bottom"/>
            <w:gridSpan w:val="2"/>
            <w:shd w:val="clear" w:color="auto" w:fill="F0FFFF"/>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F0FFFF"/>
          </w:tcPr>
          <w:p>
            <w:pPr>
              <w:spacing w:after="0"/>
              <w:rPr>
                <w:sz w:val="19"/>
                <w:szCs w:val="19"/>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F0FFFF"/>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132</w:t>
            </w:r>
          </w:p>
        </w:tc>
        <w:tc>
          <w:tcPr>
            <w:tcW w:w="3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7,174</w:t>
            </w:r>
          </w:p>
        </w:tc>
        <w:tc>
          <w:tcPr>
            <w:tcW w:w="44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9"/>
                <w:szCs w:val="19"/>
                <w:color w:val="auto"/>
              </w:rPr>
            </w:pPr>
          </w:p>
        </w:tc>
        <w:tc>
          <w:tcPr>
            <w:tcW w:w="4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97"/>
              </w:rPr>
              <w:t>7,306</w:t>
            </w:r>
          </w:p>
        </w:tc>
        <w:tc>
          <w:tcPr>
            <w:tcW w:w="80" w:type="dxa"/>
            <w:vAlign w:val="bottom"/>
            <w:shd w:val="clear" w:color="auto" w:fill="F0FFFF"/>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80" w:type="dxa"/>
            <w:vAlign w:val="bottom"/>
            <w:shd w:val="clear" w:color="auto" w:fill="F0FFFF"/>
          </w:tcPr>
          <w:p>
            <w:pPr>
              <w:spacing w:after="0"/>
              <w:rPr>
                <w:sz w:val="2"/>
                <w:szCs w:val="2"/>
                <w:color w:val="auto"/>
              </w:rPr>
            </w:pPr>
          </w:p>
        </w:tc>
        <w:tc>
          <w:tcPr>
            <w:tcW w:w="460" w:type="dxa"/>
            <w:vAlign w:val="bottom"/>
            <w:shd w:val="clear" w:color="auto" w:fill="F0FFFF"/>
          </w:tcPr>
          <w:p>
            <w:pPr>
              <w:spacing w:after="0"/>
              <w:rPr>
                <w:sz w:val="2"/>
                <w:szCs w:val="2"/>
                <w:color w:val="auto"/>
              </w:rPr>
            </w:pPr>
          </w:p>
        </w:tc>
        <w:tc>
          <w:tcPr>
            <w:tcW w:w="400" w:type="dxa"/>
            <w:vAlign w:val="bottom"/>
            <w:tcBorders>
              <w:right w:val="single" w:sz="8" w:color="F0FFFF"/>
            </w:tcBorders>
            <w:shd w:val="clear" w:color="auto" w:fill="F0FFFF"/>
          </w:tcPr>
          <w:p>
            <w:pPr>
              <w:spacing w:after="0"/>
              <w:rPr>
                <w:sz w:val="2"/>
                <w:szCs w:val="2"/>
                <w:color w:val="auto"/>
              </w:rPr>
            </w:pPr>
          </w:p>
        </w:tc>
        <w:tc>
          <w:tcPr>
            <w:tcW w:w="820" w:type="dxa"/>
            <w:vAlign w:val="bottom"/>
            <w:tcBorders>
              <w:right w:val="single" w:sz="8" w:color="auto"/>
            </w:tcBorders>
            <w:gridSpan w:val="2"/>
            <w:shd w:val="clear" w:color="auto" w:fill="000000"/>
          </w:tcPr>
          <w:p>
            <w:pPr>
              <w:spacing w:after="0"/>
              <w:rPr>
                <w:sz w:val="2"/>
                <w:szCs w:val="2"/>
                <w:color w:val="auto"/>
              </w:rPr>
            </w:pPr>
          </w:p>
        </w:tc>
        <w:tc>
          <w:tcPr>
            <w:tcW w:w="160" w:type="dxa"/>
            <w:vAlign w:val="bottom"/>
            <w:tcBorders>
              <w:right w:val="single" w:sz="8" w:color="F0FFFF"/>
            </w:tcBorders>
            <w:shd w:val="clear" w:color="auto" w:fill="F0FFFF"/>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F0FFFF"/>
            </w:tcBorders>
            <w:shd w:val="clear" w:color="auto" w:fill="F0FFFF"/>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gridSpan w:val="2"/>
            <w:shd w:val="clear" w:color="auto" w:fill="F0FFFF"/>
          </w:tcPr>
          <w:p>
            <w:pPr>
              <w:spacing w:after="0"/>
              <w:rPr>
                <w:sz w:val="2"/>
                <w:szCs w:val="2"/>
                <w:color w:val="auto"/>
              </w:rPr>
            </w:pPr>
          </w:p>
        </w:tc>
        <w:tc>
          <w:tcPr>
            <w:tcW w:w="640" w:type="dxa"/>
            <w:vAlign w:val="bottom"/>
            <w:tcBorders>
              <w:right w:val="single" w:sz="8" w:color="auto"/>
            </w:tcBorders>
            <w:gridSpan w:val="2"/>
            <w:shd w:val="clear" w:color="auto" w:fill="000000"/>
          </w:tcPr>
          <w:p>
            <w:pPr>
              <w:spacing w:after="0"/>
              <w:rPr>
                <w:sz w:val="2"/>
                <w:szCs w:val="2"/>
                <w:color w:val="auto"/>
              </w:rPr>
            </w:pPr>
          </w:p>
        </w:tc>
        <w:tc>
          <w:tcPr>
            <w:tcW w:w="220" w:type="dxa"/>
            <w:vAlign w:val="bottom"/>
            <w:tcBorders>
              <w:right w:val="single" w:sz="8" w:color="F0FFFF"/>
            </w:tcBorders>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20" w:type="dxa"/>
            <w:vAlign w:val="bottom"/>
            <w:gridSpan w:val="17"/>
          </w:tcPr>
          <w:p>
            <w:pPr>
              <w:jc w:val="right"/>
              <w:ind w:right="760"/>
              <w:spacing w:after="0"/>
              <w:rPr>
                <w:sz w:val="20"/>
                <w:szCs w:val="20"/>
                <w:color w:val="auto"/>
              </w:rPr>
            </w:pPr>
            <w:r>
              <w:rPr>
                <w:rFonts w:ascii="Arial" w:cs="Arial" w:eastAsia="Arial" w:hAnsi="Arial"/>
                <w:sz w:val="18"/>
                <w:szCs w:val="18"/>
                <w:color w:val="auto"/>
                <w:w w:val="94"/>
              </w:rPr>
              <w:t>Age Analysis of Past Due Finance Receivables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80" w:type="dxa"/>
            <w:vAlign w:val="bottom"/>
            <w:gridSpan w:val="7"/>
          </w:tcPr>
          <w:p>
            <w:pPr>
              <w:ind w:left="100"/>
              <w:spacing w:after="0"/>
              <w:rPr>
                <w:sz w:val="20"/>
                <w:szCs w:val="20"/>
                <w:color w:val="auto"/>
              </w:rPr>
            </w:pPr>
            <w:r>
              <w:rPr>
                <w:rFonts w:ascii="Arial" w:cs="Arial" w:eastAsia="Arial" w:hAnsi="Arial"/>
                <w:sz w:val="18"/>
                <w:szCs w:val="18"/>
                <w:color w:val="auto"/>
              </w:rPr>
              <w:t>As of June 30, 2015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89"/>
              </w:rPr>
              <w:t>31 – 60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110"/>
              <w:spacing w:after="0"/>
              <w:rPr>
                <w:sz w:val="20"/>
                <w:szCs w:val="20"/>
                <w:color w:val="auto"/>
              </w:rPr>
            </w:pPr>
            <w:r>
              <w:rPr>
                <w:rFonts w:ascii="Arial" w:cs="Arial" w:eastAsia="Arial" w:hAnsi="Arial"/>
                <w:sz w:val="18"/>
                <w:szCs w:val="18"/>
                <w:color w:val="auto"/>
                <w:w w:val="89"/>
              </w:rPr>
              <w:t>61 – 90</w:t>
            </w:r>
          </w:p>
        </w:tc>
        <w:tc>
          <w:tcPr>
            <w:tcW w:w="160" w:type="dxa"/>
            <w:vAlign w:val="bottom"/>
          </w:tcPr>
          <w:p>
            <w:pPr>
              <w:spacing w:after="0"/>
              <w:rPr>
                <w:sz w:val="24"/>
                <w:szCs w:val="24"/>
                <w:color w:val="auto"/>
              </w:rPr>
            </w:pPr>
          </w:p>
        </w:tc>
        <w:tc>
          <w:tcPr>
            <w:tcW w:w="1000" w:type="dxa"/>
            <w:vAlign w:val="bottom"/>
            <w:gridSpan w:val="5"/>
          </w:tcPr>
          <w:p>
            <w:pPr>
              <w:jc w:val="center"/>
              <w:ind w:right="120"/>
              <w:spacing w:after="0"/>
              <w:rPr>
                <w:sz w:val="20"/>
                <w:szCs w:val="20"/>
                <w:color w:val="auto"/>
              </w:rPr>
            </w:pPr>
            <w:r>
              <w:rPr>
                <w:rFonts w:ascii="Arial" w:cs="Arial" w:eastAsia="Arial" w:hAnsi="Arial"/>
                <w:sz w:val="18"/>
                <w:szCs w:val="18"/>
                <w:color w:val="auto"/>
                <w:w w:val="87"/>
              </w:rPr>
              <w:t>Greater than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5"/>
          </w:tcPr>
          <w:p>
            <w:pPr>
              <w:jc w:val="center"/>
              <w:ind w:right="100"/>
              <w:spacing w:after="0"/>
              <w:rPr>
                <w:sz w:val="20"/>
                <w:szCs w:val="20"/>
                <w:color w:val="auto"/>
              </w:rPr>
            </w:pPr>
            <w:r>
              <w:rPr>
                <w:rFonts w:ascii="Arial" w:cs="Arial" w:eastAsia="Arial" w:hAnsi="Arial"/>
                <w:sz w:val="18"/>
                <w:szCs w:val="18"/>
                <w:color w:val="auto"/>
                <w:w w:val="89"/>
              </w:rPr>
              <w:t>Total</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center"/>
              <w:ind w:right="10"/>
              <w:spacing w:after="0"/>
              <w:rPr>
                <w:sz w:val="20"/>
                <w:szCs w:val="20"/>
                <w:color w:val="auto"/>
              </w:rPr>
            </w:pPr>
            <w:r>
              <w:rPr>
                <w:rFonts w:ascii="Arial" w:cs="Arial" w:eastAsia="Arial" w:hAnsi="Arial"/>
                <w:sz w:val="18"/>
                <w:szCs w:val="18"/>
                <w:color w:val="auto"/>
                <w:w w:val="87"/>
              </w:rPr>
              <w:t>Days Past</w:t>
            </w:r>
          </w:p>
        </w:tc>
        <w:tc>
          <w:tcPr>
            <w:tcW w:w="16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87"/>
              </w:rPr>
              <w:t>Days Past</w:t>
            </w:r>
          </w:p>
        </w:tc>
        <w:tc>
          <w:tcPr>
            <w:tcW w:w="160" w:type="dxa"/>
            <w:vAlign w:val="bottom"/>
          </w:tcPr>
          <w:p>
            <w:pPr>
              <w:spacing w:after="0"/>
              <w:rPr>
                <w:sz w:val="18"/>
                <w:szCs w:val="18"/>
                <w:color w:val="auto"/>
              </w:rPr>
            </w:pPr>
          </w:p>
        </w:tc>
        <w:tc>
          <w:tcPr>
            <w:tcW w:w="1000" w:type="dxa"/>
            <w:vAlign w:val="bottom"/>
            <w:gridSpan w:val="5"/>
          </w:tcPr>
          <w:p>
            <w:pPr>
              <w:jc w:val="center"/>
              <w:ind w:right="100"/>
              <w:spacing w:after="0"/>
              <w:rPr>
                <w:sz w:val="20"/>
                <w:szCs w:val="20"/>
                <w:color w:val="auto"/>
              </w:rPr>
            </w:pPr>
            <w:r>
              <w:rPr>
                <w:rFonts w:ascii="Arial" w:cs="Arial" w:eastAsia="Arial" w:hAnsi="Arial"/>
                <w:sz w:val="18"/>
                <w:szCs w:val="18"/>
                <w:color w:val="auto"/>
                <w:w w:val="84"/>
              </w:rPr>
              <w:t>90 Days Past</w:t>
            </w: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Total Past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5"/>
          </w:tcPr>
          <w:p>
            <w:pPr>
              <w:ind w:left="120"/>
              <w:spacing w:after="0"/>
              <w:rPr>
                <w:sz w:val="20"/>
                <w:szCs w:val="20"/>
                <w:color w:val="auto"/>
              </w:rPr>
            </w:pPr>
            <w:r>
              <w:rPr>
                <w:rFonts w:ascii="Arial" w:cs="Arial" w:eastAsia="Arial" w:hAnsi="Arial"/>
                <w:sz w:val="18"/>
                <w:szCs w:val="18"/>
                <w:color w:val="auto"/>
              </w:rPr>
              <w:t>Finance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0" w:type="dxa"/>
            <w:vAlign w:val="bottom"/>
            <w:gridSpan w:val="3"/>
          </w:tcPr>
          <w:p>
            <w:pPr>
              <w:ind w:left="840"/>
              <w:spacing w:after="0"/>
              <w:rPr>
                <w:sz w:val="20"/>
                <w:szCs w:val="20"/>
                <w:color w:val="auto"/>
              </w:rPr>
            </w:pPr>
            <w:r>
              <w:rPr>
                <w:rFonts w:ascii="Arial" w:cs="Arial" w:eastAsia="Arial" w:hAnsi="Arial"/>
                <w:sz w:val="18"/>
                <w:szCs w:val="18"/>
                <w:color w:val="auto"/>
              </w:rPr>
              <w:t>($ in thousands)</w:t>
            </w:r>
          </w:p>
        </w:tc>
        <w:tc>
          <w:tcPr>
            <w:tcW w:w="400" w:type="dxa"/>
            <w:vAlign w:val="bottom"/>
          </w:tcPr>
          <w:p>
            <w:pPr>
              <w:spacing w:after="0"/>
              <w:rPr>
                <w:sz w:val="20"/>
                <w:szCs w:val="20"/>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90"/>
              </w:rPr>
              <w:t>Due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110"/>
              <w:spacing w:after="0"/>
              <w:rPr>
                <w:sz w:val="20"/>
                <w:szCs w:val="20"/>
                <w:color w:val="auto"/>
              </w:rPr>
            </w:pPr>
            <w:r>
              <w:rPr>
                <w:rFonts w:ascii="Arial" w:cs="Arial" w:eastAsia="Arial" w:hAnsi="Arial"/>
                <w:sz w:val="18"/>
                <w:szCs w:val="18"/>
                <w:color w:val="auto"/>
                <w:w w:val="90"/>
              </w:rPr>
              <w:t>Due</w:t>
            </w:r>
          </w:p>
        </w:tc>
        <w:tc>
          <w:tcPr>
            <w:tcW w:w="160" w:type="dxa"/>
            <w:vAlign w:val="bottom"/>
          </w:tcPr>
          <w:p>
            <w:pPr>
              <w:spacing w:after="0"/>
              <w:rPr>
                <w:sz w:val="20"/>
                <w:szCs w:val="20"/>
                <w:color w:val="auto"/>
              </w:rPr>
            </w:pPr>
          </w:p>
        </w:tc>
        <w:tc>
          <w:tcPr>
            <w:tcW w:w="640" w:type="dxa"/>
            <w:vAlign w:val="bottom"/>
          </w:tcPr>
          <w:p>
            <w:pPr>
              <w:jc w:val="center"/>
              <w:ind w:left="13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Due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Current</w:t>
            </w:r>
          </w:p>
        </w:tc>
        <w:tc>
          <w:tcPr>
            <w:tcW w:w="1100" w:type="dxa"/>
            <w:vAlign w:val="bottom"/>
            <w:gridSpan w:val="6"/>
          </w:tcPr>
          <w:p>
            <w:pPr>
              <w:jc w:val="center"/>
              <w:spacing w:after="0"/>
              <w:rPr>
                <w:sz w:val="20"/>
                <w:szCs w:val="20"/>
                <w:color w:val="auto"/>
              </w:rPr>
            </w:pPr>
            <w:r>
              <w:rPr>
                <w:rFonts w:ascii="Arial" w:cs="Arial" w:eastAsia="Arial" w:hAnsi="Arial"/>
                <w:sz w:val="18"/>
                <w:szCs w:val="18"/>
                <w:color w:val="auto"/>
                <w:w w:val="87"/>
              </w:rPr>
              <w:t>Receivables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280" w:type="dxa"/>
            <w:vAlign w:val="bottom"/>
            <w:shd w:val="clear" w:color="auto" w:fill="F0FFFF"/>
          </w:tcPr>
          <w:p>
            <w:pPr>
              <w:spacing w:after="0"/>
              <w:rPr>
                <w:sz w:val="20"/>
                <w:szCs w:val="20"/>
                <w:color w:val="auto"/>
              </w:rPr>
            </w:pPr>
            <w:r>
              <w:rPr>
                <w:rFonts w:ascii="Arial" w:cs="Arial" w:eastAsia="Arial" w:hAnsi="Arial"/>
                <w:sz w:val="18"/>
                <w:szCs w:val="18"/>
                <w:color w:val="auto"/>
              </w:rPr>
              <w:t>QuickStart Leases</w:t>
            </w:r>
          </w:p>
        </w:tc>
        <w:tc>
          <w:tcPr>
            <w:tcW w:w="46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51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F0FFFF"/>
            </w:tcBorders>
            <w:shd w:val="clear" w:color="auto" w:fill="F0FFFF"/>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16</w:t>
            </w:r>
          </w:p>
        </w:tc>
        <w:tc>
          <w:tcPr>
            <w:tcW w:w="800" w:type="dxa"/>
            <w:vAlign w:val="bottom"/>
            <w:gridSpan w:val="2"/>
            <w:shd w:val="clear" w:color="auto" w:fill="F0FFFF"/>
          </w:tcPr>
          <w:p>
            <w:pPr>
              <w:jc w:val="center"/>
              <w:ind w:right="410"/>
              <w:spacing w:after="0"/>
              <w:rPr>
                <w:sz w:val="20"/>
                <w:szCs w:val="20"/>
                <w:color w:val="auto"/>
              </w:rPr>
            </w:pPr>
            <w:r>
              <w:rPr>
                <w:rFonts w:ascii="Arial" w:cs="Arial" w:eastAsia="Arial" w:hAnsi="Arial"/>
                <w:sz w:val="18"/>
                <w:szCs w:val="18"/>
                <w:color w:val="auto"/>
                <w:w w:val="99"/>
              </w:rPr>
              <w:t>$</w:t>
            </w:r>
          </w:p>
        </w:tc>
        <w:tc>
          <w:tcPr>
            <w:tcW w:w="28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F0FFFF"/>
          </w:tcPr>
          <w:p>
            <w:pPr>
              <w:spacing w:after="0"/>
              <w:rPr>
                <w:sz w:val="19"/>
                <w:szCs w:val="19"/>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F0FFFF"/>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21</w:t>
            </w:r>
          </w:p>
        </w:tc>
        <w:tc>
          <w:tcPr>
            <w:tcW w:w="3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4,618</w:t>
            </w:r>
          </w:p>
        </w:tc>
        <w:tc>
          <w:tcPr>
            <w:tcW w:w="44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9"/>
                <w:szCs w:val="19"/>
                <w:color w:val="auto"/>
              </w:rPr>
            </w:pPr>
          </w:p>
        </w:tc>
        <w:tc>
          <w:tcPr>
            <w:tcW w:w="4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97"/>
              </w:rPr>
              <w:t>4,639</w:t>
            </w:r>
          </w:p>
        </w:tc>
        <w:tc>
          <w:tcPr>
            <w:tcW w:w="80" w:type="dxa"/>
            <w:vAlign w:val="bottom"/>
            <w:shd w:val="clear" w:color="auto" w:fill="F0FFFF"/>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3140" w:type="dxa"/>
            <w:vAlign w:val="bottom"/>
            <w:gridSpan w:val="2"/>
          </w:tcPr>
          <w:p>
            <w:pPr>
              <w:spacing w:after="0"/>
              <w:rPr>
                <w:sz w:val="2"/>
                <w:szCs w:val="2"/>
                <w:color w:val="auto"/>
              </w:rPr>
            </w:pPr>
          </w:p>
        </w:tc>
        <w:tc>
          <w:tcPr>
            <w:tcW w:w="860" w:type="dxa"/>
            <w:vAlign w:val="bottom"/>
            <w:tcBorders>
              <w:right w:val="single" w:sz="8" w:color="auto"/>
            </w:tcBorders>
            <w:gridSpan w:val="2"/>
            <w:shd w:val="clear" w:color="auto" w:fill="F0FFFF"/>
          </w:tcPr>
          <w:p>
            <w:pPr>
              <w:spacing w:after="0"/>
              <w:rPr>
                <w:sz w:val="2"/>
                <w:szCs w:val="2"/>
                <w:color w:val="auto"/>
              </w:rPr>
            </w:pPr>
          </w:p>
        </w:tc>
        <w:tc>
          <w:tcPr>
            <w:tcW w:w="820" w:type="dxa"/>
            <w:vAlign w:val="bottom"/>
            <w:tcBorders>
              <w:right w:val="single" w:sz="8" w:color="F0FFFF"/>
            </w:tcBorders>
            <w:gridSpan w:val="2"/>
            <w:shd w:val="clear" w:color="auto" w:fill="000000"/>
          </w:tcPr>
          <w:p>
            <w:pPr>
              <w:spacing w:after="0"/>
              <w:rPr>
                <w:sz w:val="2"/>
                <w:szCs w:val="2"/>
                <w:color w:val="auto"/>
              </w:rPr>
            </w:pPr>
          </w:p>
        </w:tc>
        <w:tc>
          <w:tcPr>
            <w:tcW w:w="160" w:type="dxa"/>
            <w:vAlign w:val="bottom"/>
            <w:tcBorders>
              <w:right w:val="single" w:sz="8" w:color="auto"/>
            </w:tcBorders>
            <w:shd w:val="clear" w:color="auto" w:fill="F0FFFF"/>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500" w:type="dxa"/>
            <w:vAlign w:val="bottom"/>
            <w:tcBorders>
              <w:right w:val="single" w:sz="8" w:color="F0FFFF"/>
            </w:tcBorders>
            <w:shd w:val="clear" w:color="auto" w:fill="000000"/>
          </w:tcPr>
          <w:p>
            <w:pPr>
              <w:spacing w:after="0"/>
              <w:rPr>
                <w:sz w:val="2"/>
                <w:szCs w:val="2"/>
                <w:color w:val="auto"/>
              </w:rPr>
            </w:pPr>
          </w:p>
        </w:tc>
        <w:tc>
          <w:tcPr>
            <w:tcW w:w="160" w:type="dxa"/>
            <w:vAlign w:val="bottom"/>
            <w:tcBorders>
              <w:right w:val="single" w:sz="8" w:color="auto"/>
            </w:tcBorders>
            <w:shd w:val="clear" w:color="auto" w:fill="F0FF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F0FFFF"/>
            </w:tcBorders>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6920" w:type="dxa"/>
            <w:vAlign w:val="bottom"/>
            <w:gridSpan w:val="13"/>
          </w:tcPr>
          <w:p>
            <w:pPr>
              <w:spacing w:after="0"/>
              <w:rPr>
                <w:sz w:val="20"/>
                <w:szCs w:val="20"/>
                <w:color w:val="auto"/>
              </w:rPr>
            </w:pPr>
            <w:r>
              <w:rPr>
                <w:rFonts w:ascii="Arial" w:cs="Arial" w:eastAsia="Arial" w:hAnsi="Arial"/>
                <w:sz w:val="18"/>
                <w:szCs w:val="18"/>
                <w:color w:val="auto"/>
                <w:w w:val="95"/>
              </w:rPr>
              <w:t>Finance receivables due for each of the fiscal years following June 30, 2016 are as follows: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gridSpan w:val="4"/>
          </w:tcPr>
          <w:p>
            <w:pPr>
              <w:ind w:left="2280"/>
              <w:spacing w:after="0"/>
              <w:rPr>
                <w:sz w:val="20"/>
                <w:szCs w:val="20"/>
                <w:color w:val="auto"/>
              </w:rPr>
            </w:pPr>
            <w:r>
              <w:rPr>
                <w:rFonts w:ascii="Arial" w:cs="Arial" w:eastAsia="Arial" w:hAnsi="Arial"/>
                <w:sz w:val="18"/>
                <w:szCs w:val="18"/>
                <w:color w:val="auto"/>
              </w:rPr>
              <w:t>($ in thousands)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3140" w:type="dxa"/>
            <w:vAlign w:val="bottom"/>
            <w:gridSpan w:val="2"/>
            <w:vMerge w:val="restart"/>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140" w:type="dxa"/>
            <w:vAlign w:val="bottom"/>
            <w:gridSpan w:val="2"/>
            <w:vMerge w:val="continue"/>
          </w:tcPr>
          <w:p>
            <w:pPr>
              <w:spacing w:after="0"/>
              <w:rPr>
                <w:sz w:val="18"/>
                <w:szCs w:val="18"/>
                <w:color w:val="auto"/>
              </w:rPr>
            </w:pPr>
          </w:p>
        </w:tc>
        <w:tc>
          <w:tcPr>
            <w:tcW w:w="460" w:type="dxa"/>
            <w:vAlign w:val="bottom"/>
            <w:shd w:val="clear" w:color="auto" w:fill="F0FFFF"/>
          </w:tcPr>
          <w:p>
            <w:pPr>
              <w:spacing w:after="0"/>
              <w:rPr>
                <w:sz w:val="20"/>
                <w:szCs w:val="20"/>
                <w:color w:val="auto"/>
              </w:rPr>
            </w:pPr>
            <w:r>
              <w:rPr>
                <w:rFonts w:ascii="Arial" w:cs="Arial" w:eastAsia="Arial" w:hAnsi="Arial"/>
                <w:sz w:val="18"/>
                <w:szCs w:val="18"/>
                <w:color w:val="auto"/>
              </w:rPr>
              <w:t>2017</w:t>
            </w:r>
          </w:p>
        </w:tc>
        <w:tc>
          <w:tcPr>
            <w:tcW w:w="400" w:type="dxa"/>
            <w:vAlign w:val="bottom"/>
            <w:tcBorders>
              <w:right w:val="single" w:sz="8" w:color="F0FFFF"/>
            </w:tcBorders>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00" w:type="dxa"/>
            <w:vAlign w:val="bottom"/>
            <w:tcBorders>
              <w:right w:val="single" w:sz="8" w:color="F0FFFF"/>
            </w:tcBorders>
            <w:shd w:val="clear" w:color="auto" w:fill="F0FFFF"/>
          </w:tcPr>
          <w:p>
            <w:pPr>
              <w:spacing w:after="0"/>
              <w:rPr>
                <w:sz w:val="18"/>
                <w:szCs w:val="18"/>
                <w:color w:val="auto"/>
              </w:rPr>
            </w:pPr>
          </w:p>
        </w:tc>
        <w:tc>
          <w:tcPr>
            <w:tcW w:w="160" w:type="dxa"/>
            <w:vAlign w:val="bottom"/>
            <w:tcBorders>
              <w:right w:val="single" w:sz="8" w:color="F0FFFF"/>
            </w:tcBorders>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8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3,588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140" w:type="dxa"/>
            <w:vAlign w:val="bottom"/>
            <w:gridSpan w:val="2"/>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140" w:type="dxa"/>
            <w:vAlign w:val="bottom"/>
            <w:gridSpan w:val="2"/>
          </w:tcPr>
          <w:p>
            <w:pPr>
              <w:spacing w:after="0"/>
              <w:rPr>
                <w:sz w:val="18"/>
                <w:szCs w:val="18"/>
                <w:color w:val="auto"/>
              </w:rPr>
            </w:pPr>
          </w:p>
        </w:tc>
        <w:tc>
          <w:tcPr>
            <w:tcW w:w="460" w:type="dxa"/>
            <w:vAlign w:val="bottom"/>
            <w:shd w:val="clear" w:color="auto" w:fill="F0FFFF"/>
          </w:tcPr>
          <w:p>
            <w:pPr>
              <w:spacing w:after="0"/>
              <w:rPr>
                <w:sz w:val="20"/>
                <w:szCs w:val="20"/>
                <w:color w:val="auto"/>
              </w:rPr>
            </w:pPr>
            <w:r>
              <w:rPr>
                <w:rFonts w:ascii="Arial" w:cs="Arial" w:eastAsia="Arial" w:hAnsi="Arial"/>
                <w:sz w:val="18"/>
                <w:szCs w:val="18"/>
                <w:color w:val="auto"/>
              </w:rPr>
              <w:t>2019</w:t>
            </w:r>
          </w:p>
        </w:tc>
        <w:tc>
          <w:tcPr>
            <w:tcW w:w="400" w:type="dxa"/>
            <w:vAlign w:val="bottom"/>
            <w:tcBorders>
              <w:right w:val="single" w:sz="8" w:color="F0FFFF"/>
            </w:tcBorders>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00" w:type="dxa"/>
            <w:vAlign w:val="bottom"/>
            <w:tcBorders>
              <w:right w:val="single" w:sz="8" w:color="F0FFFF"/>
            </w:tcBorders>
            <w:shd w:val="clear" w:color="auto" w:fill="F0FFFF"/>
          </w:tcPr>
          <w:p>
            <w:pPr>
              <w:spacing w:after="0"/>
              <w:rPr>
                <w:sz w:val="18"/>
                <w:szCs w:val="18"/>
                <w:color w:val="auto"/>
              </w:rPr>
            </w:pPr>
          </w:p>
        </w:tc>
        <w:tc>
          <w:tcPr>
            <w:tcW w:w="160" w:type="dxa"/>
            <w:vAlign w:val="bottom"/>
            <w:tcBorders>
              <w:right w:val="single" w:sz="8" w:color="F0FFFF"/>
            </w:tcBorders>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1,246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140" w:type="dxa"/>
            <w:vAlign w:val="bottom"/>
            <w:gridSpan w:val="2"/>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0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2021 and beyond</w:t>
            </w:r>
          </w:p>
        </w:tc>
        <w:tc>
          <w:tcPr>
            <w:tcW w:w="180" w:type="dxa"/>
            <w:vAlign w:val="bottom"/>
            <w:tcBorders>
              <w:bottom w:val="single" w:sz="8" w:color="F0FFFF"/>
              <w:right w:val="single" w:sz="8" w:color="F0FFFF"/>
            </w:tcBorders>
            <w:shd w:val="clear" w:color="auto" w:fill="F0FFFF"/>
          </w:tcPr>
          <w:p>
            <w:pPr>
              <w:spacing w:after="0"/>
              <w:rPr>
                <w:sz w:val="21"/>
                <w:szCs w:val="21"/>
                <w:color w:val="auto"/>
              </w:rPr>
            </w:pPr>
          </w:p>
        </w:tc>
        <w:tc>
          <w:tcPr>
            <w:tcW w:w="160" w:type="dxa"/>
            <w:vAlign w:val="bottom"/>
            <w:tcBorders>
              <w:bottom w:val="single" w:sz="8" w:color="F0FFFF"/>
              <w:right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F0FFFF"/>
              <w:right w:val="single" w:sz="8" w:color="F0FFFF"/>
            </w:tcBorders>
            <w:shd w:val="clear" w:color="auto" w:fill="F0FFFF"/>
          </w:tcPr>
          <w:p>
            <w:pPr>
              <w:spacing w:after="0"/>
              <w:rPr>
                <w:sz w:val="21"/>
                <w:szCs w:val="21"/>
                <w:color w:val="auto"/>
              </w:rPr>
            </w:pPr>
          </w:p>
        </w:tc>
        <w:tc>
          <w:tcPr>
            <w:tcW w:w="160" w:type="dxa"/>
            <w:vAlign w:val="bottom"/>
            <w:tcBorders>
              <w:bottom w:val="single" w:sz="8" w:color="F0FFFF"/>
              <w:right w:val="single" w:sz="8" w:color="F0FFFF"/>
            </w:tcBorders>
            <w:shd w:val="clear" w:color="auto" w:fill="F0FFFF"/>
          </w:tcPr>
          <w:p>
            <w:pPr>
              <w:spacing w:after="0"/>
              <w:rPr>
                <w:sz w:val="21"/>
                <w:szCs w:val="21"/>
                <w:color w:val="auto"/>
              </w:rPr>
            </w:pPr>
          </w:p>
        </w:tc>
        <w:tc>
          <w:tcPr>
            <w:tcW w:w="6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540" w:type="dxa"/>
            <w:vAlign w:val="bottom"/>
            <w:tcBorders>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6. PROPERTY AND EQUIPMENT, net</w:t>
            </w: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90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gridSpan w:val="6"/>
          </w:tcPr>
          <w:p>
            <w:pPr>
              <w:spacing w:after="0"/>
              <w:rPr>
                <w:sz w:val="20"/>
                <w:szCs w:val="20"/>
                <w:color w:val="auto"/>
              </w:rPr>
            </w:pPr>
            <w:r>
              <w:rPr>
                <w:rFonts w:ascii="Arial" w:cs="Arial" w:eastAsia="Arial" w:hAnsi="Arial"/>
                <w:sz w:val="18"/>
                <w:szCs w:val="18"/>
                <w:color w:val="auto"/>
              </w:rPr>
              <w:t>Property and equipment, at cost, consist of the following:</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3"/>
              </w:rPr>
              <w:t>Useful</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87"/>
              </w:rPr>
              <w:t>June 30, 2016</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tcPr>
          <w:p>
            <w:pPr>
              <w:jc w:val="center"/>
              <w:ind w:right="140"/>
              <w:spacing w:after="0" w:line="201" w:lineRule="exact"/>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 in thousands)</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5"/>
              </w:rPr>
              <w:t>Lives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w w:val="80"/>
              </w:rPr>
              <w:t>Cost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Depreciation</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Net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00" w:type="dxa"/>
            <w:vAlign w:val="bottom"/>
            <w:tcBorders>
              <w:top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Computer equipment and software</w:t>
            </w:r>
          </w:p>
        </w:tc>
        <w:tc>
          <w:tcPr>
            <w:tcW w:w="400" w:type="dxa"/>
            <w:vAlign w:val="bottom"/>
            <w:tcBorders>
              <w:top w:val="single" w:sz="8" w:color="F0FFFF"/>
              <w:right w:val="single" w:sz="8" w:color="F0FFFF"/>
            </w:tcBorders>
            <w:shd w:val="clear" w:color="auto" w:fill="F0FFFF"/>
          </w:tcPr>
          <w:p>
            <w:pPr>
              <w:spacing w:after="0"/>
              <w:rPr>
                <w:sz w:val="18"/>
                <w:szCs w:val="18"/>
                <w:color w:val="auto"/>
              </w:rPr>
            </w:pPr>
          </w:p>
        </w:tc>
        <w:tc>
          <w:tcPr>
            <w:tcW w:w="6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right w:val="single" w:sz="8" w:color="F0FFFF"/>
            </w:tcBorders>
            <w:shd w:val="clear" w:color="auto" w:fill="F0FFFF"/>
          </w:tcPr>
          <w:p>
            <w:pPr>
              <w:spacing w:after="0"/>
              <w:rPr>
                <w:sz w:val="18"/>
                <w:szCs w:val="18"/>
                <w:color w:val="auto"/>
              </w:rPr>
            </w:pPr>
          </w:p>
        </w:tc>
        <w:tc>
          <w:tcPr>
            <w:tcW w:w="160" w:type="dxa"/>
            <w:vAlign w:val="bottom"/>
            <w:tcBorders>
              <w:top w:val="single" w:sz="8" w:color="F0FFFF"/>
              <w:right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1300" w:type="dxa"/>
            <w:vAlign w:val="bottom"/>
            <w:tcBorders>
              <w:top w:val="single" w:sz="8" w:color="auto"/>
            </w:tcBorders>
            <w:gridSpan w:val="3"/>
            <w:shd w:val="clear" w:color="auto" w:fill="F0FFFF"/>
          </w:tcPr>
          <w:p>
            <w:pPr>
              <w:jc w:val="center"/>
              <w:spacing w:after="0"/>
              <w:rPr>
                <w:sz w:val="20"/>
                <w:szCs w:val="20"/>
                <w:color w:val="auto"/>
              </w:rPr>
            </w:pPr>
            <w:r>
              <w:rPr>
                <w:rFonts w:ascii="Arial" w:cs="Arial" w:eastAsia="Arial" w:hAnsi="Arial"/>
                <w:sz w:val="18"/>
                <w:szCs w:val="18"/>
                <w:color w:val="auto"/>
                <w:w w:val="87"/>
              </w:rPr>
              <w:t>3-7 years</w:t>
            </w: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gridSpan w:val="2"/>
            <w:shd w:val="clear" w:color="auto" w:fill="F0FF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righ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5,506</w:t>
            </w:r>
          </w:p>
        </w:tc>
        <w:tc>
          <w:tcPr>
            <w:tcW w:w="220" w:type="dxa"/>
            <w:vAlign w:val="bottom"/>
            <w:tcBorders>
              <w:top w:val="single" w:sz="8" w:color="F0FFFF"/>
            </w:tcBorders>
            <w:gridSpan w:val="2"/>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rPr>
              <w:t>(4,374)</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jc w:val="right"/>
              <w:ind w:right="20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w w:val="93"/>
              </w:rPr>
              <w:t>Property and equipment used for rental program</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84"/>
              </w:rPr>
              <w:t>5 years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26,648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(18,246)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0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Furniture and equipment</w:t>
            </w:r>
          </w:p>
        </w:tc>
        <w:tc>
          <w:tcPr>
            <w:tcW w:w="400" w:type="dxa"/>
            <w:vAlign w:val="bottom"/>
            <w:tcBorders>
              <w:right w:val="single" w:sz="8" w:color="F0FFFF"/>
            </w:tcBorders>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300" w:type="dxa"/>
            <w:vAlign w:val="bottom"/>
            <w:gridSpan w:val="3"/>
            <w:shd w:val="clear" w:color="auto" w:fill="F0FFFF"/>
          </w:tcPr>
          <w:p>
            <w:pPr>
              <w:jc w:val="center"/>
              <w:spacing w:after="0"/>
              <w:rPr>
                <w:sz w:val="20"/>
                <w:szCs w:val="20"/>
                <w:color w:val="auto"/>
              </w:rPr>
            </w:pPr>
            <w:r>
              <w:rPr>
                <w:rFonts w:ascii="Arial" w:cs="Arial" w:eastAsia="Arial" w:hAnsi="Arial"/>
                <w:sz w:val="18"/>
                <w:szCs w:val="18"/>
                <w:color w:val="auto"/>
                <w:w w:val="87"/>
              </w:rPr>
              <w:t>3-7 years</w:t>
            </w:r>
          </w:p>
        </w:tc>
        <w:tc>
          <w:tcPr>
            <w:tcW w:w="1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tcBorders>
              <w:righ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874</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5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2"/>
              </w:rPr>
              <w:t>Lesser of life or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Leasehold improvements</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88"/>
              </w:rPr>
              <w:t>lease term</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860" w:type="dxa"/>
            <w:vAlign w:val="bottom"/>
            <w:tcBorders>
              <w:top w:val="single" w:sz="8" w:color="F0FFFF"/>
              <w:bottom w:val="single" w:sz="8" w:color="F0FFFF"/>
            </w:tcBorders>
            <w:shd w:val="clear" w:color="auto" w:fill="F0FFFF"/>
          </w:tcPr>
          <w:p>
            <w:pPr>
              <w:spacing w:after="0"/>
              <w:rPr>
                <w:sz w:val="20"/>
                <w:szCs w:val="20"/>
                <w:color w:val="auto"/>
              </w:rPr>
            </w:pPr>
          </w:p>
        </w:tc>
        <w:tc>
          <w:tcPr>
            <w:tcW w:w="2280" w:type="dxa"/>
            <w:vAlign w:val="bottom"/>
            <w:tcBorders>
              <w:top w:val="single" w:sz="8" w:color="F0FFFF"/>
              <w:bottom w:val="single" w:sz="8" w:color="F0FFFF"/>
            </w:tcBorders>
            <w:shd w:val="clear" w:color="auto" w:fill="F0FFFF"/>
          </w:tcPr>
          <w:p>
            <w:pPr>
              <w:spacing w:after="0"/>
              <w:rPr>
                <w:sz w:val="20"/>
                <w:szCs w:val="20"/>
                <w:color w:val="auto"/>
              </w:rPr>
            </w:pPr>
          </w:p>
        </w:tc>
        <w:tc>
          <w:tcPr>
            <w:tcW w:w="460" w:type="dxa"/>
            <w:vAlign w:val="bottom"/>
            <w:tcBorders>
              <w:top w:val="single" w:sz="8" w:color="F0FFFF"/>
              <w:bottom w:val="single" w:sz="8" w:color="F0FFFF"/>
            </w:tcBorders>
            <w:shd w:val="clear" w:color="auto" w:fill="F0FFFF"/>
          </w:tcPr>
          <w:p>
            <w:pPr>
              <w:spacing w:after="0"/>
              <w:rPr>
                <w:sz w:val="20"/>
                <w:szCs w:val="20"/>
                <w:color w:val="auto"/>
              </w:rPr>
            </w:pPr>
          </w:p>
        </w:tc>
        <w:tc>
          <w:tcPr>
            <w:tcW w:w="400" w:type="dxa"/>
            <w:vAlign w:val="bottom"/>
            <w:tcBorders>
              <w:top w:val="single" w:sz="8" w:color="F0FFFF"/>
              <w:bottom w:val="single" w:sz="8" w:color="F0FFFF"/>
              <w:right w:val="single" w:sz="8" w:color="F0FFFF"/>
            </w:tcBorders>
            <w:shd w:val="clear" w:color="auto" w:fill="F0FFFF"/>
          </w:tcPr>
          <w:p>
            <w:pPr>
              <w:spacing w:after="0"/>
              <w:rPr>
                <w:sz w:val="20"/>
                <w:szCs w:val="20"/>
                <w:color w:val="auto"/>
              </w:rPr>
            </w:pPr>
          </w:p>
        </w:tc>
        <w:tc>
          <w:tcPr>
            <w:tcW w:w="64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F0FFFF"/>
              <w:bottom w:val="single" w:sz="8" w:color="F0FFFF"/>
              <w:right w:val="single" w:sz="8" w:color="F0FFFF"/>
            </w:tcBorders>
            <w:shd w:val="clear" w:color="auto" w:fill="F0FFFF"/>
          </w:tcPr>
          <w:p>
            <w:pPr>
              <w:spacing w:after="0"/>
              <w:rPr>
                <w:sz w:val="20"/>
                <w:szCs w:val="20"/>
                <w:color w:val="auto"/>
              </w:rPr>
            </w:pPr>
          </w:p>
        </w:tc>
        <w:tc>
          <w:tcPr>
            <w:tcW w:w="160" w:type="dxa"/>
            <w:vAlign w:val="bottom"/>
            <w:tcBorders>
              <w:top w:val="single" w:sz="8" w:color="F0FFFF"/>
              <w:bottom w:val="single" w:sz="8" w:color="F0FFFF"/>
              <w:right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500" w:type="dxa"/>
            <w:vAlign w:val="bottom"/>
            <w:tcBorders>
              <w:top w:val="single" w:sz="8" w:color="F0FFFF"/>
              <w:bottom w:val="single" w:sz="8" w:color="F0FFFF"/>
              <w:right w:val="single" w:sz="8" w:color="F0FFFF"/>
            </w:tcBorders>
            <w:shd w:val="clear" w:color="auto" w:fill="F0FFFF"/>
          </w:tcPr>
          <w:p>
            <w:pPr>
              <w:spacing w:after="0"/>
              <w:rPr>
                <w:sz w:val="20"/>
                <w:szCs w:val="20"/>
                <w:color w:val="auto"/>
              </w:rPr>
            </w:pPr>
          </w:p>
        </w:tc>
        <w:tc>
          <w:tcPr>
            <w:tcW w:w="160" w:type="dxa"/>
            <w:vAlign w:val="bottom"/>
            <w:tcBorders>
              <w:top w:val="single" w:sz="8" w:color="F0FFFF"/>
              <w:bottom w:val="single" w:sz="8" w:color="F0FFFF"/>
              <w:right w:val="single" w:sz="8" w:color="F0FFFF"/>
            </w:tcBorders>
            <w:shd w:val="clear" w:color="auto" w:fill="F0FFFF"/>
          </w:tcPr>
          <w:p>
            <w:pPr>
              <w:spacing w:after="0"/>
              <w:rPr>
                <w:sz w:val="20"/>
                <w:szCs w:val="20"/>
                <w:color w:val="auto"/>
              </w:rPr>
            </w:pPr>
          </w:p>
        </w:tc>
        <w:tc>
          <w:tcPr>
            <w:tcW w:w="64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F0FF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F0FFFF"/>
          </w:tcPr>
          <w:p>
            <w:pPr>
              <w:spacing w:after="0"/>
              <w:rPr>
                <w:sz w:val="20"/>
                <w:szCs w:val="20"/>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760" w:type="dxa"/>
            <w:vAlign w:val="bottom"/>
            <w:tcBorders>
              <w:top w:val="single" w:sz="8" w:color="auto"/>
              <w:bottom w:val="single" w:sz="8" w:color="auto"/>
              <w:righ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33,603</w:t>
            </w:r>
          </w:p>
        </w:tc>
        <w:tc>
          <w:tcPr>
            <w:tcW w:w="220" w:type="dxa"/>
            <w:vAlign w:val="bottom"/>
            <w:tcBorders>
              <w:top w:val="single" w:sz="8" w:color="F0FFFF"/>
              <w:bottom w:val="single" w:sz="8" w:color="F0FFFF"/>
            </w:tcBorders>
            <w:gridSpan w:val="2"/>
            <w:shd w:val="clear" w:color="auto" w:fill="F0FFFF"/>
          </w:tcPr>
          <w:p>
            <w:pPr>
              <w:spacing w:after="0"/>
              <w:rPr>
                <w:sz w:val="20"/>
                <w:szCs w:val="20"/>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rPr>
              <w:t>(23,838</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360" w:type="dxa"/>
            <w:vAlign w:val="bottom"/>
            <w:tcBorders>
              <w:top w:val="single" w:sz="8" w:color="auto"/>
              <w:bottom w:val="single" w:sz="8" w:color="auto"/>
            </w:tcBorders>
            <w:shd w:val="clear" w:color="auto" w:fill="F0FFFF"/>
          </w:tcPr>
          <w:p>
            <w:pPr>
              <w:jc w:val="right"/>
              <w:ind w:right="20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F0FFFF"/>
          </w:tcPr>
          <w:p>
            <w:pPr>
              <w:spacing w:after="0"/>
              <w:rPr>
                <w:sz w:val="20"/>
                <w:szCs w:val="20"/>
                <w:color w:val="auto"/>
              </w:rPr>
            </w:pP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9,765</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8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6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300" w:type="dxa"/>
            <w:vAlign w:val="bottom"/>
            <w:tcBorders>
              <w:top w:val="single" w:sz="8" w:color="F0FFFF"/>
            </w:tcBorders>
            <w:gridSpan w:val="3"/>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gridSpan w:val="3"/>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3"/>
              </w:rPr>
              <w:t>Useful</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87"/>
              </w:rPr>
              <w:t>June 30, 2015</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tcPr>
          <w:p>
            <w:pPr>
              <w:jc w:val="center"/>
              <w:ind w:right="140"/>
              <w:spacing w:after="0" w:line="201" w:lineRule="exact"/>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 in thousands)</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5"/>
              </w:rPr>
              <w:t>Lives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w w:val="80"/>
              </w:rPr>
              <w:t>Cost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Depreciation</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Net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00" w:type="dxa"/>
            <w:vAlign w:val="bottom"/>
            <w:tcBorders>
              <w:top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w w:val="98"/>
              </w:rPr>
              <w:t>Computer equipment and purchased software</w:t>
            </w:r>
          </w:p>
        </w:tc>
        <w:tc>
          <w:tcPr>
            <w:tcW w:w="400" w:type="dxa"/>
            <w:vAlign w:val="bottom"/>
            <w:tcBorders>
              <w:top w:val="single" w:sz="8" w:color="F0FFFF"/>
              <w:right w:val="single" w:sz="8" w:color="F0FFFF"/>
            </w:tcBorders>
            <w:shd w:val="clear" w:color="auto" w:fill="F0FFFF"/>
          </w:tcPr>
          <w:p>
            <w:pPr>
              <w:spacing w:after="0"/>
              <w:rPr>
                <w:sz w:val="18"/>
                <w:szCs w:val="18"/>
                <w:color w:val="auto"/>
              </w:rPr>
            </w:pPr>
          </w:p>
        </w:tc>
        <w:tc>
          <w:tcPr>
            <w:tcW w:w="6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right w:val="single" w:sz="8" w:color="F0FFFF"/>
            </w:tcBorders>
            <w:shd w:val="clear" w:color="auto" w:fill="F0FFFF"/>
          </w:tcPr>
          <w:p>
            <w:pPr>
              <w:spacing w:after="0"/>
              <w:rPr>
                <w:sz w:val="18"/>
                <w:szCs w:val="18"/>
                <w:color w:val="auto"/>
              </w:rPr>
            </w:pPr>
          </w:p>
        </w:tc>
        <w:tc>
          <w:tcPr>
            <w:tcW w:w="160" w:type="dxa"/>
            <w:vAlign w:val="bottom"/>
            <w:tcBorders>
              <w:top w:val="single" w:sz="8" w:color="F0FFFF"/>
              <w:right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1300" w:type="dxa"/>
            <w:vAlign w:val="bottom"/>
            <w:tcBorders>
              <w:top w:val="single" w:sz="8" w:color="auto"/>
            </w:tcBorders>
            <w:gridSpan w:val="3"/>
            <w:shd w:val="clear" w:color="auto" w:fill="F0FFFF"/>
          </w:tcPr>
          <w:p>
            <w:pPr>
              <w:jc w:val="center"/>
              <w:spacing w:after="0"/>
              <w:rPr>
                <w:sz w:val="20"/>
                <w:szCs w:val="20"/>
                <w:color w:val="auto"/>
              </w:rPr>
            </w:pPr>
            <w:r>
              <w:rPr>
                <w:rFonts w:ascii="Arial" w:cs="Arial" w:eastAsia="Arial" w:hAnsi="Arial"/>
                <w:sz w:val="18"/>
                <w:szCs w:val="18"/>
                <w:color w:val="auto"/>
                <w:w w:val="87"/>
              </w:rPr>
              <w:t>3-7 years</w:t>
            </w: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gridSpan w:val="2"/>
            <w:shd w:val="clear" w:color="auto" w:fill="F0FF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760" w:type="dxa"/>
            <w:vAlign w:val="bottom"/>
            <w:tcBorders>
              <w:top w:val="single" w:sz="8" w:color="auto"/>
              <w:righ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4,670</w:t>
            </w:r>
          </w:p>
        </w:tc>
        <w:tc>
          <w:tcPr>
            <w:tcW w:w="220" w:type="dxa"/>
            <w:vAlign w:val="bottom"/>
            <w:tcBorders>
              <w:top w:val="single" w:sz="8" w:color="F0FFFF"/>
            </w:tcBorders>
            <w:gridSpan w:val="2"/>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rPr>
              <w:t>(4,017)</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jc w:val="right"/>
              <w:ind w:right="20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w w:val="93"/>
              </w:rPr>
              <w:t>Property and equipment used for rental program</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84"/>
              </w:rPr>
              <w:t>5 years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26,469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(14,476)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0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Furniture and equipment</w:t>
            </w:r>
          </w:p>
        </w:tc>
        <w:tc>
          <w:tcPr>
            <w:tcW w:w="400" w:type="dxa"/>
            <w:vAlign w:val="bottom"/>
            <w:tcBorders>
              <w:right w:val="single" w:sz="8" w:color="F0FFFF"/>
            </w:tcBorders>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300" w:type="dxa"/>
            <w:vAlign w:val="bottom"/>
            <w:gridSpan w:val="3"/>
            <w:shd w:val="clear" w:color="auto" w:fill="F0FFFF"/>
          </w:tcPr>
          <w:p>
            <w:pPr>
              <w:jc w:val="center"/>
              <w:spacing w:after="0"/>
              <w:rPr>
                <w:sz w:val="20"/>
                <w:szCs w:val="20"/>
                <w:color w:val="auto"/>
              </w:rPr>
            </w:pPr>
            <w:r>
              <w:rPr>
                <w:rFonts w:ascii="Arial" w:cs="Arial" w:eastAsia="Arial" w:hAnsi="Arial"/>
                <w:sz w:val="18"/>
                <w:szCs w:val="18"/>
                <w:color w:val="auto"/>
                <w:w w:val="87"/>
              </w:rPr>
              <w:t>3-7 years</w:t>
            </w:r>
          </w:p>
        </w:tc>
        <w:tc>
          <w:tcPr>
            <w:tcW w:w="1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tcBorders>
              <w:righ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723</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5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F0FF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2"/>
              </w:rPr>
              <w:t>Lesser of life or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Leasehold improvements</w:t>
            </w: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88"/>
              </w:rPr>
              <w:t>lease term</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860" w:type="dxa"/>
            <w:vAlign w:val="bottom"/>
            <w:tcBorders>
              <w:top w:val="single" w:sz="8" w:color="F0FFFF"/>
              <w:bottom w:val="single" w:sz="8" w:color="F0FFFF"/>
            </w:tcBorders>
            <w:shd w:val="clear" w:color="auto" w:fill="F0FFFF"/>
          </w:tcPr>
          <w:p>
            <w:pPr>
              <w:spacing w:after="0"/>
              <w:rPr>
                <w:sz w:val="20"/>
                <w:szCs w:val="20"/>
                <w:color w:val="auto"/>
              </w:rPr>
            </w:pPr>
          </w:p>
        </w:tc>
        <w:tc>
          <w:tcPr>
            <w:tcW w:w="2280" w:type="dxa"/>
            <w:vAlign w:val="bottom"/>
            <w:tcBorders>
              <w:top w:val="single" w:sz="8" w:color="F0FFFF"/>
              <w:bottom w:val="single" w:sz="8" w:color="F0FFFF"/>
            </w:tcBorders>
            <w:shd w:val="clear" w:color="auto" w:fill="F0FFFF"/>
          </w:tcPr>
          <w:p>
            <w:pPr>
              <w:spacing w:after="0"/>
              <w:rPr>
                <w:sz w:val="20"/>
                <w:szCs w:val="20"/>
                <w:color w:val="auto"/>
              </w:rPr>
            </w:pPr>
          </w:p>
        </w:tc>
        <w:tc>
          <w:tcPr>
            <w:tcW w:w="460" w:type="dxa"/>
            <w:vAlign w:val="bottom"/>
            <w:tcBorders>
              <w:top w:val="single" w:sz="8" w:color="F0FFFF"/>
              <w:bottom w:val="single" w:sz="8" w:color="F0FFFF"/>
            </w:tcBorders>
            <w:shd w:val="clear" w:color="auto" w:fill="F0FFFF"/>
          </w:tcPr>
          <w:p>
            <w:pPr>
              <w:spacing w:after="0"/>
              <w:rPr>
                <w:sz w:val="20"/>
                <w:szCs w:val="20"/>
                <w:color w:val="auto"/>
              </w:rPr>
            </w:pPr>
          </w:p>
        </w:tc>
        <w:tc>
          <w:tcPr>
            <w:tcW w:w="400" w:type="dxa"/>
            <w:vAlign w:val="bottom"/>
            <w:tcBorders>
              <w:top w:val="single" w:sz="8" w:color="F0FFFF"/>
              <w:bottom w:val="single" w:sz="8" w:color="F0FFFF"/>
              <w:right w:val="single" w:sz="8" w:color="F0FFFF"/>
            </w:tcBorders>
            <w:shd w:val="clear" w:color="auto" w:fill="F0FFFF"/>
          </w:tcPr>
          <w:p>
            <w:pPr>
              <w:spacing w:after="0"/>
              <w:rPr>
                <w:sz w:val="20"/>
                <w:szCs w:val="20"/>
                <w:color w:val="auto"/>
              </w:rPr>
            </w:pPr>
          </w:p>
        </w:tc>
        <w:tc>
          <w:tcPr>
            <w:tcW w:w="64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F0FFFF"/>
              <w:bottom w:val="single" w:sz="8" w:color="F0FFFF"/>
              <w:right w:val="single" w:sz="8" w:color="F0FFFF"/>
            </w:tcBorders>
            <w:shd w:val="clear" w:color="auto" w:fill="F0FFFF"/>
          </w:tcPr>
          <w:p>
            <w:pPr>
              <w:spacing w:after="0"/>
              <w:rPr>
                <w:sz w:val="20"/>
                <w:szCs w:val="20"/>
                <w:color w:val="auto"/>
              </w:rPr>
            </w:pPr>
          </w:p>
        </w:tc>
        <w:tc>
          <w:tcPr>
            <w:tcW w:w="160" w:type="dxa"/>
            <w:vAlign w:val="bottom"/>
            <w:tcBorders>
              <w:top w:val="single" w:sz="8" w:color="F0FFFF"/>
              <w:bottom w:val="single" w:sz="8" w:color="F0FFFF"/>
              <w:right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500" w:type="dxa"/>
            <w:vAlign w:val="bottom"/>
            <w:tcBorders>
              <w:top w:val="single" w:sz="8" w:color="F0FFFF"/>
              <w:bottom w:val="single" w:sz="8" w:color="F0FFFF"/>
              <w:right w:val="single" w:sz="8" w:color="F0FFFF"/>
            </w:tcBorders>
            <w:shd w:val="clear" w:color="auto" w:fill="F0FFFF"/>
          </w:tcPr>
          <w:p>
            <w:pPr>
              <w:spacing w:after="0"/>
              <w:rPr>
                <w:sz w:val="20"/>
                <w:szCs w:val="20"/>
                <w:color w:val="auto"/>
              </w:rPr>
            </w:pPr>
          </w:p>
        </w:tc>
        <w:tc>
          <w:tcPr>
            <w:tcW w:w="160" w:type="dxa"/>
            <w:vAlign w:val="bottom"/>
            <w:tcBorders>
              <w:top w:val="single" w:sz="8" w:color="F0FFFF"/>
              <w:bottom w:val="single" w:sz="8" w:color="F0FFFF"/>
              <w:right w:val="single" w:sz="8" w:color="F0FFFF"/>
            </w:tcBorders>
            <w:shd w:val="clear" w:color="auto" w:fill="F0FFFF"/>
          </w:tcPr>
          <w:p>
            <w:pPr>
              <w:spacing w:after="0"/>
              <w:rPr>
                <w:sz w:val="20"/>
                <w:szCs w:val="20"/>
                <w:color w:val="auto"/>
              </w:rPr>
            </w:pPr>
          </w:p>
        </w:tc>
        <w:tc>
          <w:tcPr>
            <w:tcW w:w="64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F0FF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F0FFFF"/>
          </w:tcPr>
          <w:p>
            <w:pPr>
              <w:spacing w:after="0"/>
              <w:rPr>
                <w:sz w:val="20"/>
                <w:szCs w:val="20"/>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760" w:type="dxa"/>
            <w:vAlign w:val="bottom"/>
            <w:tcBorders>
              <w:top w:val="single" w:sz="8" w:color="auto"/>
              <w:bottom w:val="single" w:sz="8" w:color="auto"/>
              <w:righ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32,437</w:t>
            </w:r>
          </w:p>
        </w:tc>
        <w:tc>
          <w:tcPr>
            <w:tcW w:w="220" w:type="dxa"/>
            <w:vAlign w:val="bottom"/>
            <w:tcBorders>
              <w:top w:val="single" w:sz="8" w:color="F0FFFF"/>
              <w:bottom w:val="single" w:sz="8" w:color="F0FFFF"/>
            </w:tcBorders>
            <w:gridSpan w:val="2"/>
            <w:shd w:val="clear" w:color="auto" w:fill="F0FFFF"/>
          </w:tcPr>
          <w:p>
            <w:pPr>
              <w:spacing w:after="0"/>
              <w:rPr>
                <w:sz w:val="20"/>
                <w:szCs w:val="20"/>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rPr>
              <w:t>(19,568</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360" w:type="dxa"/>
            <w:vAlign w:val="bottom"/>
            <w:tcBorders>
              <w:top w:val="single" w:sz="8" w:color="auto"/>
              <w:bottom w:val="single" w:sz="8" w:color="auto"/>
            </w:tcBorders>
            <w:shd w:val="clear" w:color="auto" w:fill="F0FFFF"/>
          </w:tcPr>
          <w:p>
            <w:pPr>
              <w:jc w:val="right"/>
              <w:ind w:right="20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F0FFFF"/>
          </w:tcPr>
          <w:p>
            <w:pPr>
              <w:spacing w:after="0"/>
              <w:rPr>
                <w:sz w:val="20"/>
                <w:szCs w:val="20"/>
                <w:color w:val="auto"/>
              </w:rPr>
            </w:pP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12,869</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8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6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740" w:type="dxa"/>
            <w:vAlign w:val="bottom"/>
            <w:tcBorders>
              <w:top w:val="single" w:sz="8" w:color="F0FFFF"/>
              <w:bottom w:val="single" w:sz="8" w:color="F0FFFF"/>
            </w:tcBorders>
            <w:gridSpan w:val="2"/>
            <w:vMerge w:val="restart"/>
          </w:tcPr>
          <w:p>
            <w:pPr>
              <w:jc w:val="center"/>
              <w:spacing w:after="0"/>
              <w:rPr>
                <w:sz w:val="20"/>
                <w:szCs w:val="20"/>
                <w:color w:val="auto"/>
              </w:rPr>
            </w:pPr>
            <w:r>
              <w:rPr>
                <w:rFonts w:ascii="Arial" w:cs="Arial" w:eastAsia="Arial" w:hAnsi="Arial"/>
                <w:sz w:val="22"/>
                <w:szCs w:val="22"/>
                <w:color w:val="auto"/>
                <w:w w:val="88"/>
              </w:rPr>
              <w:t>F-18</w:t>
            </w:r>
          </w:p>
        </w:tc>
        <w:tc>
          <w:tcPr>
            <w:tcW w:w="160" w:type="dxa"/>
            <w:vAlign w:val="bottom"/>
            <w:tcBorders>
              <w:top w:val="single" w:sz="8" w:color="F0FFFF"/>
            </w:tcBorders>
          </w:tcPr>
          <w:p>
            <w:pPr>
              <w:spacing w:after="0" w:line="20" w:lineRule="exact"/>
              <w:rPr>
                <w:sz w:val="1"/>
                <w:szCs w:val="1"/>
                <w:color w:val="auto"/>
              </w:rPr>
            </w:pPr>
          </w:p>
        </w:tc>
        <w:tc>
          <w:tcPr>
            <w:tcW w:w="6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0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gridSpan w:val="2"/>
            <w:vMerge w:val="continue"/>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5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under capital leases totaled approximately $2.6 million and $2.1 million as of June 30, 2016 and 2015, respectively. Capital lease amortization of approximately $271 thousand, $349 thousand and $305 thousand, is included in depreciation expense for the years ended June 30, 2016,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relating to all acquired intangible assets was approximately $87 thousand, $0 and $22 thousand during each of the years ended June 30, 2016, 2015 and 2014, respectively. Intangible asset balances consisted of the following:</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Beginning</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9"/>
          </w:tcPr>
          <w:p>
            <w:pPr>
              <w:jc w:val="right"/>
              <w:ind w:right="640"/>
              <w:spacing w:after="0"/>
              <w:rPr>
                <w:sz w:val="20"/>
                <w:szCs w:val="20"/>
                <w:color w:val="auto"/>
              </w:rPr>
            </w:pPr>
            <w:r>
              <w:rPr>
                <w:rFonts w:ascii="Arial" w:cs="Arial" w:eastAsia="Arial" w:hAnsi="Arial"/>
                <w:sz w:val="18"/>
                <w:szCs w:val="18"/>
                <w:color w:val="auto"/>
              </w:rPr>
              <w:t>Year ended June 30, 2016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2"/>
              </w:rPr>
              <w:t>Ending</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900" w:type="dxa"/>
            <w:vAlign w:val="bottom"/>
            <w:gridSpan w:val="2"/>
          </w:tcPr>
          <w:p>
            <w:pPr>
              <w:spacing w:after="0" w:line="201" w:lineRule="exact"/>
              <w:rPr>
                <w:sz w:val="20"/>
                <w:szCs w:val="20"/>
                <w:color w:val="auto"/>
              </w:rPr>
            </w:pPr>
            <w:r>
              <w:rPr>
                <w:rFonts w:ascii="Arial" w:cs="Arial" w:eastAsia="Arial" w:hAnsi="Arial"/>
                <w:sz w:val="18"/>
                <w:szCs w:val="18"/>
                <w:color w:val="auto"/>
              </w:rPr>
              <w:t>($ in thousands)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89"/>
              </w:rPr>
              <w:t>Balance</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jc w:val="right"/>
              <w:ind w:right="580"/>
              <w:spacing w:after="0" w:line="201" w:lineRule="exact"/>
              <w:rPr>
                <w:sz w:val="20"/>
                <w:szCs w:val="20"/>
                <w:color w:val="auto"/>
              </w:rPr>
            </w:pPr>
            <w:r>
              <w:rPr>
                <w:rFonts w:ascii="Arial" w:cs="Arial" w:eastAsia="Arial" w:hAnsi="Arial"/>
                <w:sz w:val="18"/>
                <w:szCs w:val="18"/>
                <w:color w:val="auto"/>
                <w:w w:val="96"/>
              </w:rPr>
              <w:t>Additions/</w:t>
            </w: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5"/>
              </w:rPr>
              <w:t>Amortization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July 1, 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gridSpan w:val="4"/>
          </w:tcPr>
          <w:p>
            <w:pPr>
              <w:jc w:val="right"/>
              <w:ind w:right="520"/>
              <w:spacing w:after="0"/>
              <w:rPr>
                <w:sz w:val="20"/>
                <w:szCs w:val="20"/>
                <w:color w:val="auto"/>
              </w:rPr>
            </w:pPr>
            <w:r>
              <w:rPr>
                <w:rFonts w:ascii="Arial" w:cs="Arial" w:eastAsia="Arial" w:hAnsi="Arial"/>
                <w:sz w:val="18"/>
                <w:szCs w:val="18"/>
                <w:color w:val="auto"/>
                <w:w w:val="92"/>
              </w:rPr>
              <w:t>Adjustments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7"/>
              </w:rPr>
              <w:t>June 30, 2016</w:t>
            </w: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Intangible Assets:</w:t>
            </w:r>
          </w:p>
        </w:tc>
        <w:tc>
          <w:tcPr>
            <w:tcW w:w="3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400" w:type="dxa"/>
            <w:vAlign w:val="bottom"/>
            <w:tcBorders>
              <w:top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Trademarks - Indefinite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(432)(1)</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Non-compete agreements</w:t>
            </w:r>
          </w:p>
        </w:tc>
        <w:tc>
          <w:tcPr>
            <w:tcW w:w="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0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F0FFFF"/>
          </w:tcPr>
          <w:p>
            <w:pPr>
              <w:spacing w:after="0"/>
              <w:rPr>
                <w:sz w:val="18"/>
                <w:szCs w:val="18"/>
                <w:color w:val="auto"/>
              </w:rPr>
            </w:pPr>
          </w:p>
        </w:tc>
        <w:tc>
          <w:tcPr>
            <w:tcW w:w="14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Brand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Developed technology</w:t>
            </w:r>
          </w:p>
        </w:tc>
        <w:tc>
          <w:tcPr>
            <w:tcW w:w="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0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(63)</w:t>
            </w: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F0FFFF"/>
          </w:tcPr>
          <w:p>
            <w:pPr>
              <w:spacing w:after="0"/>
              <w:rPr>
                <w:sz w:val="18"/>
                <w:szCs w:val="18"/>
                <w:color w:val="auto"/>
              </w:rPr>
            </w:pPr>
          </w:p>
        </w:tc>
        <w:tc>
          <w:tcPr>
            <w:tcW w:w="14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F0FFFF"/>
          </w:tcPr>
          <w:p>
            <w:pPr>
              <w:spacing w:after="0"/>
              <w:rPr>
                <w:sz w:val="19"/>
                <w:szCs w:val="19"/>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F0FFFF"/>
          </w:tcPr>
          <w:p>
            <w:pPr>
              <w:spacing w:after="0"/>
              <w:rPr>
                <w:sz w:val="19"/>
                <w:szCs w:val="19"/>
                <w:color w:val="auto"/>
              </w:rPr>
            </w:pPr>
          </w:p>
        </w:tc>
        <w:tc>
          <w:tcPr>
            <w:tcW w:w="100" w:type="dxa"/>
            <w:vAlign w:val="bottom"/>
            <w:tcBorders>
              <w:top w:val="single" w:sz="8" w:color="auto"/>
              <w:bottom w:val="single" w:sz="8" w:color="auto"/>
            </w:tcBorders>
            <w:shd w:val="clear" w:color="auto" w:fill="F0FFFF"/>
          </w:tcPr>
          <w:p>
            <w:pPr>
              <w:spacing w:after="0"/>
              <w:rPr>
                <w:sz w:val="19"/>
                <w:szCs w:val="19"/>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40" w:type="dxa"/>
            <w:vAlign w:val="bottom"/>
            <w:tcBorders>
              <w:top w:val="single" w:sz="8" w:color="F0FFFF"/>
              <w:bottom w:val="single" w:sz="8" w:color="F0FFFF"/>
            </w:tcBorders>
            <w:shd w:val="clear" w:color="auto" w:fill="F0FFFF"/>
          </w:tcPr>
          <w:p>
            <w:pPr>
              <w:spacing w:after="0"/>
              <w:rPr>
                <w:sz w:val="19"/>
                <w:szCs w:val="19"/>
                <w:color w:val="auto"/>
              </w:rPr>
            </w:pPr>
          </w:p>
        </w:tc>
        <w:tc>
          <w:tcPr>
            <w:tcW w:w="2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2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4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F0FF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7,663</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4,040</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11,703</w:t>
            </w:r>
          </w:p>
        </w:tc>
        <w:tc>
          <w:tcPr>
            <w:tcW w:w="220" w:type="dxa"/>
            <w:vAlign w:val="bottom"/>
            <w:shd w:val="clear" w:color="auto" w:fill="F0FFFF"/>
          </w:tcPr>
          <w:p>
            <w:pPr>
              <w:spacing w:after="0"/>
              <w:rPr>
                <w:sz w:val="18"/>
                <w:szCs w:val="18"/>
                <w:color w:val="auto"/>
              </w:rPr>
            </w:pPr>
          </w:p>
        </w:tc>
        <w:tc>
          <w:tcPr>
            <w:tcW w:w="14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bottom w:val="single" w:sz="8" w:color="F0FFFF"/>
            </w:tcBorders>
          </w:tcPr>
          <w:p>
            <w:pPr>
              <w:spacing w:after="0"/>
              <w:rPr>
                <w:sz w:val="19"/>
                <w:szCs w:val="19"/>
                <w:color w:val="auto"/>
              </w:rPr>
            </w:pPr>
          </w:p>
        </w:tc>
        <w:tc>
          <w:tcPr>
            <w:tcW w:w="360" w:type="dxa"/>
            <w:vAlign w:val="bottom"/>
            <w:tcBorders>
              <w:bottom w:val="single" w:sz="8" w:color="F0FF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F0FFFF"/>
            </w:tcBorders>
          </w:tcPr>
          <w:p>
            <w:pPr>
              <w:spacing w:after="0"/>
              <w:rPr>
                <w:sz w:val="19"/>
                <w:szCs w:val="19"/>
                <w:color w:val="auto"/>
              </w:rPr>
            </w:pPr>
          </w:p>
        </w:tc>
        <w:tc>
          <w:tcPr>
            <w:tcW w:w="80" w:type="dxa"/>
            <w:vAlign w:val="bottom"/>
            <w:tcBorders>
              <w:bottom w:val="single" w:sz="8" w:color="F0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F0FFFF"/>
            </w:tcBorders>
          </w:tcPr>
          <w:p>
            <w:pPr>
              <w:spacing w:after="0"/>
              <w:rPr>
                <w:sz w:val="19"/>
                <w:szCs w:val="19"/>
                <w:color w:val="auto"/>
              </w:rPr>
            </w:pPr>
          </w:p>
        </w:tc>
        <w:tc>
          <w:tcPr>
            <w:tcW w:w="160" w:type="dxa"/>
            <w:vAlign w:val="bottom"/>
            <w:tcBorders>
              <w:bottom w:val="single" w:sz="8" w:color="F0FFFF"/>
            </w:tcBorders>
          </w:tcPr>
          <w:p>
            <w:pPr>
              <w:spacing w:after="0"/>
              <w:rPr>
                <w:sz w:val="19"/>
                <w:szCs w:val="19"/>
                <w:color w:val="auto"/>
              </w:rPr>
            </w:pPr>
          </w:p>
        </w:tc>
        <w:tc>
          <w:tcPr>
            <w:tcW w:w="40" w:type="dxa"/>
            <w:vAlign w:val="bottom"/>
            <w:tcBorders>
              <w:bottom w:val="single" w:sz="8" w:color="F0FFFF"/>
            </w:tcBorders>
          </w:tcPr>
          <w:p>
            <w:pPr>
              <w:spacing w:after="0"/>
              <w:rPr>
                <w:sz w:val="19"/>
                <w:szCs w:val="19"/>
                <w:color w:val="auto"/>
              </w:rPr>
            </w:pPr>
          </w:p>
        </w:tc>
        <w:tc>
          <w:tcPr>
            <w:tcW w:w="20" w:type="dxa"/>
            <w:vAlign w:val="bottom"/>
            <w:tcBorders>
              <w:bottom w:val="single" w:sz="8" w:color="F0FF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F0FFFF"/>
            </w:tcBorders>
          </w:tcPr>
          <w:p>
            <w:pPr>
              <w:spacing w:after="0"/>
              <w:rPr>
                <w:sz w:val="19"/>
                <w:szCs w:val="19"/>
                <w:color w:val="auto"/>
              </w:rPr>
            </w:pPr>
          </w:p>
        </w:tc>
        <w:tc>
          <w:tcPr>
            <w:tcW w:w="80" w:type="dxa"/>
            <w:vAlign w:val="bottom"/>
            <w:tcBorders>
              <w:bottom w:val="single" w:sz="8" w:color="F0FFFF"/>
            </w:tcBorders>
          </w:tcPr>
          <w:p>
            <w:pPr>
              <w:spacing w:after="0"/>
              <w:rPr>
                <w:sz w:val="19"/>
                <w:szCs w:val="19"/>
                <w:color w:val="auto"/>
              </w:rPr>
            </w:pPr>
          </w:p>
        </w:tc>
        <w:tc>
          <w:tcPr>
            <w:tcW w:w="20" w:type="dxa"/>
            <w:vAlign w:val="bottom"/>
            <w:tcBorders>
              <w:bottom w:val="single" w:sz="8" w:color="F0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F0FFFF"/>
            </w:tcBorders>
          </w:tcPr>
          <w:p>
            <w:pPr>
              <w:spacing w:after="0"/>
              <w:rPr>
                <w:sz w:val="19"/>
                <w:szCs w:val="19"/>
                <w:color w:val="auto"/>
              </w:rPr>
            </w:pPr>
          </w:p>
        </w:tc>
        <w:tc>
          <w:tcPr>
            <w:tcW w:w="140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Intangible Assets &amp; Goodwill</w:t>
            </w:r>
          </w:p>
        </w:tc>
        <w:tc>
          <w:tcPr>
            <w:tcW w:w="36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F0FFFF"/>
          </w:tcPr>
          <w:p>
            <w:pPr>
              <w:spacing w:after="0"/>
              <w:rPr>
                <w:sz w:val="20"/>
                <w:szCs w:val="20"/>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8,095</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4,493</w:t>
            </w:r>
          </w:p>
        </w:tc>
        <w:tc>
          <w:tcPr>
            <w:tcW w:w="16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4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F0FFFF"/>
            </w:tcBorders>
            <w:shd w:val="clear" w:color="auto" w:fill="F0FF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12,501</w:t>
            </w:r>
          </w:p>
        </w:tc>
        <w:tc>
          <w:tcPr>
            <w:tcW w:w="220" w:type="dxa"/>
            <w:vAlign w:val="bottom"/>
            <w:tcBorders>
              <w:bottom w:val="single" w:sz="8" w:color="F0FFFF"/>
            </w:tcBorders>
            <w:shd w:val="clear" w:color="auto" w:fill="F0FFFF"/>
          </w:tcPr>
          <w:p>
            <w:pPr>
              <w:spacing w:after="0"/>
              <w:rPr>
                <w:sz w:val="20"/>
                <w:szCs w:val="20"/>
                <w:color w:val="auto"/>
              </w:rPr>
            </w:pPr>
          </w:p>
        </w:tc>
        <w:tc>
          <w:tcPr>
            <w:tcW w:w="14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gridSpan w:val="2"/>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280" w:type="dxa"/>
            <w:vAlign w:val="bottom"/>
            <w:tcBorders>
              <w:top w:val="single" w:sz="8" w:color="F0FFFF"/>
              <w:bottom w:val="single" w:sz="8" w:color="auto"/>
            </w:tcBorders>
            <w:gridSpan w:val="2"/>
          </w:tcPr>
          <w:p>
            <w:pPr>
              <w:spacing w:after="0" w:line="20" w:lineRule="exact"/>
              <w:rPr>
                <w:sz w:val="1"/>
                <w:szCs w:val="1"/>
                <w:color w:val="auto"/>
              </w:rPr>
            </w:pPr>
          </w:p>
        </w:tc>
        <w:tc>
          <w:tcPr>
            <w:tcW w:w="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Beginning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9"/>
          </w:tcPr>
          <w:p>
            <w:pPr>
              <w:jc w:val="right"/>
              <w:ind w:right="580"/>
              <w:spacing w:after="0"/>
              <w:rPr>
                <w:sz w:val="20"/>
                <w:szCs w:val="20"/>
                <w:color w:val="auto"/>
              </w:rPr>
            </w:pPr>
            <w:r>
              <w:rPr>
                <w:rFonts w:ascii="Arial" w:cs="Arial" w:eastAsia="Arial" w:hAnsi="Arial"/>
                <w:sz w:val="18"/>
                <w:szCs w:val="18"/>
                <w:color w:val="auto"/>
              </w:rPr>
              <w:t>Year ended June 30, 2015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2"/>
              </w:rPr>
              <w:t>Ending</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900" w:type="dxa"/>
            <w:vAlign w:val="bottom"/>
            <w:gridSpan w:val="2"/>
          </w:tcPr>
          <w:p>
            <w:pPr>
              <w:spacing w:after="0" w:line="201" w:lineRule="exact"/>
              <w:rPr>
                <w:sz w:val="20"/>
                <w:szCs w:val="20"/>
                <w:color w:val="auto"/>
              </w:rPr>
            </w:pPr>
            <w:r>
              <w:rPr>
                <w:rFonts w:ascii="Arial" w:cs="Arial" w:eastAsia="Arial" w:hAnsi="Arial"/>
                <w:sz w:val="18"/>
                <w:szCs w:val="18"/>
                <w:color w:val="auto"/>
              </w:rPr>
              <w:t>($ in thousands)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Balance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jc w:val="right"/>
              <w:ind w:right="440"/>
              <w:spacing w:after="0" w:line="201" w:lineRule="exact"/>
              <w:rPr>
                <w:sz w:val="20"/>
                <w:szCs w:val="20"/>
                <w:color w:val="auto"/>
              </w:rPr>
            </w:pPr>
            <w:r>
              <w:rPr>
                <w:rFonts w:ascii="Arial" w:cs="Arial" w:eastAsia="Arial" w:hAnsi="Arial"/>
                <w:sz w:val="18"/>
                <w:szCs w:val="18"/>
                <w:color w:val="auto"/>
              </w:rPr>
              <w:t>Additions/</w:t>
            </w: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5"/>
              </w:rPr>
              <w:t>Amortization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July 1, 2014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w w:val="98"/>
              </w:rPr>
              <w:t>Adjustments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7"/>
              </w:rPr>
              <w:t>June 30, 2015</w:t>
            </w: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Intangible assets:</w:t>
            </w:r>
          </w:p>
        </w:tc>
        <w:tc>
          <w:tcPr>
            <w:tcW w:w="3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400" w:type="dxa"/>
            <w:vAlign w:val="bottom"/>
            <w:tcBorders>
              <w:top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Trademarks - Indefinite</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Intangible Assets</w:t>
            </w:r>
          </w:p>
        </w:tc>
        <w:tc>
          <w:tcPr>
            <w:tcW w:w="480" w:type="dxa"/>
            <w:vAlign w:val="bottom"/>
            <w:tcBorders>
              <w:top w:val="single" w:sz="8" w:color="F0FFFF"/>
              <w:bottom w:val="single" w:sz="8" w:color="F0FFFF"/>
            </w:tcBorders>
            <w:gridSpan w:val="2"/>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432</w:t>
            </w: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4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40" w:type="dxa"/>
            <w:vAlign w:val="bottom"/>
            <w:tcBorders>
              <w:top w:val="single" w:sz="8" w:color="F0FFFF"/>
              <w:bottom w:val="single" w:sz="8" w:color="F0FFFF"/>
            </w:tcBorders>
            <w:shd w:val="clear" w:color="auto" w:fill="F0FF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4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F0FF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7,663</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7,663</w:t>
            </w:r>
          </w:p>
        </w:tc>
        <w:tc>
          <w:tcPr>
            <w:tcW w:w="220" w:type="dxa"/>
            <w:vAlign w:val="bottom"/>
            <w:shd w:val="clear" w:color="auto" w:fill="F0FFFF"/>
          </w:tcPr>
          <w:p>
            <w:pPr>
              <w:spacing w:after="0"/>
              <w:rPr>
                <w:sz w:val="18"/>
                <w:szCs w:val="18"/>
                <w:color w:val="auto"/>
              </w:rPr>
            </w:pPr>
          </w:p>
        </w:tc>
        <w:tc>
          <w:tcPr>
            <w:tcW w:w="14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bottom w:val="single" w:sz="8" w:color="F0FFFF"/>
            </w:tcBorders>
          </w:tcPr>
          <w:p>
            <w:pPr>
              <w:spacing w:after="0"/>
              <w:rPr>
                <w:sz w:val="19"/>
                <w:szCs w:val="19"/>
                <w:color w:val="auto"/>
              </w:rPr>
            </w:pPr>
          </w:p>
        </w:tc>
        <w:tc>
          <w:tcPr>
            <w:tcW w:w="480" w:type="dxa"/>
            <w:vAlign w:val="bottom"/>
            <w:tcBorders>
              <w:bottom w:val="single" w:sz="8" w:color="F0FFFF"/>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spacing w:after="0"/>
              <w:rPr>
                <w:sz w:val="19"/>
                <w:szCs w:val="19"/>
                <w:color w:val="auto"/>
              </w:rPr>
            </w:pPr>
          </w:p>
        </w:tc>
        <w:tc>
          <w:tcPr>
            <w:tcW w:w="80" w:type="dxa"/>
            <w:vAlign w:val="bottom"/>
            <w:tcBorders>
              <w:bottom w:val="single" w:sz="8" w:color="F0FFFF"/>
            </w:tcBorders>
          </w:tcPr>
          <w:p>
            <w:pPr>
              <w:spacing w:after="0"/>
              <w:rPr>
                <w:sz w:val="19"/>
                <w:szCs w:val="19"/>
                <w:color w:val="auto"/>
              </w:rPr>
            </w:pPr>
          </w:p>
        </w:tc>
        <w:tc>
          <w:tcPr>
            <w:tcW w:w="100" w:type="dxa"/>
            <w:vAlign w:val="bottom"/>
            <w:tcBorders>
              <w:bottom w:val="single" w:sz="8" w:color="F0FFFF"/>
            </w:tcBorders>
          </w:tcPr>
          <w:p>
            <w:pPr>
              <w:spacing w:after="0"/>
              <w:rPr>
                <w:sz w:val="19"/>
                <w:szCs w:val="19"/>
                <w:color w:val="auto"/>
              </w:rPr>
            </w:pPr>
          </w:p>
        </w:tc>
        <w:tc>
          <w:tcPr>
            <w:tcW w:w="40" w:type="dxa"/>
            <w:vAlign w:val="bottom"/>
            <w:tcBorders>
              <w:bottom w:val="single" w:sz="8" w:color="F0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spacing w:after="0"/>
              <w:rPr>
                <w:sz w:val="19"/>
                <w:szCs w:val="19"/>
                <w:color w:val="auto"/>
              </w:rPr>
            </w:pPr>
          </w:p>
        </w:tc>
        <w:tc>
          <w:tcPr>
            <w:tcW w:w="160" w:type="dxa"/>
            <w:vAlign w:val="bottom"/>
            <w:tcBorders>
              <w:bottom w:val="single" w:sz="8" w:color="F0FFFF"/>
            </w:tcBorders>
          </w:tcPr>
          <w:p>
            <w:pPr>
              <w:spacing w:after="0"/>
              <w:rPr>
                <w:sz w:val="19"/>
                <w:szCs w:val="19"/>
                <w:color w:val="auto"/>
              </w:rPr>
            </w:pPr>
          </w:p>
        </w:tc>
        <w:tc>
          <w:tcPr>
            <w:tcW w:w="40" w:type="dxa"/>
            <w:vAlign w:val="bottom"/>
            <w:tcBorders>
              <w:bottom w:val="single" w:sz="8" w:color="F0FFFF"/>
            </w:tcBorders>
          </w:tcPr>
          <w:p>
            <w:pPr>
              <w:spacing w:after="0"/>
              <w:rPr>
                <w:sz w:val="19"/>
                <w:szCs w:val="19"/>
                <w:color w:val="auto"/>
              </w:rPr>
            </w:pPr>
          </w:p>
        </w:tc>
        <w:tc>
          <w:tcPr>
            <w:tcW w:w="140" w:type="dxa"/>
            <w:vAlign w:val="bottom"/>
            <w:tcBorders>
              <w:bottom w:val="single" w:sz="8" w:color="auto"/>
            </w:tcBorders>
            <w:gridSpan w:val="2"/>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 w:type="dxa"/>
            <w:vAlign w:val="bottom"/>
            <w:tcBorders>
              <w:bottom w:val="single" w:sz="8" w:color="F0FFFF"/>
            </w:tcBorders>
          </w:tcPr>
          <w:p>
            <w:pPr>
              <w:spacing w:after="0"/>
              <w:rPr>
                <w:sz w:val="19"/>
                <w:szCs w:val="19"/>
                <w:color w:val="auto"/>
              </w:rPr>
            </w:pPr>
          </w:p>
        </w:tc>
        <w:tc>
          <w:tcPr>
            <w:tcW w:w="120" w:type="dxa"/>
            <w:vAlign w:val="bottom"/>
            <w:tcBorders>
              <w:bottom w:val="single" w:sz="8" w:color="F0FFFF"/>
            </w:tcBorders>
          </w:tcPr>
          <w:p>
            <w:pPr>
              <w:spacing w:after="0"/>
              <w:rPr>
                <w:sz w:val="19"/>
                <w:szCs w:val="19"/>
                <w:color w:val="auto"/>
              </w:rPr>
            </w:pPr>
          </w:p>
        </w:tc>
        <w:tc>
          <w:tcPr>
            <w:tcW w:w="80" w:type="dxa"/>
            <w:vAlign w:val="bottom"/>
            <w:tcBorders>
              <w:bottom w:val="single" w:sz="8" w:color="F0FFFF"/>
            </w:tcBorders>
          </w:tcPr>
          <w:p>
            <w:pPr>
              <w:spacing w:after="0"/>
              <w:rPr>
                <w:sz w:val="19"/>
                <w:szCs w:val="19"/>
                <w:color w:val="auto"/>
              </w:rPr>
            </w:pPr>
          </w:p>
        </w:tc>
        <w:tc>
          <w:tcPr>
            <w:tcW w:w="120" w:type="dxa"/>
            <w:vAlign w:val="bottom"/>
            <w:tcBorders>
              <w:bottom w:val="single" w:sz="8" w:color="auto"/>
            </w:tcBorders>
            <w:gridSpan w:val="2"/>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F0FFFF"/>
            </w:tcBorders>
          </w:tcPr>
          <w:p>
            <w:pPr>
              <w:spacing w:after="0"/>
              <w:rPr>
                <w:sz w:val="19"/>
                <w:szCs w:val="19"/>
                <w:color w:val="auto"/>
              </w:rPr>
            </w:pPr>
          </w:p>
        </w:tc>
        <w:tc>
          <w:tcPr>
            <w:tcW w:w="140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F0FFFF"/>
            </w:tcBorders>
            <w:gridSpan w:val="2"/>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8,095</w:t>
            </w:r>
          </w:p>
        </w:tc>
        <w:tc>
          <w:tcPr>
            <w:tcW w:w="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0FFFF"/>
            </w:tcBorders>
            <w:shd w:val="clear" w:color="auto" w:fill="F0FFFF"/>
          </w:tcPr>
          <w:p>
            <w:pPr>
              <w:spacing w:after="0"/>
              <w:rPr>
                <w:sz w:val="20"/>
                <w:szCs w:val="20"/>
                <w:color w:val="auto"/>
              </w:rPr>
            </w:pPr>
          </w:p>
        </w:tc>
        <w:tc>
          <w:tcPr>
            <w:tcW w:w="4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gridSpan w:val="2"/>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gridSpan w:val="2"/>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8,095</w:t>
            </w:r>
          </w:p>
        </w:tc>
        <w:tc>
          <w:tcPr>
            <w:tcW w:w="220" w:type="dxa"/>
            <w:vAlign w:val="bottom"/>
            <w:tcBorders>
              <w:bottom w:val="single" w:sz="8" w:color="F0FFFF"/>
            </w:tcBorders>
            <w:shd w:val="clear" w:color="auto" w:fill="F0FFFF"/>
          </w:tcPr>
          <w:p>
            <w:pPr>
              <w:spacing w:after="0"/>
              <w:rPr>
                <w:sz w:val="20"/>
                <w:szCs w:val="20"/>
                <w:color w:val="auto"/>
              </w:rPr>
            </w:pPr>
          </w:p>
        </w:tc>
        <w:tc>
          <w:tcPr>
            <w:tcW w:w="14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80" w:hanging="315"/>
        <w:spacing w:after="0" w:line="293"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Company’s test for impairment of its indefinite-lived trademarks consists of the trademarks: 1) VendingMiser, 2) CoolerMiser, 3) PlugMiser and 4) SnackMiser. As a result of its testing in fiscal years ended June 30, 2015 and 2014 the Company determined that no impairment had occurred. In the testing in fiscal year 2016, the Company determined that the sum of the expected discounted cash flows attributable to the trademarks was less than its carrying value of $432 thousand, and that an impairment write-down was required. The fair value of the trademarks was determined by a method known as “relief from royalty”, in which the fair value is determined by reference to the amount of royalty income the intangible would generate if it were licensed in an arm’s-length transaction. The essential assumptions in a valuation via an income approach are as follows: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center"/>
        <w:ind w:right="-11"/>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72" w:hanging="172"/>
        <w:spacing w:after="0"/>
        <w:tabs>
          <w:tab w:leader="none" w:pos="17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(CONTINUED)</w:t>
      </w:r>
    </w:p>
    <w:p>
      <w:pPr>
        <w:spacing w:after="0" w:line="229" w:lineRule="exact"/>
        <w:rPr>
          <w:rFonts w:ascii="Arial" w:cs="Arial" w:eastAsia="Arial" w:hAnsi="Arial"/>
          <w:sz w:val="18"/>
          <w:szCs w:val="18"/>
          <w:b w:val="1"/>
          <w:bCs w:val="1"/>
          <w:color w:val="auto"/>
        </w:rPr>
      </w:pPr>
    </w:p>
    <w:p>
      <w:pPr>
        <w:ind w:left="1952" w:hanging="331"/>
        <w:spacing w:after="0"/>
        <w:tabs>
          <w:tab w:leader="none" w:pos="19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related dollar sales volume;</w:t>
      </w:r>
    </w:p>
    <w:p>
      <w:pPr>
        <w:spacing w:after="0" w:line="23" w:lineRule="exact"/>
        <w:rPr>
          <w:rFonts w:ascii="Arial" w:cs="Arial" w:eastAsia="Arial" w:hAnsi="Arial"/>
          <w:sz w:val="18"/>
          <w:szCs w:val="18"/>
          <w:color w:val="auto"/>
        </w:rPr>
      </w:pPr>
    </w:p>
    <w:p>
      <w:pPr>
        <w:ind w:left="1952" w:hanging="331"/>
        <w:spacing w:after="0"/>
        <w:tabs>
          <w:tab w:leader="none" w:pos="19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percentage royalty on sales;</w:t>
      </w:r>
    </w:p>
    <w:p>
      <w:pPr>
        <w:spacing w:after="0" w:line="9" w:lineRule="exact"/>
        <w:rPr>
          <w:rFonts w:ascii="Arial" w:cs="Arial" w:eastAsia="Arial" w:hAnsi="Arial"/>
          <w:sz w:val="18"/>
          <w:szCs w:val="18"/>
          <w:color w:val="auto"/>
        </w:rPr>
      </w:pPr>
    </w:p>
    <w:p>
      <w:pPr>
        <w:ind w:left="1952" w:hanging="331"/>
        <w:spacing w:after="0"/>
        <w:tabs>
          <w:tab w:leader="none" w:pos="19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adjustment for taxes;</w:t>
      </w:r>
    </w:p>
    <w:p>
      <w:pPr>
        <w:spacing w:after="0" w:line="9" w:lineRule="exact"/>
        <w:rPr>
          <w:rFonts w:ascii="Arial" w:cs="Arial" w:eastAsia="Arial" w:hAnsi="Arial"/>
          <w:sz w:val="18"/>
          <w:szCs w:val="18"/>
          <w:color w:val="auto"/>
        </w:rPr>
      </w:pPr>
    </w:p>
    <w:p>
      <w:pPr>
        <w:ind w:left="1952" w:hanging="331"/>
        <w:spacing w:after="0"/>
        <w:tabs>
          <w:tab w:leader="none" w:pos="19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remaining useful economic life;</w:t>
      </w:r>
    </w:p>
    <w:p>
      <w:pPr>
        <w:spacing w:after="0" w:line="9" w:lineRule="exact"/>
        <w:rPr>
          <w:rFonts w:ascii="Arial" w:cs="Arial" w:eastAsia="Arial" w:hAnsi="Arial"/>
          <w:sz w:val="18"/>
          <w:szCs w:val="18"/>
          <w:color w:val="auto"/>
        </w:rPr>
      </w:pPr>
    </w:p>
    <w:p>
      <w:pPr>
        <w:ind w:left="1952" w:hanging="331"/>
        <w:spacing w:after="0"/>
        <w:tabs>
          <w:tab w:leader="none" w:pos="19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percentage return on investment; and,</w:t>
      </w:r>
    </w:p>
    <w:p>
      <w:pPr>
        <w:spacing w:after="0" w:line="9" w:lineRule="exact"/>
        <w:rPr>
          <w:rFonts w:ascii="Arial" w:cs="Arial" w:eastAsia="Arial" w:hAnsi="Arial"/>
          <w:sz w:val="18"/>
          <w:szCs w:val="18"/>
          <w:color w:val="auto"/>
        </w:rPr>
      </w:pPr>
    </w:p>
    <w:p>
      <w:pPr>
        <w:ind w:left="1952" w:hanging="331"/>
        <w:spacing w:after="0"/>
        <w:tabs>
          <w:tab w:leader="none" w:pos="19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tax amortization benefit.</w:t>
      </w:r>
    </w:p>
    <w:p>
      <w:pPr>
        <w:spacing w:after="0" w:line="211" w:lineRule="exact"/>
        <w:rPr>
          <w:sz w:val="20"/>
          <w:szCs w:val="20"/>
          <w:color w:val="auto"/>
        </w:rPr>
      </w:pPr>
    </w:p>
    <w:p>
      <w:pPr>
        <w:jc w:val="both"/>
        <w:ind w:left="652"/>
        <w:spacing w:after="0" w:line="312" w:lineRule="auto"/>
        <w:rPr>
          <w:sz w:val="20"/>
          <w:szCs w:val="20"/>
          <w:color w:val="auto"/>
        </w:rPr>
      </w:pPr>
      <w:r>
        <w:rPr>
          <w:rFonts w:ascii="Arial" w:cs="Arial" w:eastAsia="Arial" w:hAnsi="Arial"/>
          <w:sz w:val="16"/>
          <w:szCs w:val="16"/>
          <w:color w:val="auto"/>
        </w:rPr>
        <w:t>During the fourth quarter of the fiscal year ended June 30, 2016, the fair value of the trademarks was determined to have inconsequential value based on the “relief from royalty” methodology. This assessment resulted in an impairment write-down during the fourth fiscal quarter of $432 thousand, which is included in “Impairment of intangible asset” in the Consolidated Statement of Operations for the fiscal year ended June 30, 2016.</w:t>
      </w:r>
    </w:p>
    <w:p>
      <w:pPr>
        <w:spacing w:after="0" w:line="147" w:lineRule="exact"/>
        <w:rPr>
          <w:sz w:val="20"/>
          <w:szCs w:val="20"/>
          <w:color w:val="auto"/>
        </w:rPr>
      </w:pPr>
    </w:p>
    <w:tbl>
      <w:tblPr>
        <w:tblLayout w:type="fixed"/>
        <w:tblInd w:w="1432"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color w:val="auto"/>
                <w:w w:val="98"/>
              </w:rPr>
              <w:t>At June 30, 2016, amortizable intangible asset balances were: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4900" w:type="dxa"/>
            <w:vAlign w:val="bottom"/>
          </w:tcPr>
          <w:p>
            <w:pPr>
              <w:spacing w:after="0"/>
              <w:rPr>
                <w:sz w:val="20"/>
                <w:szCs w:val="20"/>
                <w:color w:val="auto"/>
              </w:rPr>
            </w:pPr>
            <w:r>
              <w:rPr>
                <w:rFonts w:ascii="Arial" w:cs="Arial" w:eastAsia="Arial" w:hAnsi="Arial"/>
                <w:sz w:val="18"/>
                <w:szCs w:val="18"/>
                <w:color w:val="auto"/>
              </w:rPr>
              <w:t>($ in thousands)</w:t>
            </w: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Cost</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3"/>
              </w:rPr>
              <w:t>Net Book Value</w:t>
            </w: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Non-compete agreements</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w:t>
            </w:r>
          </w:p>
        </w:tc>
        <w:tc>
          <w:tcPr>
            <w:tcW w:w="44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w:t>
            </w:r>
          </w:p>
        </w:tc>
        <w:tc>
          <w:tcPr>
            <w:tcW w:w="5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Brand</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r>
      <w:tr>
        <w:trPr>
          <w:trHeight w:val="216"/>
        </w:trPr>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639</w:t>
            </w:r>
          </w:p>
        </w:tc>
        <w:tc>
          <w:tcPr>
            <w:tcW w:w="44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(63)</w:t>
            </w:r>
          </w:p>
        </w:tc>
        <w:tc>
          <w:tcPr>
            <w:tcW w:w="5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576</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4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r>
      <w:tr>
        <w:trPr>
          <w:trHeight w:val="241"/>
        </w:trPr>
        <w:tc>
          <w:tcPr>
            <w:tcW w:w="490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auto"/>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885</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44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top w:val="single" w:sz="8" w:color="F0FFFF"/>
              <w:bottom w:val="single" w:sz="8" w:color="F0FFFF"/>
            </w:tcBorders>
            <w:shd w:val="clear" w:color="auto" w:fill="F0FFFF"/>
          </w:tcPr>
          <w:p>
            <w:pPr>
              <w:jc w:val="right"/>
              <w:ind w:right="2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798</w:t>
            </w: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0"/>
        </w:trPr>
        <w:tc>
          <w:tcPr>
            <w:tcW w:w="49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44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bl>
    <w:p>
      <w:pPr>
        <w:spacing w:after="0" w:line="229" w:lineRule="exact"/>
        <w:rPr>
          <w:sz w:val="20"/>
          <w:szCs w:val="20"/>
          <w:color w:val="auto"/>
        </w:rPr>
      </w:pPr>
    </w:p>
    <w:p>
      <w:pPr>
        <w:ind w:left="1032"/>
        <w:spacing w:after="0"/>
        <w:rPr>
          <w:sz w:val="20"/>
          <w:szCs w:val="20"/>
          <w:color w:val="auto"/>
        </w:rPr>
      </w:pPr>
      <w:r>
        <w:rPr>
          <w:rFonts w:ascii="Arial" w:cs="Arial" w:eastAsia="Arial" w:hAnsi="Arial"/>
          <w:sz w:val="18"/>
          <w:szCs w:val="18"/>
          <w:color w:val="auto"/>
        </w:rPr>
        <w:t>There were no amortizable intangible assets at June 30, 2015.</w:t>
      </w:r>
    </w:p>
    <w:p>
      <w:pPr>
        <w:spacing w:after="0" w:line="252"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Estimated annual amortization expense for amortizable intangible assets is as follows:</w:t>
      </w:r>
    </w:p>
    <w:p>
      <w:pPr>
        <w:spacing w:after="0" w:line="240"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2580" w:type="dxa"/>
            <w:vAlign w:val="bottom"/>
            <w:shd w:val="clear" w:color="auto" w:fill="F0FFFF"/>
          </w:tcPr>
          <w:p>
            <w:pPr>
              <w:spacing w:after="0"/>
              <w:rPr>
                <w:sz w:val="20"/>
                <w:szCs w:val="20"/>
                <w:color w:val="auto"/>
              </w:rPr>
            </w:pPr>
            <w:r>
              <w:rPr>
                <w:rFonts w:ascii="Arial" w:cs="Arial" w:eastAsia="Arial" w:hAnsi="Arial"/>
                <w:sz w:val="18"/>
                <w:szCs w:val="18"/>
                <w:color w:val="auto"/>
              </w:rPr>
              <w:t>2017</w:t>
            </w:r>
          </w:p>
        </w:tc>
        <w:tc>
          <w:tcPr>
            <w:tcW w:w="2360" w:type="dxa"/>
            <w:vAlign w:val="bottom"/>
            <w:gridSpan w:val="2"/>
            <w:shd w:val="clear" w:color="auto" w:fill="F0FFFF"/>
          </w:tcPr>
          <w:p>
            <w:pPr>
              <w:jc w:val="right"/>
              <w:ind w:right="36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175</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2018</w:t>
            </w:r>
          </w:p>
        </w:tc>
        <w:tc>
          <w:tcPr>
            <w:tcW w:w="1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r>
      <w:tr>
        <w:trPr>
          <w:trHeight w:val="216"/>
        </w:trPr>
        <w:tc>
          <w:tcPr>
            <w:tcW w:w="2580" w:type="dxa"/>
            <w:vAlign w:val="bottom"/>
            <w:shd w:val="clear" w:color="auto" w:fill="F0FFFF"/>
          </w:tcPr>
          <w:p>
            <w:pPr>
              <w:spacing w:after="0"/>
              <w:rPr>
                <w:sz w:val="20"/>
                <w:szCs w:val="20"/>
                <w:color w:val="auto"/>
              </w:rPr>
            </w:pPr>
            <w:r>
              <w:rPr>
                <w:rFonts w:ascii="Arial" w:cs="Arial" w:eastAsia="Arial" w:hAnsi="Arial"/>
                <w:sz w:val="18"/>
                <w:szCs w:val="18"/>
                <w:color w:val="auto"/>
              </w:rPr>
              <w:t>2019</w:t>
            </w:r>
          </w:p>
        </w:tc>
        <w:tc>
          <w:tcPr>
            <w:tcW w:w="184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159</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2020</w:t>
            </w:r>
          </w:p>
        </w:tc>
        <w:tc>
          <w:tcPr>
            <w:tcW w:w="1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r>
      <w:tr>
        <w:trPr>
          <w:trHeight w:val="216"/>
        </w:trPr>
        <w:tc>
          <w:tcPr>
            <w:tcW w:w="2580" w:type="dxa"/>
            <w:vAlign w:val="bottom"/>
            <w:shd w:val="clear" w:color="auto" w:fill="F0FFFF"/>
          </w:tcPr>
          <w:p>
            <w:pPr>
              <w:spacing w:after="0"/>
              <w:rPr>
                <w:sz w:val="20"/>
                <w:szCs w:val="20"/>
                <w:color w:val="auto"/>
              </w:rPr>
            </w:pPr>
            <w:r>
              <w:rPr>
                <w:rFonts w:ascii="Arial" w:cs="Arial" w:eastAsia="Arial" w:hAnsi="Arial"/>
                <w:sz w:val="18"/>
                <w:szCs w:val="18"/>
                <w:color w:val="auto"/>
              </w:rPr>
              <w:t>2021</w:t>
            </w:r>
          </w:p>
        </w:tc>
        <w:tc>
          <w:tcPr>
            <w:tcW w:w="184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F0FFFF"/>
          </w:tcPr>
          <w:p>
            <w:pPr>
              <w:spacing w:after="0"/>
              <w:rPr>
                <w:sz w:val="18"/>
                <w:szCs w:val="18"/>
                <w:color w:val="auto"/>
              </w:rPr>
            </w:pPr>
          </w:p>
        </w:tc>
      </w:tr>
      <w:tr>
        <w:trPr>
          <w:trHeight w:val="223"/>
        </w:trPr>
        <w:tc>
          <w:tcPr>
            <w:tcW w:w="258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Thereafter</w:t>
            </w:r>
          </w:p>
        </w:tc>
        <w:tc>
          <w:tcPr>
            <w:tcW w:w="1840" w:type="dxa"/>
            <w:vAlign w:val="bottom"/>
            <w:tcBorders>
              <w:bottom w:val="single" w:sz="8" w:color="F0FF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60" w:type="dxa"/>
            <w:vAlign w:val="bottom"/>
            <w:tcBorders>
              <w:bottom w:val="single" w:sz="8" w:color="F0FFFF"/>
            </w:tcBorders>
          </w:tcPr>
          <w:p>
            <w:pPr>
              <w:spacing w:after="0"/>
              <w:rPr>
                <w:sz w:val="19"/>
                <w:szCs w:val="19"/>
                <w:color w:val="auto"/>
              </w:rPr>
            </w:pPr>
          </w:p>
        </w:tc>
      </w:tr>
      <w:tr>
        <w:trPr>
          <w:trHeight w:val="230"/>
        </w:trPr>
        <w:tc>
          <w:tcPr>
            <w:tcW w:w="2580" w:type="dxa"/>
            <w:vAlign w:val="bottom"/>
            <w:tcBorders>
              <w:bottom w:val="single" w:sz="8" w:color="F0FFFF"/>
            </w:tcBorders>
            <w:shd w:val="clear" w:color="auto" w:fill="F0FFFF"/>
          </w:tcPr>
          <w:p>
            <w:pPr>
              <w:spacing w:after="0"/>
              <w:rPr>
                <w:sz w:val="19"/>
                <w:szCs w:val="19"/>
                <w:color w:val="auto"/>
              </w:rPr>
            </w:pPr>
          </w:p>
        </w:tc>
        <w:tc>
          <w:tcPr>
            <w:tcW w:w="1840" w:type="dxa"/>
            <w:vAlign w:val="bottom"/>
            <w:tcBorders>
              <w:bottom w:val="single" w:sz="8" w:color="F0FFFF"/>
            </w:tcBorders>
            <w:shd w:val="clear" w:color="auto" w:fill="F0FFFF"/>
          </w:tcPr>
          <w:p>
            <w:pPr>
              <w:spacing w:after="0"/>
              <w:rPr>
                <w:sz w:val="19"/>
                <w:szCs w:val="19"/>
                <w:color w:val="auto"/>
              </w:rPr>
            </w:pPr>
          </w:p>
        </w:tc>
        <w:tc>
          <w:tcPr>
            <w:tcW w:w="520" w:type="dxa"/>
            <w:vAlign w:val="bottom"/>
            <w:tcBorders>
              <w:bottom w:val="single" w:sz="8" w:color="auto"/>
            </w:tcBorders>
            <w:shd w:val="clear" w:color="auto" w:fill="F0FFFF"/>
          </w:tcPr>
          <w:p>
            <w:pPr>
              <w:jc w:val="right"/>
              <w:ind w:right="3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798</w:t>
            </w:r>
          </w:p>
        </w:tc>
        <w:tc>
          <w:tcPr>
            <w:tcW w:w="60" w:type="dxa"/>
            <w:vAlign w:val="bottom"/>
            <w:tcBorders>
              <w:bottom w:val="single" w:sz="8" w:color="F0FFFF"/>
            </w:tcBorders>
            <w:shd w:val="clear" w:color="auto" w:fill="F0FFFF"/>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8. ACCRUED EXPENSES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14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June 30,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June 30,</w:t>
            </w:r>
          </w:p>
        </w:tc>
      </w:tr>
      <w:tr>
        <w:trPr>
          <w:trHeight w:val="237"/>
        </w:trPr>
        <w:tc>
          <w:tcPr>
            <w:tcW w:w="144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 in thousands)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420" w:type="dxa"/>
            <w:vAlign w:val="bottom"/>
            <w:shd w:val="clear" w:color="auto" w:fill="F0FFFF"/>
          </w:tcPr>
          <w:p>
            <w:pPr>
              <w:spacing w:after="0"/>
              <w:rPr>
                <w:sz w:val="20"/>
                <w:szCs w:val="20"/>
                <w:color w:val="auto"/>
              </w:rPr>
            </w:pPr>
            <w:r>
              <w:rPr>
                <w:rFonts w:ascii="Arial" w:cs="Arial" w:eastAsia="Arial" w:hAnsi="Arial"/>
                <w:sz w:val="18"/>
                <w:szCs w:val="18"/>
                <w:color w:val="auto"/>
              </w:rPr>
              <w:t>Accrued compensation and related sales commissions</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1,268</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673</w:t>
            </w:r>
          </w:p>
        </w:tc>
      </w:tr>
      <w:tr>
        <w:trPr>
          <w:trHeight w:val="216"/>
        </w:trPr>
        <w:tc>
          <w:tcPr>
            <w:tcW w:w="144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809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r>
      <w:tr>
        <w:trPr>
          <w:trHeight w:val="216"/>
        </w:trPr>
        <w:tc>
          <w:tcPr>
            <w:tcW w:w="1440" w:type="dxa"/>
            <w:vAlign w:val="bottom"/>
          </w:tcPr>
          <w:p>
            <w:pPr>
              <w:spacing w:after="0"/>
              <w:rPr>
                <w:sz w:val="18"/>
                <w:szCs w:val="18"/>
                <w:color w:val="auto"/>
              </w:rPr>
            </w:pPr>
          </w:p>
        </w:tc>
        <w:tc>
          <w:tcPr>
            <w:tcW w:w="6420" w:type="dxa"/>
            <w:vAlign w:val="bottom"/>
            <w:shd w:val="clear" w:color="auto" w:fill="F0FFFF"/>
          </w:tcPr>
          <w:p>
            <w:pPr>
              <w:spacing w:after="0"/>
              <w:rPr>
                <w:sz w:val="20"/>
                <w:szCs w:val="20"/>
                <w:color w:val="auto"/>
              </w:rPr>
            </w:pPr>
            <w:r>
              <w:rPr>
                <w:rFonts w:ascii="Arial" w:cs="Arial" w:eastAsia="Arial" w:hAnsi="Arial"/>
                <w:sz w:val="18"/>
                <w:szCs w:val="18"/>
                <w:color w:val="auto"/>
              </w:rPr>
              <w:t>Accrued taxes and filing fees</w:t>
            </w:r>
          </w:p>
        </w:tc>
        <w:tc>
          <w:tcPr>
            <w:tcW w:w="1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795</w:t>
            </w: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505</w:t>
            </w:r>
          </w:p>
        </w:tc>
      </w:tr>
      <w:tr>
        <w:trPr>
          <w:trHeight w:val="216"/>
        </w:trPr>
        <w:tc>
          <w:tcPr>
            <w:tcW w:w="144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Advanced customer billings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r>
      <w:tr>
        <w:trPr>
          <w:trHeight w:val="216"/>
        </w:trPr>
        <w:tc>
          <w:tcPr>
            <w:tcW w:w="1440" w:type="dxa"/>
            <w:vAlign w:val="bottom"/>
          </w:tcPr>
          <w:p>
            <w:pPr>
              <w:spacing w:after="0"/>
              <w:rPr>
                <w:sz w:val="18"/>
                <w:szCs w:val="18"/>
                <w:color w:val="auto"/>
              </w:rPr>
            </w:pPr>
          </w:p>
        </w:tc>
        <w:tc>
          <w:tcPr>
            <w:tcW w:w="6420" w:type="dxa"/>
            <w:vAlign w:val="bottom"/>
            <w:shd w:val="clear" w:color="auto" w:fill="F0FFFF"/>
          </w:tcPr>
          <w:p>
            <w:pPr>
              <w:spacing w:after="0"/>
              <w:rPr>
                <w:sz w:val="20"/>
                <w:szCs w:val="20"/>
                <w:color w:val="auto"/>
              </w:rPr>
            </w:pPr>
            <w:r>
              <w:rPr>
                <w:rFonts w:ascii="Arial" w:cs="Arial" w:eastAsia="Arial" w:hAnsi="Arial"/>
                <w:sz w:val="18"/>
                <w:szCs w:val="18"/>
                <w:color w:val="auto"/>
              </w:rPr>
              <w:t>Accrued rent</w:t>
            </w:r>
          </w:p>
        </w:tc>
        <w:tc>
          <w:tcPr>
            <w:tcW w:w="1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75</w:t>
            </w:r>
          </w:p>
        </w:tc>
      </w:tr>
      <w:tr>
        <w:trPr>
          <w:trHeight w:val="237"/>
        </w:trPr>
        <w:tc>
          <w:tcPr>
            <w:tcW w:w="144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Accrued other</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r>
      <w:tr>
        <w:trPr>
          <w:trHeight w:val="216"/>
        </w:trPr>
        <w:tc>
          <w:tcPr>
            <w:tcW w:w="1440" w:type="dxa"/>
            <w:vAlign w:val="bottom"/>
          </w:tcPr>
          <w:p>
            <w:pPr>
              <w:spacing w:after="0"/>
              <w:rPr>
                <w:sz w:val="18"/>
                <w:szCs w:val="18"/>
                <w:color w:val="auto"/>
              </w:rPr>
            </w:pPr>
          </w:p>
        </w:tc>
        <w:tc>
          <w:tcPr>
            <w:tcW w:w="64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2,157</w:t>
            </w:r>
          </w:p>
        </w:tc>
        <w:tc>
          <w:tcPr>
            <w:tcW w:w="80" w:type="dxa"/>
            <w:vAlign w:val="bottom"/>
            <w:tcBorders>
              <w:top w:val="single" w:sz="8" w:color="F0FFFF"/>
            </w:tcBorders>
            <w:shd w:val="clear" w:color="auto" w:fill="F0FFFF"/>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(3,458)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(2,108)</w:t>
            </w:r>
          </w:p>
        </w:tc>
      </w:tr>
      <w:tr>
        <w:trPr>
          <w:trHeight w:val="241"/>
        </w:trPr>
        <w:tc>
          <w:tcPr>
            <w:tcW w:w="1440" w:type="dxa"/>
            <w:vAlign w:val="bottom"/>
          </w:tcPr>
          <w:p>
            <w:pPr>
              <w:spacing w:after="0"/>
              <w:rPr>
                <w:sz w:val="20"/>
                <w:szCs w:val="20"/>
                <w:color w:val="auto"/>
              </w:rPr>
            </w:pPr>
          </w:p>
        </w:tc>
        <w:tc>
          <w:tcPr>
            <w:tcW w:w="64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4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0"/>
        </w:trPr>
        <w:tc>
          <w:tcPr>
            <w:tcW w:w="1440" w:type="dxa"/>
            <w:vAlign w:val="bottom"/>
          </w:tcPr>
          <w:p>
            <w:pPr>
              <w:spacing w:after="0" w:line="20" w:lineRule="exact"/>
              <w:rPr>
                <w:sz w:val="1"/>
                <w:szCs w:val="1"/>
                <w:color w:val="auto"/>
              </w:rPr>
            </w:pPr>
          </w:p>
        </w:tc>
        <w:tc>
          <w:tcPr>
            <w:tcW w:w="64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LINE OF CREDIT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January 15, 2016, the Company and Avidbank Corporate Finance, a division of Avidbank (“Avidbank”) entered into a Fifteenth Amendment (the “Amendment”) to the Loan and Security Agreement (as amended, the “Avidbank Loan Agreement”) previously entered into between them. The Avidbank Loan Agreement provided for a secured asset-based revolving line of credit facility (the “Avidbank Line of Credit”) of up to $7.0 million. The outstanding balance of the amounts advanced under the Avidbank Line of Credit bear interest at 2% above the prime rate as published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five percent (5%), whichever is higher. Avidbank also made a three-year term loan to the Company in the principal amount of $3.0 million (the “Term Loan”). The Term Loan was used by the Company to repay to Avidbank an advance that had been made to the Company under the Avidbank Line of Credit in December 2015, and which had been used by the Company to pay for the VendScreen business. The Term Loan provides that interest only is payable monthly during year one, interest and principal is payable monthly during years two and three, and all outstanding principal and accrued interest is due and payable on the third anniversary of the Term Loan. The Term Loan bears interest at an annual rate equal to 1.75% above the prime rate as published from time to time by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Wall Street Journal</w:t>
      </w:r>
      <w:r>
        <w:rPr>
          <w:rFonts w:ascii="Arial" w:cs="Arial" w:eastAsia="Arial" w:hAnsi="Arial"/>
          <w:sz w:val="17"/>
          <w:szCs w:val="17"/>
          <w:color w:val="auto"/>
        </w:rPr>
        <w:t>, or five percent (5%), whichever is higher. The Amendment increased the amount available under the Avidbank Line of Credit to $7.5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less the amount then outstanding under the Term Loan.</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29, 2016, the Company entered into a Loan and Security Agreement and other ancillary documents (the “Heritage Loan Documents”) with Heritage Bank of Commerce (“Heritage Bank”), providing for a secured asset-based revolving line of credit in an amount of up to $12.0 million (the “Heritage Line of Credit”).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utilized approximately $7.0 million under the Heritage Line of Credit to satisfy the existing Avidbank Line of Credit and related Term Loan, and approximately $80 thousand under the Heritage Line of Credit to pay closing fees, recorded as a debt discount, of Heritage Bank. The amount of advances remaining available to the Company under the Heritage Line of Credit as of June 30, 2016 was approximately $4.8 million.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Heritage Loan Documents provide that the aggregate amount of advances under the Heritage Line of Credit shall not exceed the lesser of (i) $12.0 million, or (ii) eighty-five percent (85%) of license and transaction fee revenue (as is reflected as such in the Company’s consolidated statement of operations) for the preceding three (3) calendar months.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LINE OF CREDIT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outstanding daily balance of the amounts advanced under the Heritage Line of Credit will bear interest at 2.25% above the prime rate as published from time to time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At June 30, 2016, this prime rate was 3.50%. Interest is payable by the Company to Heritage Bank on a monthly basis.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Heritage Line of Credit and the Company’s obligations under the Heritage Loan Documents are secured by substantially all of the Company’s assets, including its intellectual property.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maturity date of the Heritage Line of Credit is March 29, 2017. At the time of maturity, all outstanding advances under the Heritage Line of Credit as well as any unpaid interest are due and payable. Prior to maturity of the Heritage Line of Credit, the Company may prepay amounts due under the Heritage Line of Credit without penalty, and subject to the terms of the Heritage Loan Documents, may re-borrow any such amounts.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Heritage Loan Documents contain customary representations and warranties and affirmative and negative covenants applicable to the Company. The Heritage Loan Documents also require the Company to achieve a minimum Adjusted EBITDA, as defined in the Heritage Loan Documents, measured on a quarterly basis. The Heritage Loan Documents also require that the number of the Company’s connections as of the end of each fiscal quarter shall not decrease by more than five percent as compared to the number of the Company’s connections as of the end of the immediately prior fiscal quarter. As of June 30, 2016, the Company was not in compliance with the minimum Adjusted EBITDA provision of the debt covenant. The Company received a waiver from its bank for the covenant default.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Heritage Loan Documents also contain customary events of default, including, among other things, payment defaults, breaches of covenants, and bankruptcy and insolvency events, subject to grace periods in certain instances. Upon an event of default, Heritage Bank may declare all of the outstanding obligations of the Company under the Heritage Line of Credit and Heritage Loan Documents to be immediately due and payable, and exercise any other rights provided for under the Heritage Loan Documents, including foreclosing on the collateral securing the Heritage Loan Documents. In connection with the Heritage Loan Documents, the Company issued to Heritage Bank warrants to purchase up to 23,978 shares of common stock of the Company at an exercise price of $5.00 per share. The warrants are exercisable at any time through March 29, 2021 subject to earlier termination in the event of a business combination (as defined in the Heritage Loan Documents).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warrants of $52 thousand was charged against the current obligation under the line of credit and amortized as interest expense on a straight-line basis over 12 months. The Black-Sholes method was used to calculate fair value of the warrants.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balance due on the Heritage line of credit was $7.2 million at June 30, 2016 and the balance due on the Avidbank line of credit was $4.0 million at June 30, 2015. As of June 30, 2016, $4.8 million was available under our line of credit.</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5"/>
          </w:tcPr>
          <w:p>
            <w:pPr>
              <w:jc w:val="right"/>
              <w:ind w:right="760"/>
              <w:spacing w:after="0"/>
              <w:rPr>
                <w:sz w:val="20"/>
                <w:szCs w:val="20"/>
                <w:color w:val="auto"/>
              </w:rPr>
            </w:pPr>
            <w:r>
              <w:rPr>
                <w:rFonts w:ascii="Arial" w:cs="Arial" w:eastAsia="Arial" w:hAnsi="Arial"/>
                <w:sz w:val="18"/>
                <w:szCs w:val="18"/>
                <w:color w:val="auto"/>
              </w:rPr>
              <w:t>For year ended</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r>
              <w:rPr>
                <w:rFonts w:ascii="Arial" w:cs="Arial" w:eastAsia="Arial" w:hAnsi="Arial"/>
                <w:sz w:val="18"/>
                <w:szCs w:val="18"/>
                <w:color w:val="auto"/>
              </w:rPr>
              <w:t>($ in thousands)</w:t>
            </w:r>
          </w:p>
        </w:tc>
        <w:tc>
          <w:tcPr>
            <w:tcW w:w="1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F0FFFF"/>
            </w:tcBorders>
          </w:tcPr>
          <w:p>
            <w:pPr>
              <w:spacing w:after="0"/>
              <w:rPr>
                <w:sz w:val="20"/>
                <w:szCs w:val="20"/>
                <w:color w:val="auto"/>
              </w:rPr>
            </w:pPr>
          </w:p>
        </w:tc>
        <w:tc>
          <w:tcPr>
            <w:tcW w:w="130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F0FFFF"/>
          </w:tcPr>
          <w:p>
            <w:pPr>
              <w:spacing w:after="0"/>
              <w:rPr>
                <w:sz w:val="20"/>
                <w:szCs w:val="20"/>
                <w:color w:val="auto"/>
              </w:rPr>
            </w:pPr>
            <w:r>
              <w:rPr>
                <w:rFonts w:ascii="Arial" w:cs="Arial" w:eastAsia="Arial" w:hAnsi="Arial"/>
                <w:sz w:val="18"/>
                <w:szCs w:val="18"/>
                <w:color w:val="auto"/>
              </w:rPr>
              <w:t>Principal balance at period-end</w:t>
            </w:r>
          </w:p>
        </w:tc>
        <w:tc>
          <w:tcPr>
            <w:tcW w:w="130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7,217</w:t>
            </w:r>
          </w:p>
        </w:tc>
        <w:tc>
          <w:tcPr>
            <w:tcW w:w="24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Unamortized discount</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48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Line of credit, net</w:t>
            </w:r>
          </w:p>
        </w:tc>
        <w:tc>
          <w:tcPr>
            <w:tcW w:w="130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7,119</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Maximum amount outstanding at any month end</w:t>
            </w:r>
          </w:p>
        </w:tc>
        <w:tc>
          <w:tcPr>
            <w:tcW w:w="1300" w:type="dxa"/>
            <w:vAlign w:val="bottom"/>
            <w:tcBorders>
              <w:top w:val="single" w:sz="8" w:color="F0FFFF"/>
              <w:bottom w:val="single" w:sz="8" w:color="F0FFFF"/>
            </w:tcBorders>
            <w:vMerge w:val="restart"/>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bottom w:val="single" w:sz="8" w:color="F0FFFF"/>
            </w:tcBorders>
            <w:vMerge w:val="restart"/>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7,217</w:t>
            </w:r>
          </w:p>
        </w:tc>
        <w:tc>
          <w:tcPr>
            <w:tcW w:w="240" w:type="dxa"/>
            <w:vAlign w:val="bottom"/>
            <w:vMerge w:val="continue"/>
          </w:tcPr>
          <w:p>
            <w:pPr>
              <w:spacing w:after="0"/>
              <w:rPr>
                <w:sz w:val="16"/>
                <w:szCs w:val="16"/>
                <w:color w:val="auto"/>
              </w:rPr>
            </w:pPr>
          </w:p>
        </w:tc>
        <w:tc>
          <w:tcPr>
            <w:tcW w:w="260" w:type="dxa"/>
            <w:vAlign w:val="bottom"/>
          </w:tcPr>
          <w:p>
            <w:pPr>
              <w:jc w:val="right"/>
              <w:ind w:right="70"/>
              <w:spacing w:after="0" w:line="190"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5,000</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F0FFFF"/>
          </w:tcPr>
          <w:p>
            <w:pPr>
              <w:spacing w:after="0"/>
              <w:rPr>
                <w:sz w:val="20"/>
                <w:szCs w:val="20"/>
                <w:color w:val="auto"/>
              </w:rPr>
            </w:pPr>
            <w:r>
              <w:rPr>
                <w:rFonts w:ascii="Arial" w:cs="Arial" w:eastAsia="Arial" w:hAnsi="Arial"/>
                <w:sz w:val="18"/>
                <w:szCs w:val="18"/>
                <w:color w:val="auto"/>
              </w:rPr>
              <w:t>Average balance outstanding during the period</w:t>
            </w:r>
          </w:p>
        </w:tc>
        <w:tc>
          <w:tcPr>
            <w:tcW w:w="150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4,959</w:t>
            </w: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Weighted-average interest rate: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F0FFFF"/>
          </w:tcPr>
          <w:p>
            <w:pPr>
              <w:ind w:left="480"/>
              <w:spacing w:after="0"/>
              <w:rPr>
                <w:sz w:val="20"/>
                <w:szCs w:val="20"/>
                <w:color w:val="auto"/>
              </w:rPr>
            </w:pPr>
            <w:r>
              <w:rPr>
                <w:rFonts w:ascii="Arial" w:cs="Arial" w:eastAsia="Arial" w:hAnsi="Arial"/>
                <w:sz w:val="18"/>
                <w:szCs w:val="18"/>
                <w:color w:val="auto"/>
              </w:rPr>
              <w:t>As of the period-end</w:t>
            </w:r>
          </w:p>
        </w:tc>
        <w:tc>
          <w:tcPr>
            <w:tcW w:w="13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800" w:type="dxa"/>
            <w:vAlign w:val="bottom"/>
          </w:tcPr>
          <w:p>
            <w:pPr>
              <w:ind w:left="480"/>
              <w:spacing w:after="0"/>
              <w:rPr>
                <w:sz w:val="20"/>
                <w:szCs w:val="20"/>
                <w:color w:val="auto"/>
              </w:rPr>
            </w:pPr>
            <w:r>
              <w:rPr>
                <w:rFonts w:ascii="Arial" w:cs="Arial" w:eastAsia="Arial" w:hAnsi="Arial"/>
                <w:sz w:val="18"/>
                <w:szCs w:val="18"/>
                <w:color w:val="auto"/>
              </w:rPr>
              <w:t>Paid during the period</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expense on the Line of Credit was approximately $260 thousand, $211 thousand and $221 thousand during each of the years ended June 30, 2016, 2015 and 2014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ASSIGNMENT OF QUICKSTART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and May 2015, the Company assigned its interest in certain finance receivables (various 60 month QuickStart leases) to third-party finance companies in exchange for cash and the assumption of financing obligations in the aggregate of $1.8 million and $304 thousand, respectively. These assignment transactions contain recourse provisions for the Company which requires the proceeds from the assignment to be treated as long-term debt. The financing obligations range in rate from 9.4% to 9.5%.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 OBLIGATIONS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periodically enters into capital lease obligations to finance certain office and network equipment for use in its daily operations. During the year periods ended June 30, 2016, 2015 and 2014, the Company entered into capital lease obligations of $444 thousand, $108 thousand and $325 thousand, respectively. The interest rates on these obligations ranged from approximately 5.6% to 9.0%. The lease terms range from 2 to 5 years. The value of the acquired equipment is included in property and equipment and depreciated over the applicable estimated useful lives accordingly.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long-term debt as of June 30, 2016 and June 30, 2015 are shown in the table below.</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June 30,</w:t>
            </w:r>
          </w:p>
        </w:tc>
        <w:tc>
          <w:tcPr>
            <w:tcW w:w="24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398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Assignment of QuickStart Leases</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2,205</w:t>
            </w: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2,332</w:t>
            </w:r>
          </w:p>
        </w:tc>
        <w:tc>
          <w:tcPr>
            <w:tcW w:w="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629</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96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1,854</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maturities of long-term debt for each of the fiscal years following June 30, 2016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jc w:val="right"/>
              <w:ind w:right="2710"/>
              <w:spacing w:after="0"/>
              <w:rPr>
                <w:sz w:val="20"/>
                <w:szCs w:val="20"/>
                <w:color w:val="auto"/>
              </w:rPr>
            </w:pPr>
            <w:r>
              <w:rPr>
                <w:rFonts w:ascii="Arial" w:cs="Arial" w:eastAsia="Arial" w:hAnsi="Arial"/>
                <w:sz w:val="18"/>
                <w:szCs w:val="18"/>
                <w:color w:val="auto"/>
                <w:w w:val="88"/>
              </w:rPr>
              <w:t>($ in thousands)</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F0FFFF"/>
          </w:tcPr>
          <w:p>
            <w:pPr>
              <w:jc w:val="right"/>
              <w:ind w:right="3330"/>
              <w:spacing w:after="0"/>
              <w:rPr>
                <w:sz w:val="20"/>
                <w:szCs w:val="20"/>
                <w:color w:val="auto"/>
              </w:rPr>
            </w:pPr>
            <w:r>
              <w:rPr>
                <w:rFonts w:ascii="Arial" w:cs="Arial" w:eastAsia="Arial" w:hAnsi="Arial"/>
                <w:sz w:val="18"/>
                <w:szCs w:val="18"/>
                <w:color w:val="auto"/>
              </w:rPr>
              <w:t>2017</w:t>
            </w:r>
          </w:p>
        </w:tc>
        <w:tc>
          <w:tcPr>
            <w:tcW w:w="400" w:type="dxa"/>
            <w:vAlign w:val="bottom"/>
            <w:gridSpan w:val="2"/>
            <w:shd w:val="clear" w:color="auto" w:fill="F0FFFF"/>
          </w:tcPr>
          <w:p>
            <w:pPr>
              <w:jc w:val="right"/>
              <w:ind w:right="225"/>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jc w:val="right"/>
              <w:ind w:right="333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F0FFFF"/>
          </w:tcPr>
          <w:p>
            <w:pPr>
              <w:jc w:val="right"/>
              <w:ind w:right="3330"/>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jc w:val="right"/>
              <w:ind w:right="333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shd w:val="clear" w:color="auto" w:fill="F0FFFF"/>
          </w:tcPr>
          <w:p>
            <w:pPr>
              <w:jc w:val="right"/>
              <w:ind w:right="333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7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fair value hierarchy described in Note 2, the following table shows the fair value of the Company’s financial instruments that are required to be measured at fair value as of June 30, 2016 and 2015:</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in thousands)</w:t>
      </w:r>
    </w:p>
    <w:p>
      <w:pPr>
        <w:spacing w:after="0" w:line="23" w:lineRule="exact"/>
        <w:rPr>
          <w:sz w:val="20"/>
          <w:szCs w:val="20"/>
          <w:color w:val="auto"/>
        </w:rPr>
      </w:pPr>
    </w:p>
    <w:p>
      <w:pPr>
        <w:ind w:left="300"/>
        <w:spacing w:after="0"/>
        <w:tabs>
          <w:tab w:leader="none" w:pos="5540" w:val="left"/>
          <w:tab w:leader="none" w:pos="7060" w:val="left"/>
          <w:tab w:leader="none" w:pos="8560" w:val="left"/>
          <w:tab w:leader="none" w:pos="10160" w:val="left"/>
        </w:tabs>
        <w:rPr>
          <w:sz w:val="20"/>
          <w:szCs w:val="20"/>
          <w:color w:val="auto"/>
        </w:rPr>
      </w:pPr>
      <w:r>
        <w:rPr>
          <w:rFonts w:ascii="Arial" w:cs="Arial" w:eastAsia="Arial" w:hAnsi="Arial"/>
          <w:sz w:val="18"/>
          <w:szCs w:val="18"/>
          <w:color w:val="auto"/>
        </w:rPr>
        <w:t>June 30, 2016</w:t>
      </w:r>
      <w:r>
        <w:rPr>
          <w:sz w:val="20"/>
          <w:szCs w:val="20"/>
          <w:color w:val="auto"/>
        </w:rPr>
        <w:tab/>
      </w: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680910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25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warrant liability, 2.2 million warrants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-114300</wp:posOffset>
            </wp:positionV>
            <wp:extent cx="6877685"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77685" cy="274320"/>
                    </a:xfrm>
                    <a:prstGeom prst="rect">
                      <a:avLst/>
                    </a:prstGeom>
                    <a:noFill/>
                  </pic:spPr>
                </pic:pic>
              </a:graphicData>
            </a:graphic>
          </wp:anchor>
        </w:drawing>
      </w:r>
    </w:p>
    <w:p>
      <w:pPr>
        <w:spacing w:after="0" w:line="15" w:lineRule="exact"/>
        <w:rPr>
          <w:sz w:val="20"/>
          <w:szCs w:val="20"/>
          <w:color w:val="auto"/>
        </w:rPr>
      </w:pPr>
    </w:p>
    <w:p>
      <w:pPr>
        <w:ind w:left="300"/>
        <w:spacing w:after="0"/>
        <w:tabs>
          <w:tab w:leader="none" w:pos="5160" w:val="left"/>
        </w:tabs>
        <w:rPr>
          <w:sz w:val="20"/>
          <w:szCs w:val="20"/>
          <w:color w:val="auto"/>
        </w:rPr>
      </w:pPr>
      <w:r>
        <w:rPr>
          <w:rFonts w:ascii="Arial" w:cs="Arial" w:eastAsia="Arial" w:hAnsi="Arial"/>
          <w:sz w:val="16"/>
          <w:szCs w:val="16"/>
          <w:color w:val="auto"/>
        </w:rPr>
        <w:t>at $2.6058 from September 17, 2011 through September 17, 2016</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tabs>
          <w:tab w:leader="none" w:pos="260" w:val="left"/>
          <w:tab w:leader="none" w:pos="1500" w:val="left"/>
          <w:tab w:leader="none" w:pos="1780" w:val="left"/>
          <w:tab w:leader="none" w:pos="2660" w:val="left"/>
          <w:tab w:leader="none" w:pos="3280" w:val="left"/>
          <w:tab w:leader="none" w:pos="418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3,739</w:t>
        <w:tab/>
        <w:t>$</w:t>
      </w:r>
      <w:r>
        <w:rPr>
          <w:sz w:val="20"/>
          <w:szCs w:val="20"/>
          <w:color w:val="auto"/>
        </w:rPr>
        <w:tab/>
      </w:r>
      <w:r>
        <w:rPr>
          <w:rFonts w:ascii="Arial" w:cs="Arial" w:eastAsia="Arial" w:hAnsi="Arial"/>
          <w:sz w:val="15"/>
          <w:szCs w:val="15"/>
          <w:color w:val="auto"/>
        </w:rPr>
        <w:t>3,739</w:t>
      </w:r>
    </w:p>
    <w:p>
      <w:pPr>
        <w:spacing w:after="0" w:line="202" w:lineRule="exact"/>
        <w:rPr>
          <w:sz w:val="20"/>
          <w:szCs w:val="20"/>
          <w:color w:val="auto"/>
        </w:rPr>
      </w:pPr>
    </w:p>
    <w:p>
      <w:pPr>
        <w:sectPr>
          <w:pgSz w:w="11900" w:h="16838" w:orient="portrait"/>
          <w:cols w:equalWidth="0" w:num="2">
            <w:col w:w="5700" w:space="720"/>
            <w:col w:w="5000"/>
          </w:cols>
          <w:pgMar w:left="240" w:top="904" w:right="239" w:bottom="1440" w:gutter="0" w:footer="0" w:header="0"/>
          <w:type w:val="continuous"/>
        </w:sectPr>
      </w:pPr>
    </w:p>
    <w:p>
      <w:pPr>
        <w:spacing w:after="0" w:line="265" w:lineRule="exact"/>
        <w:rPr>
          <w:sz w:val="20"/>
          <w:szCs w:val="20"/>
          <w:color w:val="auto"/>
        </w:rPr>
      </w:pPr>
    </w:p>
    <w:p>
      <w:pPr>
        <w:ind w:left="300"/>
        <w:spacing w:after="0"/>
        <w:tabs>
          <w:tab w:leader="none" w:pos="5600" w:val="left"/>
          <w:tab w:leader="none" w:pos="7120" w:val="left"/>
          <w:tab w:leader="none" w:pos="8620" w:val="left"/>
          <w:tab w:leader="none" w:pos="10220" w:val="left"/>
        </w:tabs>
        <w:rPr>
          <w:sz w:val="20"/>
          <w:szCs w:val="20"/>
          <w:color w:val="auto"/>
        </w:rPr>
      </w:pPr>
      <w:r>
        <w:rPr>
          <w:rFonts w:ascii="Arial" w:cs="Arial" w:eastAsia="Arial" w:hAnsi="Arial"/>
          <w:sz w:val="18"/>
          <w:szCs w:val="18"/>
          <w:color w:val="auto"/>
        </w:rPr>
        <w:t>June 30, 2015</w:t>
      </w:r>
      <w:r>
        <w:rPr>
          <w:sz w:val="20"/>
          <w:szCs w:val="20"/>
          <w:color w:val="auto"/>
        </w:rPr>
        <w:tab/>
      </w: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31750</wp:posOffset>
            </wp:positionV>
            <wp:extent cx="680910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p>
      <w:pPr>
        <w:spacing w:after="0" w:line="27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warrant liability, 3.9 million warrants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-114300</wp:posOffset>
            </wp:positionV>
            <wp:extent cx="6877685"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77685" cy="274320"/>
                    </a:xfrm>
                    <a:prstGeom prst="rect">
                      <a:avLst/>
                    </a:prstGeom>
                    <a:noFill/>
                  </pic:spPr>
                </pic:pic>
              </a:graphicData>
            </a:graphic>
          </wp:anchor>
        </w:drawing>
      </w:r>
    </w:p>
    <w:p>
      <w:pPr>
        <w:spacing w:after="0" w:line="15" w:lineRule="exact"/>
        <w:rPr>
          <w:sz w:val="20"/>
          <w:szCs w:val="20"/>
          <w:color w:val="auto"/>
        </w:rPr>
      </w:pPr>
    </w:p>
    <w:p>
      <w:pPr>
        <w:ind w:left="300"/>
        <w:spacing w:after="0"/>
        <w:tabs>
          <w:tab w:leader="none" w:pos="5160" w:val="left"/>
        </w:tabs>
        <w:rPr>
          <w:sz w:val="20"/>
          <w:szCs w:val="20"/>
          <w:color w:val="auto"/>
        </w:rPr>
      </w:pPr>
      <w:r>
        <w:rPr>
          <w:rFonts w:ascii="Arial" w:cs="Arial" w:eastAsia="Arial" w:hAnsi="Arial"/>
          <w:sz w:val="16"/>
          <w:szCs w:val="16"/>
          <w:color w:val="auto"/>
        </w:rPr>
        <w:t>at $2.6058 from September 17, 2011 through September 17, 2016</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tabs>
          <w:tab w:leader="none" w:pos="260" w:val="left"/>
          <w:tab w:leader="none" w:pos="1500" w:val="left"/>
          <w:tab w:leader="none" w:pos="1780" w:val="left"/>
          <w:tab w:leader="none" w:pos="2800" w:val="left"/>
          <w:tab w:leader="none" w:pos="3280" w:val="left"/>
          <w:tab w:leader="none" w:pos="43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978</w:t>
        <w:tab/>
        <w:t>$</w:t>
      </w:r>
      <w:r>
        <w:rPr>
          <w:sz w:val="20"/>
          <w:szCs w:val="20"/>
          <w:color w:val="auto"/>
        </w:rPr>
        <w:tab/>
      </w:r>
      <w:r>
        <w:rPr>
          <w:rFonts w:ascii="Arial" w:cs="Arial" w:eastAsia="Arial" w:hAnsi="Arial"/>
          <w:sz w:val="15"/>
          <w:szCs w:val="15"/>
          <w:color w:val="auto"/>
        </w:rPr>
        <w:t>978</w:t>
      </w:r>
    </w:p>
    <w:p>
      <w:pPr>
        <w:spacing w:after="0" w:line="202" w:lineRule="exact"/>
        <w:rPr>
          <w:sz w:val="20"/>
          <w:szCs w:val="20"/>
          <w:color w:val="auto"/>
        </w:rPr>
      </w:pPr>
    </w:p>
    <w:p>
      <w:pPr>
        <w:sectPr>
          <w:pgSz w:w="11900" w:h="16838" w:orient="portrait"/>
          <w:cols w:equalWidth="0" w:num="2">
            <w:col w:w="5700" w:space="720"/>
            <w:col w:w="5000"/>
          </w:cols>
          <w:pgMar w:left="240" w:top="904"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and June 30, 2015, the Company held no Level 1 or Level 2 financial instruments.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2016 and 2015 fair values of the Company’s Level 3 financial instrument totaled $3,739 million and $978 thousand for 2.2 million and 3.9 million warrants, respectively. The level 3 financial instrument consists of common stock warrants issued by the company in March 2011, which include features requiring liability treatment of the warrants. The fair value of warrants issued March 2011 to purchase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on the secondary market or in other private transactions. There were no transfer of assets or liabilities between level 1, level 2, or level 3 during the years ended June 30, 2016 and 2015.</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200" w:type="dxa"/>
            <w:vAlign w:val="bottom"/>
            <w:vMerge w:val="restart"/>
          </w:tcPr>
          <w:p>
            <w:pPr>
              <w:spacing w:after="0"/>
              <w:rPr>
                <w:sz w:val="20"/>
                <w:szCs w:val="20"/>
                <w:color w:val="auto"/>
              </w:rPr>
            </w:pPr>
            <w:r>
              <w:rPr>
                <w:rFonts w:ascii="Arial" w:cs="Arial" w:eastAsia="Arial" w:hAnsi="Arial"/>
                <w:sz w:val="18"/>
                <w:szCs w:val="18"/>
                <w:color w:val="auto"/>
              </w:rPr>
              <w:t>($ in thousands)</w:t>
            </w:r>
          </w:p>
        </w:tc>
        <w:tc>
          <w:tcPr>
            <w:tcW w:w="2320" w:type="dxa"/>
            <w:vAlign w:val="bottom"/>
            <w:gridSpan w:val="5"/>
          </w:tcPr>
          <w:p>
            <w:pPr>
              <w:jc w:val="right"/>
              <w:ind w:right="350"/>
              <w:spacing w:after="0"/>
              <w:rPr>
                <w:sz w:val="20"/>
                <w:szCs w:val="20"/>
                <w:color w:val="auto"/>
              </w:rPr>
            </w:pPr>
            <w:r>
              <w:rPr>
                <w:rFonts w:ascii="Arial" w:cs="Arial" w:eastAsia="Arial" w:hAnsi="Arial"/>
                <w:sz w:val="18"/>
                <w:szCs w:val="18"/>
                <w:color w:val="auto"/>
              </w:rPr>
              <w:t>For Year Ended</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June 30,</w:t>
            </w:r>
          </w:p>
        </w:tc>
        <w:tc>
          <w:tcPr>
            <w:tcW w:w="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2016</w:t>
            </w:r>
          </w:p>
        </w:tc>
        <w:tc>
          <w:tcPr>
            <w:tcW w:w="1480" w:type="dxa"/>
            <w:vAlign w:val="bottom"/>
            <w:gridSpan w:val="4"/>
          </w:tcPr>
          <w:p>
            <w:pPr>
              <w:jc w:val="right"/>
              <w:ind w:right="10"/>
              <w:spacing w:after="0"/>
              <w:rPr>
                <w:sz w:val="20"/>
                <w:szCs w:val="20"/>
                <w:color w:val="auto"/>
              </w:rPr>
            </w:pPr>
            <w:r>
              <w:rPr>
                <w:rFonts w:ascii="Arial" w:cs="Arial" w:eastAsia="Arial" w:hAnsi="Arial"/>
                <w:sz w:val="18"/>
                <w:szCs w:val="18"/>
                <w:color w:val="auto"/>
              </w:rPr>
              <w:t>2015</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Beginning balance</w:t>
            </w:r>
          </w:p>
        </w:tc>
        <w:tc>
          <w:tcPr>
            <w:tcW w:w="840" w:type="dxa"/>
            <w:vAlign w:val="bottom"/>
            <w:shd w:val="clear" w:color="auto" w:fill="F0FFFF"/>
          </w:tcPr>
          <w:p>
            <w:pPr>
              <w:jc w:val="right"/>
              <w:ind w:right="650"/>
              <w:spacing w:after="0"/>
              <w:rPr>
                <w:sz w:val="20"/>
                <w:szCs w:val="20"/>
                <w:color w:val="auto"/>
              </w:rPr>
            </w:pPr>
            <w:r>
              <w:rPr>
                <w:rFonts w:ascii="Arial" w:cs="Arial" w:eastAsia="Arial" w:hAnsi="Arial"/>
                <w:sz w:val="18"/>
                <w:szCs w:val="18"/>
                <w:color w:val="auto"/>
                <w:w w:val="79"/>
              </w:rPr>
              <w:t>$</w:t>
            </w:r>
          </w:p>
        </w:tc>
        <w:tc>
          <w:tcPr>
            <w:tcW w:w="1480" w:type="dxa"/>
            <w:vAlign w:val="bottom"/>
            <w:gridSpan w:val="4"/>
            <w:shd w:val="clear" w:color="auto" w:fill="F0FFFF"/>
          </w:tcPr>
          <w:p>
            <w:pPr>
              <w:jc w:val="right"/>
              <w:ind w:right="750"/>
              <w:spacing w:after="0"/>
              <w:rPr>
                <w:sz w:val="20"/>
                <w:szCs w:val="20"/>
                <w:color w:val="auto"/>
              </w:rPr>
            </w:pPr>
            <w:r>
              <w:rPr>
                <w:rFonts w:ascii="Arial" w:cs="Arial" w:eastAsia="Arial" w:hAnsi="Arial"/>
                <w:sz w:val="18"/>
                <w:szCs w:val="18"/>
                <w:color w:val="auto"/>
              </w:rPr>
              <w:t>(978) $</w:t>
            </w:r>
          </w:p>
        </w:tc>
        <w:tc>
          <w:tcPr>
            <w:tcW w:w="4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Increase due to change in fair value of warrant liabilities</w:t>
            </w:r>
          </w:p>
        </w:tc>
        <w:tc>
          <w:tcPr>
            <w:tcW w:w="8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(5,674)</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Reduction due to warrant exercises</w:t>
            </w:r>
          </w:p>
        </w:tc>
        <w:tc>
          <w:tcPr>
            <w:tcW w:w="840" w:type="dxa"/>
            <w:vAlign w:val="bottom"/>
            <w:tcBorders>
              <w:bottom w:val="single" w:sz="8" w:color="auto"/>
            </w:tcBorders>
            <w:shd w:val="clear" w:color="auto" w:fill="F0FFFF"/>
          </w:tcPr>
          <w:p>
            <w:pPr>
              <w:spacing w:after="0"/>
              <w:rPr>
                <w:sz w:val="20"/>
                <w:szCs w:val="20"/>
                <w:color w:val="auto"/>
              </w:rPr>
            </w:pPr>
          </w:p>
        </w:tc>
        <w:tc>
          <w:tcPr>
            <w:tcW w:w="4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7"/>
              </w:rPr>
              <w:t>2,913</w:t>
            </w:r>
          </w:p>
        </w:tc>
        <w:tc>
          <w:tcPr>
            <w:tcW w:w="14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860" w:type="dxa"/>
            <w:vAlign w:val="bottom"/>
            <w:tcBorders>
              <w:bottom w:val="single" w:sz="8" w:color="auto"/>
            </w:tcBorders>
            <w:shd w:val="clear" w:color="auto" w:fill="F0FFFF"/>
          </w:tcPr>
          <w:p>
            <w:pPr>
              <w:spacing w:after="0"/>
              <w:rPr>
                <w:sz w:val="20"/>
                <w:szCs w:val="20"/>
                <w:color w:val="auto"/>
              </w:rPr>
            </w:pPr>
          </w:p>
        </w:tc>
        <w:tc>
          <w:tcPr>
            <w:tcW w:w="4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F0FFFF"/>
            </w:tcBorders>
            <w:shd w:val="clear" w:color="auto" w:fill="F0FFFF"/>
          </w:tcPr>
          <w:p>
            <w:pPr>
              <w:spacing w:after="0"/>
              <w:rPr>
                <w:sz w:val="20"/>
                <w:szCs w:val="20"/>
                <w:color w:val="auto"/>
              </w:rPr>
            </w:pPr>
          </w:p>
        </w:tc>
        <w:tc>
          <w:tcPr>
            <w:tcW w:w="4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line="203" w:lineRule="exact"/>
              <w:rPr>
                <w:sz w:val="20"/>
                <w:szCs w:val="20"/>
                <w:color w:val="auto"/>
              </w:rPr>
            </w:pPr>
            <w:r>
              <w:rPr>
                <w:rFonts w:ascii="Arial" w:cs="Arial" w:eastAsia="Arial" w:hAnsi="Arial"/>
                <w:sz w:val="18"/>
                <w:szCs w:val="18"/>
                <w:color w:val="auto"/>
              </w:rPr>
              <w:t>Ending balance</w:t>
            </w:r>
          </w:p>
        </w:tc>
        <w:tc>
          <w:tcPr>
            <w:tcW w:w="840" w:type="dxa"/>
            <w:vAlign w:val="bottom"/>
          </w:tcPr>
          <w:p>
            <w:pPr>
              <w:jc w:val="right"/>
              <w:ind w:right="650"/>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w w:val="86"/>
              </w:rPr>
              <w:t>(3,739</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rPr>
              <w:t>(978</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warrants outstanding as of June 30, 2016 were exercisable. The following table shows exercise prices and expiration dates for warrants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w:t>
      </w:r>
    </w:p>
    <w:p>
      <w:pPr>
        <w:spacing w:after="0" w:line="21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Exercise</w:t>
            </w:r>
          </w:p>
        </w:tc>
        <w:tc>
          <w:tcPr>
            <w:tcW w:w="2200" w:type="dxa"/>
            <w:vAlign w:val="bottom"/>
          </w:tcPr>
          <w:p>
            <w:pPr>
              <w:spacing w:after="0"/>
              <w:rPr>
                <w:sz w:val="18"/>
                <w:szCs w:val="18"/>
                <w:color w:val="auto"/>
              </w:rPr>
            </w:pPr>
          </w:p>
        </w:tc>
      </w:tr>
      <w:tr>
        <w:trPr>
          <w:trHeight w:val="230"/>
        </w:trPr>
        <w:tc>
          <w:tcPr>
            <w:tcW w:w="220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Warrants</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Price</w:t>
            </w: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Expiration</w:t>
            </w:r>
          </w:p>
        </w:tc>
      </w:tr>
      <w:tr>
        <w:trPr>
          <w:trHeight w:val="237"/>
        </w:trPr>
        <w:tc>
          <w:tcPr>
            <w:tcW w:w="22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Outstanding</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Per Share</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16"/>
        </w:trPr>
        <w:tc>
          <w:tcPr>
            <w:tcW w:w="2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2,376,675</w:t>
            </w:r>
          </w:p>
        </w:tc>
        <w:tc>
          <w:tcPr>
            <w:tcW w:w="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440" w:type="dxa"/>
            <w:vAlign w:val="bottom"/>
            <w:tcBorders>
              <w:top w:val="single" w:sz="8" w:color="auto"/>
            </w:tcBorders>
            <w:shd w:val="clear" w:color="auto" w:fill="F0FFFF"/>
          </w:tcPr>
          <w:p>
            <w:pPr>
              <w:jc w:val="right"/>
              <w:ind w:right="28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top w:val="single" w:sz="8" w:color="F0FFFF"/>
            </w:tcBorders>
            <w:shd w:val="clear" w:color="auto" w:fill="F0FFFF"/>
          </w:tcPr>
          <w:p>
            <w:pPr>
              <w:spacing w:after="0"/>
              <w:rPr>
                <w:sz w:val="18"/>
                <w:szCs w:val="18"/>
                <w:color w:val="auto"/>
              </w:rPr>
            </w:pPr>
          </w:p>
        </w:tc>
        <w:tc>
          <w:tcPr>
            <w:tcW w:w="22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September 18, 2016</w:t>
            </w:r>
          </w:p>
        </w:tc>
      </w:tr>
      <w:tr>
        <w:trPr>
          <w:trHeight w:val="216"/>
        </w:trPr>
        <w:tc>
          <w:tcPr>
            <w:tcW w:w="2200" w:type="dxa"/>
            <w:vAlign w:val="bottom"/>
            <w:gridSpan w:val="3"/>
          </w:tcPr>
          <w:p>
            <w:pPr>
              <w:jc w:val="right"/>
              <w:ind w:right="40"/>
              <w:spacing w:after="0"/>
              <w:rPr>
                <w:sz w:val="20"/>
                <w:szCs w:val="20"/>
                <w:color w:val="auto"/>
              </w:rPr>
            </w:pPr>
            <w:r>
              <w:rPr>
                <w:rFonts w:ascii="Arial" w:cs="Arial" w:eastAsia="Arial" w:hAnsi="Arial"/>
                <w:sz w:val="18"/>
                <w:szCs w:val="18"/>
                <w:color w:val="auto"/>
              </w:rPr>
              <w:t>45,000</w:t>
            </w:r>
          </w:p>
        </w:tc>
        <w:tc>
          <w:tcPr>
            <w:tcW w:w="480" w:type="dxa"/>
            <w:vAlign w:val="bottom"/>
            <w:gridSpan w:val="2"/>
          </w:tcPr>
          <w:p>
            <w:pPr>
              <w:jc w:val="right"/>
              <w:ind w:right="285"/>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2200" w:type="dxa"/>
            <w:vAlign w:val="bottom"/>
          </w:tcPr>
          <w:p>
            <w:pPr>
              <w:spacing w:after="0"/>
              <w:rPr>
                <w:sz w:val="20"/>
                <w:szCs w:val="20"/>
                <w:color w:val="auto"/>
              </w:rPr>
            </w:pPr>
            <w:r>
              <w:rPr>
                <w:rFonts w:ascii="Arial" w:cs="Arial" w:eastAsia="Arial" w:hAnsi="Arial"/>
                <w:sz w:val="18"/>
                <w:szCs w:val="18"/>
                <w:color w:val="auto"/>
              </w:rPr>
              <w:t>December 31, 2017</w:t>
            </w:r>
          </w:p>
        </w:tc>
      </w:tr>
      <w:tr>
        <w:trPr>
          <w:trHeight w:val="236"/>
        </w:trPr>
        <w:tc>
          <w:tcPr>
            <w:tcW w:w="220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23,978</w:t>
            </w:r>
          </w:p>
        </w:tc>
        <w:tc>
          <w:tcPr>
            <w:tcW w:w="480" w:type="dxa"/>
            <w:vAlign w:val="bottom"/>
            <w:gridSpan w:val="2"/>
            <w:shd w:val="clear" w:color="auto" w:fill="F0FFFF"/>
          </w:tcPr>
          <w:p>
            <w:pPr>
              <w:jc w:val="right"/>
              <w:ind w:right="285"/>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5.00</w:t>
            </w:r>
          </w:p>
        </w:tc>
        <w:tc>
          <w:tcPr>
            <w:tcW w:w="2200" w:type="dxa"/>
            <w:vAlign w:val="bottom"/>
            <w:shd w:val="clear" w:color="auto" w:fill="F0FFFF"/>
          </w:tcPr>
          <w:p>
            <w:pPr>
              <w:spacing w:after="0"/>
              <w:rPr>
                <w:sz w:val="20"/>
                <w:szCs w:val="20"/>
                <w:color w:val="auto"/>
              </w:rPr>
            </w:pPr>
            <w:r>
              <w:rPr>
                <w:rFonts w:ascii="Arial" w:cs="Arial" w:eastAsia="Arial" w:hAnsi="Arial"/>
                <w:sz w:val="18"/>
                <w:szCs w:val="18"/>
                <w:color w:val="auto"/>
              </w:rPr>
              <w:t>March 29, 2021</w:t>
            </w:r>
          </w:p>
        </w:tc>
      </w:tr>
      <w:tr>
        <w:trPr>
          <w:trHeight w:val="217"/>
        </w:trPr>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2,445,653</w:t>
            </w:r>
          </w:p>
        </w:tc>
        <w:tc>
          <w:tcPr>
            <w:tcW w:w="20" w:type="dxa"/>
            <w:vAlign w:val="bottom"/>
            <w:tcBorders>
              <w:top w:val="single" w:sz="8" w:color="F0FFFF"/>
              <w:bottom w:val="single" w:sz="8" w:color="auto"/>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18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200" w:type="dxa"/>
            <w:vAlign w:val="bottom"/>
            <w:tcBorders>
              <w:top w:val="single" w:sz="8" w:color="F0FFFF"/>
            </w:tcBorders>
          </w:tcPr>
          <w:p>
            <w:pPr>
              <w:spacing w:after="0"/>
              <w:rPr>
                <w:sz w:val="18"/>
                <w:szCs w:val="18"/>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5480" w:type="dxa"/>
            <w:vAlign w:val="bottom"/>
          </w:tcPr>
          <w:p>
            <w:pPr>
              <w:ind w:left="2520"/>
              <w:spacing w:after="0"/>
              <w:rPr>
                <w:sz w:val="20"/>
                <w:szCs w:val="20"/>
                <w:color w:val="auto"/>
              </w:rPr>
            </w:pPr>
            <w:r>
              <w:rPr>
                <w:rFonts w:ascii="Arial" w:cs="Arial" w:eastAsia="Arial" w:hAnsi="Arial"/>
                <w:sz w:val="18"/>
                <w:szCs w:val="18"/>
                <w:b w:val="1"/>
                <w:bCs w:val="1"/>
                <w:color w:val="auto"/>
              </w:rPr>
              <w:t>USA Technologies, Inc.</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5480" w:type="dxa"/>
            <w:vAlign w:val="bottom"/>
          </w:tcPr>
          <w:p>
            <w:pPr>
              <w:ind w:left="1740"/>
              <w:spacing w:after="0"/>
              <w:rPr>
                <w:sz w:val="20"/>
                <w:szCs w:val="20"/>
                <w:color w:val="auto"/>
              </w:rPr>
            </w:pPr>
            <w:r>
              <w:rPr>
                <w:rFonts w:ascii="Arial" w:cs="Arial" w:eastAsia="Arial" w:hAnsi="Arial"/>
                <w:sz w:val="18"/>
                <w:szCs w:val="18"/>
                <w:b w:val="1"/>
                <w:bCs w:val="1"/>
                <w:color w:val="auto"/>
                <w:w w:val="98"/>
              </w:rPr>
              <w:t>Notes to Consolidated Financial Statements</w:t>
            </w: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12. WARRANTS (CONTINUED)</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Warrant activity for the years ended June 30, 2016, 2015, and 2014 was as follows: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23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Warrants</w:t>
            </w:r>
          </w:p>
        </w:tc>
      </w:tr>
      <w:tr>
        <w:trPr>
          <w:trHeight w:val="216"/>
        </w:trPr>
        <w:tc>
          <w:tcPr>
            <w:tcW w:w="2300" w:type="dxa"/>
            <w:vAlign w:val="bottom"/>
          </w:tcPr>
          <w:p>
            <w:pPr>
              <w:spacing w:after="0"/>
              <w:rPr>
                <w:sz w:val="18"/>
                <w:szCs w:val="18"/>
                <w:color w:val="auto"/>
              </w:rPr>
            </w:pPr>
          </w:p>
        </w:tc>
        <w:tc>
          <w:tcPr>
            <w:tcW w:w="54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June 30, 2013</w:t>
            </w:r>
          </w:p>
        </w:tc>
        <w:tc>
          <w:tcPr>
            <w:tcW w:w="13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7,361,708</w:t>
            </w:r>
          </w:p>
        </w:tc>
        <w:tc>
          <w:tcPr>
            <w:tcW w:w="60" w:type="dxa"/>
            <w:vAlign w:val="bottom"/>
            <w:tcBorders>
              <w:top w:val="single" w:sz="8" w:color="F0FFFF"/>
            </w:tcBorders>
            <w:shd w:val="clear" w:color="auto" w:fill="F0FF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Issued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48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(2,090,226)</w:t>
            </w:r>
          </w:p>
        </w:tc>
      </w:tr>
      <w:tr>
        <w:trPr>
          <w:trHeight w:val="237"/>
        </w:trPr>
        <w:tc>
          <w:tcPr>
            <w:tcW w:w="230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Expired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(962,482)</w:t>
            </w:r>
          </w:p>
        </w:tc>
      </w:tr>
      <w:tr>
        <w:trPr>
          <w:trHeight w:val="216"/>
        </w:trPr>
        <w:tc>
          <w:tcPr>
            <w:tcW w:w="2300" w:type="dxa"/>
            <w:vAlign w:val="bottom"/>
          </w:tcPr>
          <w:p>
            <w:pPr>
              <w:spacing w:after="0"/>
              <w:rPr>
                <w:sz w:val="18"/>
                <w:szCs w:val="18"/>
                <w:color w:val="auto"/>
              </w:rPr>
            </w:pPr>
          </w:p>
        </w:tc>
        <w:tc>
          <w:tcPr>
            <w:tcW w:w="54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June 30, 2014</w:t>
            </w:r>
          </w:p>
        </w:tc>
        <w:tc>
          <w:tcPr>
            <w:tcW w:w="13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4,309,000</w:t>
            </w:r>
          </w:p>
        </w:tc>
        <w:tc>
          <w:tcPr>
            <w:tcW w:w="60" w:type="dxa"/>
            <w:vAlign w:val="bottom"/>
            <w:tcBorders>
              <w:top w:val="single" w:sz="8" w:color="F0FFFF"/>
            </w:tcBorders>
            <w:shd w:val="clear" w:color="auto" w:fill="F0FF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Issued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48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r>
      <w:tr>
        <w:trPr>
          <w:trHeight w:val="237"/>
        </w:trPr>
        <w:tc>
          <w:tcPr>
            <w:tcW w:w="2300" w:type="dxa"/>
            <w:vAlign w:val="bottom"/>
          </w:tcPr>
          <w:p>
            <w:pPr>
              <w:spacing w:after="0"/>
              <w:rPr>
                <w:sz w:val="20"/>
                <w:szCs w:val="20"/>
                <w:color w:val="auto"/>
              </w:rPr>
            </w:pPr>
          </w:p>
        </w:tc>
        <w:tc>
          <w:tcPr>
            <w:tcW w:w="548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Expired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F0FFFF"/>
            </w:tcBorders>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5480" w:type="dxa"/>
            <w:vAlign w:val="bottom"/>
            <w:shd w:val="clear" w:color="auto" w:fill="F0FFFF"/>
          </w:tcPr>
          <w:p>
            <w:pPr>
              <w:spacing w:after="0"/>
              <w:rPr>
                <w:sz w:val="20"/>
                <w:szCs w:val="20"/>
                <w:color w:val="auto"/>
              </w:rPr>
            </w:pPr>
            <w:r>
              <w:rPr>
                <w:rFonts w:ascii="Arial" w:cs="Arial" w:eastAsia="Arial" w:hAnsi="Arial"/>
                <w:sz w:val="18"/>
                <w:szCs w:val="18"/>
                <w:color w:val="auto"/>
              </w:rPr>
              <w:t>Outstanding at June 30, 2015</w:t>
            </w:r>
          </w:p>
        </w:tc>
        <w:tc>
          <w:tcPr>
            <w:tcW w:w="13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4,309,000</w:t>
            </w:r>
          </w:p>
        </w:tc>
        <w:tc>
          <w:tcPr>
            <w:tcW w:w="60" w:type="dxa"/>
            <w:vAlign w:val="bottom"/>
            <w:shd w:val="clear" w:color="auto" w:fill="F0FF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Issued</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23,978</w:t>
            </w:r>
          </w:p>
        </w:tc>
      </w:tr>
      <w:tr>
        <w:trPr>
          <w:trHeight w:val="216"/>
        </w:trPr>
        <w:tc>
          <w:tcPr>
            <w:tcW w:w="2300" w:type="dxa"/>
            <w:vAlign w:val="bottom"/>
          </w:tcPr>
          <w:p>
            <w:pPr>
              <w:spacing w:after="0"/>
              <w:rPr>
                <w:sz w:val="18"/>
                <w:szCs w:val="18"/>
                <w:color w:val="auto"/>
              </w:rPr>
            </w:pPr>
          </w:p>
        </w:tc>
        <w:tc>
          <w:tcPr>
            <w:tcW w:w="548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(1,887,325)</w:t>
            </w:r>
          </w:p>
        </w:tc>
      </w:tr>
      <w:tr>
        <w:trPr>
          <w:trHeight w:val="237"/>
        </w:trPr>
        <w:tc>
          <w:tcPr>
            <w:tcW w:w="2300" w:type="dxa"/>
            <w:vAlign w:val="bottom"/>
          </w:tcPr>
          <w:p>
            <w:pPr>
              <w:spacing w:after="0"/>
              <w:rPr>
                <w:sz w:val="20"/>
                <w:szCs w:val="20"/>
                <w:color w:val="auto"/>
              </w:rPr>
            </w:pPr>
          </w:p>
        </w:tc>
        <w:tc>
          <w:tcPr>
            <w:tcW w:w="548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Expired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F0FFFF"/>
            </w:tcBorders>
          </w:tcPr>
          <w:p>
            <w:pPr>
              <w:spacing w:after="0"/>
              <w:rPr>
                <w:sz w:val="20"/>
                <w:szCs w:val="20"/>
                <w:color w:val="auto"/>
              </w:rPr>
            </w:pPr>
          </w:p>
        </w:tc>
      </w:tr>
      <w:tr>
        <w:trPr>
          <w:trHeight w:val="255"/>
        </w:trPr>
        <w:tc>
          <w:tcPr>
            <w:tcW w:w="2300" w:type="dxa"/>
            <w:vAlign w:val="bottom"/>
          </w:tcPr>
          <w:p>
            <w:pPr>
              <w:spacing w:after="0"/>
              <w:rPr>
                <w:sz w:val="21"/>
                <w:szCs w:val="21"/>
                <w:color w:val="auto"/>
              </w:rPr>
            </w:pPr>
          </w:p>
        </w:tc>
        <w:tc>
          <w:tcPr>
            <w:tcW w:w="54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June 30, 2016</w:t>
            </w:r>
          </w:p>
        </w:tc>
        <w:tc>
          <w:tcPr>
            <w:tcW w:w="13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2,445,653</w:t>
            </w:r>
          </w:p>
        </w:tc>
        <w:tc>
          <w:tcPr>
            <w:tcW w:w="60" w:type="dxa"/>
            <w:vAlign w:val="bottom"/>
            <w:tcBorders>
              <w:bottom w:val="single" w:sz="8" w:color="F0FFFF"/>
            </w:tcBorders>
            <w:shd w:val="clear" w:color="auto" w:fill="F0FFFF"/>
          </w:tcPr>
          <w:p>
            <w:pPr>
              <w:spacing w:after="0"/>
              <w:rPr>
                <w:sz w:val="21"/>
                <w:szCs w:val="21"/>
                <w:color w:val="auto"/>
              </w:rPr>
            </w:pPr>
          </w:p>
        </w:tc>
      </w:tr>
      <w:tr>
        <w:trPr>
          <w:trHeight w:val="20"/>
        </w:trPr>
        <w:tc>
          <w:tcPr>
            <w:tcW w:w="2300" w:type="dxa"/>
            <w:vAlign w:val="bottom"/>
          </w:tcPr>
          <w:p>
            <w:pPr>
              <w:spacing w:after="0" w:line="20" w:lineRule="exact"/>
              <w:rPr>
                <w:sz w:val="1"/>
                <w:szCs w:val="1"/>
                <w:color w:val="auto"/>
              </w:rPr>
            </w:pPr>
          </w:p>
        </w:tc>
        <w:tc>
          <w:tcPr>
            <w:tcW w:w="5480" w:type="dxa"/>
            <w:vAlign w:val="bottom"/>
            <w:tcBorders>
              <w:top w:val="single" w:sz="8" w:color="F0FFFF"/>
            </w:tcBorders>
          </w:tcPr>
          <w:p>
            <w:pPr>
              <w:spacing w:after="0" w:line="20" w:lineRule="exact"/>
              <w:rPr>
                <w:sz w:val="1"/>
                <w:szCs w:val="1"/>
                <w:color w:val="auto"/>
              </w:rPr>
            </w:pPr>
          </w:p>
        </w:tc>
        <w:tc>
          <w:tcPr>
            <w:tcW w:w="130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12, 2010, in conjunction with a public offering, the Company issued warrants to purchase 2.8 million shares of Common Stock, exercisable at $1.13 per share at any time prior to December 31, 2013. During the year ended June 30, 2014, 2.1 million of these warrants were exercised at $1.13 per share for cash proceeds of $2.4 million. Warrants to purchase 59 thousand shares of Common Stock expired unexercised on December 31, 2013.</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conjunction with this public offering, the Company also issued to the placement agent warrants to purchase 165,207 and 15,717 shares of Common Stock, exercisable at $1.13 per share at any time prior to May 12, and July 7, 2013, respectively. During the year ended June 30, 2013 the placement agent elected cashless exercises of 36,186 warrants resulting in the issuance of 17,094 shares of Common Stock and exercised warrants to purchase 13,216 shares of Common Stock at $1.13 per share for cash proceeds of $14,934. Warrants to purchase 1,258 shares of Common Stock expired unexercised in May 2013.</w:t>
      </w:r>
    </w:p>
    <w:p>
      <w:pPr>
        <w:spacing w:after="0" w:line="15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March 17, 2011, in conjunction with a private placement offering the Company issued warrants to purchase up to 4.3 million shares of Common Stock, exercisable at $2.6058 per share. The 4.3 million warrants are exercisable from September 18, 2011 through September 17, 2016. During the year ended June 30, 2016, approximately 1.9 million warrants were exercised under this offering for cash proceeds of approximately $4.92 million. The balance of exercisable warrants as of June 30, 2016 is 2.4 million.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3.9 million of the warrants issued under this private placement offering contain a provision that if a Fundamental Transaction occurs, notably a change in control, the warrant holder may require the Company to pay the Black-Scholes calculated value of the then unexercised warrant to the warrant holder in cash. As such the Company has recorded a liability of $3.7 million and $978 thousand at June 30, 2016 and 2015, respectively, for the estimated fair value of the warrants in its Consolidated Balance Sheet (see Note 11-Fair Value of Financial Instruments). Period to period changes in the fair value of these warrants are reflected through income.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conjunction with the Loan and Security agreement (Note 9 – Line of Credit) and as a condition of the Bank entering into the First Amendment, the Company issued to the Bank warrants to purchase up to 45 thousand shares of Common Stock of the Company. The warrants are exercisable at any time prior to December 31, 2017 at an exercise price of $2.10 per share. Upon issuance, the fair value of the warrants was $55 thousand using a Black Scholes model, which was recorded as prepaid interest and included in other assets on the Consolidated Balance Sheet, and was amortized as non-cash interest expense over the remaining term of the Line of Credit as amended in January 2013. Non-cash interest of $2 thousand was recognized for the year ended June 30, 2014 relating to these warrants. As of June 30, 2016 none of these warrants have been exercised.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29, 2016, the Company entered into a Loan and Security Agreement with a secondary bank (Note 9 – Line of Credit), providing a secured asset-based revolving line of credit in an amount of up to $12 million. In conjunction with the Loan and Security Agreement the company issued to the bank warrants to purchase up to 24 thousand shares of Common Stock of the Company. The warrants are exercisable at any time prior to March 29, 2021 at an exercise price of $5.00 per share. At the time of issuance the fair value of the warrants was estimated at $52 thousand using a Black Scholes model. This was recorded as a contra -debt item and is included in the line of credit on the Consolidated Balance Sheet, and is being amortized as a non-cash interest expense over the remaining term of the Line of Credit. Non-cash interest expense of $13 thousand has been recognized for the year ending June 30, 2016 related to this warrant.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significant deferred tax assets, a substantial amount of which result from operating loss carryforwards. The Company routinely evaluates its ability to realize the benefits of these assets to determine whether it is more likely than not that such benefit will be realized. In periods prior to the year ended June 30, 2014, the Company’s evaluation of its ability to realize the benefit from its deferred tax assets resulted in a full valuation allowance against such assets. Based upon earnings performance that the Company had achieved along with the belief that such performance will continue into future years, the Company determined during the year ended June 30, 2014 that it was more likely than not that a substantial portion of its deferred tax assets would be realized with approximately $64 million of its operating loss carryforwards being utilized to offset corresponding future years’ taxable income resulting in a reduction in its valuation allowances recorded in prior years.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96"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considering recent periods’ performance, the evaluation of the amount of deferred tax assets expected to be realized involves forecasting the amount of taxable income that will be generated in future years. The number of connections added in a service year is a key metric which, in the Company’s recurring revenue service model, becomes an important ingredient in driving future growth and earnings. The Company has forecasted future results using estimates that management believes to be achievable. With respect to its forecasts, the Company also has taken into account several industry analysts who have projected that demand for technology and services similar to the Company’s will continue to grow in the markets the Company serves.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in future periods the Company demonstrates its ability to grow taxable income in excess of the forecasts it has used, it will re-evaluate the need to keep some, or all, of the remaining valuation allowances of approximately $23 million on its deferred tax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benefit (provision) for income taxes for the years ended June 30, 2016, 2015 and 2014 is comprised of the following:</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400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Current:</w:t>
            </w:r>
          </w:p>
        </w:tc>
        <w:tc>
          <w:tcPr>
            <w:tcW w:w="26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4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(38)</w:t>
            </w:r>
          </w:p>
        </w:tc>
        <w:tc>
          <w:tcPr>
            <w:tcW w:w="4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F0FFFF"/>
          </w:tcPr>
          <w:p>
            <w:pPr>
              <w:spacing w:after="0"/>
              <w:rPr>
                <w:sz w:val="21"/>
                <w:szCs w:val="21"/>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Borders>
              <w:top w:val="single" w:sz="8" w:color="F0FF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120" w:type="dxa"/>
            <w:vAlign w:val="bottom"/>
            <w:tcBorders>
              <w:top w:val="single" w:sz="8" w:color="F0FFFF"/>
            </w:tcBorders>
          </w:tcPr>
          <w:p>
            <w:pPr>
              <w:spacing w:after="0"/>
              <w:rPr>
                <w:sz w:val="17"/>
                <w:szCs w:val="17"/>
                <w:color w:val="auto"/>
              </w:rPr>
            </w:pPr>
          </w:p>
        </w:tc>
        <w:tc>
          <w:tcPr>
            <w:tcW w:w="40" w:type="dxa"/>
            <w:vAlign w:val="bottom"/>
            <w:tcBorders>
              <w:top w:val="single" w:sz="8" w:color="F0FF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(64)</w:t>
            </w:r>
          </w:p>
        </w:tc>
        <w:tc>
          <w:tcPr>
            <w:tcW w:w="140" w:type="dxa"/>
            <w:vAlign w:val="bottom"/>
            <w:tcBorders>
              <w:top w:val="single" w:sz="8" w:color="F0FF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w:t>
            </w:r>
          </w:p>
        </w:tc>
        <w:tc>
          <w:tcPr>
            <w:tcW w:w="6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407</w:t>
            </w:r>
          </w:p>
        </w:tc>
        <w:tc>
          <w:tcPr>
            <w:tcW w:w="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20,970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F0FFFF"/>
              <w:bottom w:val="single" w:sz="8" w:color="F0FFFF"/>
            </w:tcBorders>
            <w:shd w:val="clear" w:color="auto" w:fill="F0FFFF"/>
          </w:tcPr>
          <w:p>
            <w:pPr>
              <w:spacing w:after="0"/>
              <w:rPr>
                <w:sz w:val="19"/>
                <w:szCs w:val="19"/>
                <w:color w:val="auto"/>
              </w:rPr>
            </w:pPr>
          </w:p>
        </w:tc>
        <w:tc>
          <w:tcPr>
            <w:tcW w:w="260" w:type="dxa"/>
            <w:vAlign w:val="bottom"/>
            <w:tcBorders>
              <w:top w:val="single" w:sz="8" w:color="auto"/>
              <w:bottom w:val="single" w:sz="8" w:color="auto"/>
            </w:tcBorders>
            <w:shd w:val="clear" w:color="auto" w:fill="F0FFFF"/>
          </w:tcPr>
          <w:p>
            <w:pPr>
              <w:spacing w:after="0"/>
              <w:rPr>
                <w:sz w:val="19"/>
                <w:szCs w:val="19"/>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40" w:type="dxa"/>
            <w:vAlign w:val="bottom"/>
            <w:tcBorders>
              <w:top w:val="single" w:sz="8" w:color="F0FFFF"/>
              <w:bottom w:val="single" w:sz="8" w:color="F0FFFF"/>
            </w:tcBorders>
            <w:shd w:val="clear" w:color="auto" w:fill="F0FFFF"/>
          </w:tcPr>
          <w:p>
            <w:pPr>
              <w:spacing w:after="0"/>
              <w:rPr>
                <w:sz w:val="19"/>
                <w:szCs w:val="19"/>
                <w:color w:val="auto"/>
              </w:rPr>
            </w:pPr>
          </w:p>
        </w:tc>
        <w:tc>
          <w:tcPr>
            <w:tcW w:w="26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27,276</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shd w:val="clear" w:color="auto" w:fill="F0FFFF"/>
          </w:tcPr>
          <w:p>
            <w:pPr>
              <w:spacing w:after="0"/>
              <w:rPr>
                <w:sz w:val="22"/>
                <w:szCs w:val="22"/>
                <w:color w:val="auto"/>
              </w:rPr>
            </w:pP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615</w:t>
            </w:r>
          </w:p>
        </w:tc>
        <w:tc>
          <w:tcPr>
            <w:tcW w:w="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F0FFFF"/>
          </w:tcPr>
          <w:p>
            <w:pPr>
              <w:jc w:val="right"/>
              <w:ind w:right="105"/>
              <w:spacing w:after="0"/>
              <w:rPr>
                <w:sz w:val="20"/>
                <w:szCs w:val="20"/>
                <w:color w:val="auto"/>
              </w:rPr>
            </w:pPr>
            <w:r>
              <w:rPr>
                <w:rFonts w:ascii="Arial" w:cs="Arial" w:eastAsia="Arial" w:hAnsi="Arial"/>
                <w:sz w:val="18"/>
                <w:szCs w:val="18"/>
                <w:color w:val="auto"/>
              </w:rPr>
              <w:t>(289) $</w:t>
            </w: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27,255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provision for income taxes for the year ended June 30, 2015 includes $396 thousand for the state and federal income tax effects of a decrease in the applicable state tax rate used to tax effect deferred tax assets caused by a state income tax law change.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benefit (provision) for income taxes for the years ended June 30, 2016, 2015 and 2014 to the indicated benefit (provision) based on income (loss) before benefit (provision) for income taxes at the federal statutory rate of 34% is as follows: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386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2"/>
              </w:rPr>
              <w:t>Indicated benefit (provision) at federal statutory rate</w:t>
            </w:r>
          </w:p>
        </w:tc>
        <w:tc>
          <w:tcPr>
            <w:tcW w:w="24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of 34%</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2,523</w:t>
            </w:r>
          </w:p>
        </w:tc>
        <w:tc>
          <w:tcPr>
            <w:tcW w:w="28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272</w:t>
            </w:r>
          </w:p>
        </w:tc>
        <w:tc>
          <w:tcPr>
            <w:tcW w:w="2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Effects of permanent differences</w:t>
            </w: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(2,040)(A)</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State income taxes, net of federal benefit</w:t>
            </w:r>
          </w:p>
        </w:tc>
        <w:tc>
          <w:tcPr>
            <w:tcW w:w="24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199</w:t>
            </w: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(410)</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Income tax credits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Changes related to prior years</w:t>
            </w: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187</w:t>
            </w: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2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27,375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4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615</w:t>
            </w:r>
          </w:p>
        </w:tc>
        <w:tc>
          <w:tcPr>
            <w:tcW w:w="340" w:type="dxa"/>
            <w:vAlign w:val="bottom"/>
            <w:tcBorders>
              <w:top w:val="single" w:sz="8" w:color="F0FFFF"/>
              <w:bottom w:val="single" w:sz="8" w:color="F0FFFF"/>
            </w:tcBorders>
            <w:shd w:val="clear" w:color="auto" w:fill="F0FFFF"/>
          </w:tcPr>
          <w:p>
            <w:pPr>
              <w:spacing w:after="0"/>
              <w:rPr>
                <w:sz w:val="20"/>
                <w:szCs w:val="20"/>
                <w:color w:val="auto"/>
              </w:rPr>
            </w:pPr>
          </w:p>
        </w:tc>
        <w:tc>
          <w:tcPr>
            <w:tcW w:w="4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top w:val="single" w:sz="8" w:color="F0FFFF"/>
              <w:bottom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27,255</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Increase in the effects of permanent differences due to the tax effect of the change in fair value of warrant liabilities in 2016</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June 30, 2016 the Company had federal operating loss carryforwards of approximately $162 million to offset future taxable income expiring through approximately 2036. The timing and extent to which the Company can utilize operating loss carryforwards in any year may be limited by provisions of the Internal Revenue Code regarding changes in ownership of corporations (i.e. IRS Code Section 382). The changes in ownership limitations under IRS Code Section 382 have had the effect of limiting the maximum amount of operating loss carryforwards as of June 30, 2016 available for use to offset future years’ taxable income to approximately $124 million. Those operating loss carryforwards start to expire June 30, 2022.</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deferred tax assets arose primarily from net operating loss carryforwards, as well as the use of different accounting methods for financial statement and income tax reporting purposes as follows: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548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 in thousands)</w:t>
            </w:r>
          </w:p>
        </w:tc>
        <w:tc>
          <w:tcPr>
            <w:tcW w:w="100" w:type="dxa"/>
            <w:vAlign w:val="bottom"/>
            <w:tcBorders>
              <w:bottom w:val="single" w:sz="8" w:color="F0FF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F0FF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F0FFFF"/>
            </w:tcBorders>
          </w:tcPr>
          <w:p>
            <w:pPr>
              <w:spacing w:after="0"/>
              <w:rPr>
                <w:sz w:val="20"/>
                <w:szCs w:val="20"/>
                <w:color w:val="auto"/>
              </w:rPr>
            </w:pPr>
          </w:p>
        </w:tc>
      </w:tr>
      <w:tr>
        <w:trPr>
          <w:trHeight w:val="216"/>
        </w:trPr>
        <w:tc>
          <w:tcPr>
            <w:tcW w:w="5480" w:type="dxa"/>
            <w:vAlign w:val="bottom"/>
            <w:shd w:val="clear" w:color="auto" w:fill="F0FF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46,691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46,919</w:t>
            </w:r>
          </w:p>
        </w:tc>
      </w:tr>
      <w:tr>
        <w:trPr>
          <w:trHeight w:val="216"/>
        </w:trPr>
        <w:tc>
          <w:tcPr>
            <w:tcW w:w="5480" w:type="dxa"/>
            <w:vAlign w:val="bottom"/>
            <w:shd w:val="clear" w:color="auto" w:fill="F0FFFF"/>
          </w:tcPr>
          <w:p>
            <w:pPr>
              <w:spacing w:after="0"/>
              <w:rPr>
                <w:sz w:val="20"/>
                <w:szCs w:val="20"/>
                <w:color w:val="auto"/>
              </w:rPr>
            </w:pPr>
            <w:r>
              <w:rPr>
                <w:rFonts w:ascii="Arial" w:cs="Arial" w:eastAsia="Arial" w:hAnsi="Arial"/>
                <w:sz w:val="18"/>
                <w:szCs w:val="18"/>
                <w:color w:val="auto"/>
              </w:rPr>
              <w:t>Asset reserves</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1,713</w:t>
            </w:r>
          </w:p>
        </w:tc>
        <w:tc>
          <w:tcPr>
            <w:tcW w:w="3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792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Deferred research and development costs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1,356</w:t>
            </w:r>
          </w:p>
        </w:tc>
        <w:tc>
          <w:tcPr>
            <w:tcW w:w="3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1,009</w:t>
            </w:r>
          </w:p>
        </w:tc>
      </w:tr>
      <w:tr>
        <w:trPr>
          <w:trHeight w:val="216"/>
        </w:trPr>
        <w:tc>
          <w:tcPr>
            <w:tcW w:w="5480" w:type="dxa"/>
            <w:vAlign w:val="bottom"/>
            <w:shd w:val="clear" w:color="auto" w:fill="F0FFFF"/>
          </w:tcPr>
          <w:p>
            <w:pPr>
              <w:spacing w:after="0"/>
              <w:rPr>
                <w:sz w:val="20"/>
                <w:szCs w:val="20"/>
                <w:color w:val="auto"/>
              </w:rPr>
            </w:pPr>
            <w:r>
              <w:rPr>
                <w:rFonts w:ascii="Arial" w:cs="Arial" w:eastAsia="Arial" w:hAnsi="Arial"/>
                <w:sz w:val="18"/>
                <w:szCs w:val="18"/>
                <w:color w:val="auto"/>
              </w:rPr>
              <w:t>Intangibles</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539</w:t>
            </w:r>
          </w:p>
        </w:tc>
        <w:tc>
          <w:tcPr>
            <w:tcW w:w="3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606</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Deferred gain on assets under sale-leaseback transaction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331</w:t>
            </w:r>
          </w:p>
        </w:tc>
        <w:tc>
          <w:tcPr>
            <w:tcW w:w="3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632</w:t>
            </w:r>
          </w:p>
        </w:tc>
      </w:tr>
      <w:tr>
        <w:trPr>
          <w:trHeight w:val="216"/>
        </w:trPr>
        <w:tc>
          <w:tcPr>
            <w:tcW w:w="5480" w:type="dxa"/>
            <w:vAlign w:val="bottom"/>
            <w:shd w:val="clear" w:color="auto" w:fill="F0FF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377</w:t>
            </w:r>
          </w:p>
        </w:tc>
        <w:tc>
          <w:tcPr>
            <w:tcW w:w="3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224</w:t>
            </w: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3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437</w:t>
            </w:r>
          </w:p>
        </w:tc>
      </w:tr>
      <w:tr>
        <w:trPr>
          <w:trHeight w:val="216"/>
        </w:trPr>
        <w:tc>
          <w:tcPr>
            <w:tcW w:w="54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51,386</w:t>
            </w:r>
          </w:p>
        </w:tc>
        <w:tc>
          <w:tcPr>
            <w:tcW w:w="16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50,619</w:t>
            </w:r>
          </w:p>
        </w:tc>
        <w:tc>
          <w:tcPr>
            <w:tcW w:w="80" w:type="dxa"/>
            <w:vAlign w:val="bottom"/>
            <w:tcBorders>
              <w:top w:val="single" w:sz="8" w:color="F0FFFF"/>
            </w:tcBorders>
            <w:shd w:val="clear" w:color="auto" w:fill="F0FF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80" w:type="dxa"/>
            <w:vAlign w:val="bottom"/>
            <w:shd w:val="clear" w:color="auto" w:fill="F0FFFF"/>
          </w:tcPr>
          <w:p>
            <w:pPr>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(528)</w:t>
            </w:r>
          </w:p>
        </w:tc>
        <w:tc>
          <w:tcPr>
            <w:tcW w:w="3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(492)</w:t>
            </w: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Intangibles and goodwill</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54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50,858</w:t>
            </w:r>
          </w:p>
        </w:tc>
        <w:tc>
          <w:tcPr>
            <w:tcW w:w="16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50,043</w:t>
            </w:r>
          </w:p>
        </w:tc>
        <w:tc>
          <w:tcPr>
            <w:tcW w:w="80" w:type="dxa"/>
            <w:vAlign w:val="bottom"/>
            <w:tcBorders>
              <w:top w:val="single" w:sz="8" w:color="F0FFFF"/>
            </w:tcBorders>
            <w:shd w:val="clear" w:color="auto" w:fill="F0FFFF"/>
          </w:tcPr>
          <w:p>
            <w:pPr>
              <w:spacing w:after="0"/>
              <w:rPr>
                <w:sz w:val="18"/>
                <w:szCs w:val="18"/>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(23,134)</w:t>
            </w:r>
          </w:p>
        </w:tc>
        <w:tc>
          <w:tcPr>
            <w:tcW w:w="3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(22,997)</w:t>
            </w:r>
          </w:p>
        </w:tc>
      </w:tr>
      <w:tr>
        <w:trPr>
          <w:trHeight w:val="216"/>
        </w:trPr>
        <w:tc>
          <w:tcPr>
            <w:tcW w:w="54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Deferred tax assets (liabilties), net of allowance</w:t>
            </w:r>
          </w:p>
        </w:tc>
        <w:tc>
          <w:tcPr>
            <w:tcW w:w="1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27,724</w:t>
            </w:r>
          </w:p>
        </w:tc>
        <w:tc>
          <w:tcPr>
            <w:tcW w:w="16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27,046</w:t>
            </w:r>
          </w:p>
        </w:tc>
        <w:tc>
          <w:tcPr>
            <w:tcW w:w="80" w:type="dxa"/>
            <w:vAlign w:val="bottom"/>
            <w:tcBorders>
              <w:top w:val="single" w:sz="8" w:color="F0FFFF"/>
            </w:tcBorders>
            <w:shd w:val="clear" w:color="auto" w:fill="F0FFFF"/>
          </w:tcPr>
          <w:p>
            <w:pPr>
              <w:spacing w:after="0"/>
              <w:rPr>
                <w:sz w:val="18"/>
                <w:szCs w:val="18"/>
                <w:color w:val="auto"/>
              </w:rPr>
            </w:pPr>
          </w:p>
        </w:tc>
      </w:tr>
      <w:tr>
        <w:trPr>
          <w:trHeight w:val="216"/>
        </w:trPr>
        <w:tc>
          <w:tcPr>
            <w:tcW w:w="5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2,271</w:t>
            </w:r>
          </w:p>
        </w:tc>
        <w:tc>
          <w:tcPr>
            <w:tcW w:w="3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1,258</w:t>
            </w:r>
          </w:p>
        </w:tc>
      </w:tr>
      <w:tr>
        <w:trPr>
          <w:trHeight w:val="241"/>
        </w:trPr>
        <w:tc>
          <w:tcPr>
            <w:tcW w:w="54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Deferred tax assets (liabilties), non-current</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300" w:type="dxa"/>
            <w:vAlign w:val="bottom"/>
            <w:tcBorders>
              <w:top w:val="single" w:sz="8" w:color="auto"/>
              <w:bottom w:val="single" w:sz="8" w:color="auto"/>
            </w:tcBorders>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25,453</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360" w:type="dxa"/>
            <w:vAlign w:val="bottom"/>
            <w:tcBorders>
              <w:top w:val="single" w:sz="8" w:color="auto"/>
              <w:bottom w:val="single" w:sz="8" w:color="auto"/>
            </w:tcBorders>
            <w:shd w:val="clear" w:color="auto" w:fill="F0FF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25,788</w:t>
            </w: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0"/>
        </w:trPr>
        <w:tc>
          <w:tcPr>
            <w:tcW w:w="54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active stock based compensation plans at June 30, 2016 as shown in the table below:</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Authorized</w:t>
            </w:r>
          </w:p>
        </w:tc>
      </w:tr>
      <w:tr>
        <w:trPr>
          <w:trHeight w:val="241"/>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2"/>
              </w:rPr>
              <w:t>Date Approved</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ind w:left="900"/>
              <w:spacing w:after="0"/>
              <w:rPr>
                <w:sz w:val="20"/>
                <w:szCs w:val="20"/>
                <w:color w:val="auto"/>
              </w:rPr>
            </w:pPr>
            <w:r>
              <w:rPr>
                <w:rFonts w:ascii="Arial" w:cs="Arial" w:eastAsia="Arial" w:hAnsi="Arial"/>
                <w:sz w:val="18"/>
                <w:szCs w:val="18"/>
                <w:b w:val="1"/>
                <w:bCs w:val="1"/>
                <w:color w:val="auto"/>
              </w:rPr>
              <w:t>Name of Plan</w:t>
            </w:r>
          </w:p>
        </w:tc>
        <w:tc>
          <w:tcPr>
            <w:tcW w:w="100" w:type="dxa"/>
            <w:vAlign w:val="bottom"/>
          </w:tcPr>
          <w:p>
            <w:pPr>
              <w:spacing w:after="0"/>
              <w:rPr>
                <w:sz w:val="20"/>
                <w:szCs w:val="20"/>
                <w:color w:val="auto"/>
              </w:rPr>
            </w:pPr>
          </w:p>
        </w:tc>
        <w:tc>
          <w:tcPr>
            <w:tcW w:w="2240" w:type="dxa"/>
            <w:vAlign w:val="bottom"/>
            <w:gridSpan w:val="3"/>
          </w:tcPr>
          <w:p>
            <w:pPr>
              <w:ind w:left="540"/>
              <w:spacing w:after="0"/>
              <w:rPr>
                <w:sz w:val="20"/>
                <w:szCs w:val="20"/>
                <w:color w:val="auto"/>
              </w:rPr>
            </w:pPr>
            <w:r>
              <w:rPr>
                <w:rFonts w:ascii="Arial" w:cs="Arial" w:eastAsia="Arial" w:hAnsi="Arial"/>
                <w:sz w:val="18"/>
                <w:szCs w:val="18"/>
                <w:b w:val="1"/>
                <w:bCs w:val="1"/>
                <w:color w:val="auto"/>
              </w:rPr>
              <w:t>Type of Plan</w:t>
            </w:r>
          </w:p>
        </w:tc>
        <w:tc>
          <w:tcPr>
            <w:tcW w:w="2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208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87"/>
              </w:rPr>
              <w:t>June 2013</w:t>
            </w:r>
          </w:p>
        </w:tc>
        <w:tc>
          <w:tcPr>
            <w:tcW w:w="100" w:type="dxa"/>
            <w:vAlign w:val="bottom"/>
            <w:tcBorders>
              <w:top w:val="single" w:sz="8" w:color="F0FFFF"/>
            </w:tcBorders>
            <w:shd w:val="clear" w:color="auto" w:fill="F0FFFF"/>
          </w:tcPr>
          <w:p>
            <w:pPr>
              <w:spacing w:after="0"/>
              <w:rPr>
                <w:sz w:val="18"/>
                <w:szCs w:val="18"/>
                <w:color w:val="auto"/>
              </w:rPr>
            </w:pPr>
          </w:p>
        </w:tc>
        <w:tc>
          <w:tcPr>
            <w:tcW w:w="3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4"/>
              </w:rPr>
              <w:t>2013</w:t>
            </w:r>
          </w:p>
        </w:tc>
        <w:tc>
          <w:tcPr>
            <w:tcW w:w="322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8"/>
                <w:szCs w:val="18"/>
                <w:color w:val="auto"/>
              </w:rPr>
              <w:t>Stock Incentive Plan</w:t>
            </w:r>
          </w:p>
        </w:tc>
        <w:tc>
          <w:tcPr>
            <w:tcW w:w="100" w:type="dxa"/>
            <w:vAlign w:val="bottom"/>
            <w:tcBorders>
              <w:top w:val="single" w:sz="8" w:color="F0FFFF"/>
            </w:tcBorders>
            <w:shd w:val="clear" w:color="auto" w:fill="F0FFFF"/>
          </w:tcPr>
          <w:p>
            <w:pPr>
              <w:spacing w:after="0"/>
              <w:rPr>
                <w:sz w:val="18"/>
                <w:szCs w:val="18"/>
                <w:color w:val="auto"/>
              </w:rPr>
            </w:pPr>
          </w:p>
        </w:tc>
        <w:tc>
          <w:tcPr>
            <w:tcW w:w="20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Stock</w:t>
            </w: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2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2080" w:type="dxa"/>
            <w:vAlign w:val="bottom"/>
          </w:tcPr>
          <w:p>
            <w:pPr>
              <w:jc w:val="center"/>
              <w:spacing w:after="0"/>
              <w:rPr>
                <w:sz w:val="20"/>
                <w:szCs w:val="20"/>
                <w:color w:val="auto"/>
              </w:rPr>
            </w:pPr>
            <w:r>
              <w:rPr>
                <w:rFonts w:ascii="Arial" w:cs="Arial" w:eastAsia="Arial" w:hAnsi="Arial"/>
                <w:sz w:val="18"/>
                <w:szCs w:val="18"/>
                <w:color w:val="auto"/>
                <w:w w:val="87"/>
              </w:rPr>
              <w:t>June 2014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3220" w:type="dxa"/>
            <w:vAlign w:val="bottom"/>
          </w:tcPr>
          <w:p>
            <w:pPr>
              <w:ind w:left="20"/>
              <w:spacing w:after="0"/>
              <w:rPr>
                <w:sz w:val="20"/>
                <w:szCs w:val="20"/>
                <w:color w:val="auto"/>
              </w:rPr>
            </w:pPr>
            <w:r>
              <w:rPr>
                <w:rFonts w:ascii="Arial" w:cs="Arial" w:eastAsia="Arial" w:hAnsi="Arial"/>
                <w:sz w:val="18"/>
                <w:szCs w:val="18"/>
                <w:color w:val="auto"/>
              </w:rPr>
              <w:t>Stock Option Incentive Plan</w:t>
            </w:r>
          </w:p>
        </w:tc>
        <w:tc>
          <w:tcPr>
            <w:tcW w:w="2340" w:type="dxa"/>
            <w:vAlign w:val="bottom"/>
            <w:gridSpan w:val="4"/>
          </w:tcPr>
          <w:p>
            <w:pPr>
              <w:ind w:left="100"/>
              <w:spacing w:after="0"/>
              <w:rPr>
                <w:sz w:val="20"/>
                <w:szCs w:val="20"/>
                <w:color w:val="auto"/>
              </w:rPr>
            </w:pPr>
            <w:r>
              <w:rPr>
                <w:rFonts w:ascii="Arial" w:cs="Arial" w:eastAsia="Arial" w:hAnsi="Arial"/>
                <w:sz w:val="18"/>
                <w:szCs w:val="18"/>
                <w:color w:val="auto"/>
              </w:rPr>
              <w:t>Stock Options</w:t>
            </w:r>
          </w:p>
        </w:tc>
        <w:tc>
          <w:tcPr>
            <w:tcW w:w="20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r>
      <w:tr>
        <w:trPr>
          <w:trHeight w:val="223"/>
        </w:trPr>
        <w:tc>
          <w:tcPr>
            <w:tcW w:w="208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8"/>
                <w:szCs w:val="18"/>
                <w:color w:val="auto"/>
                <w:w w:val="87"/>
              </w:rPr>
              <w:t>June 2015</w:t>
            </w:r>
          </w:p>
        </w:tc>
        <w:tc>
          <w:tcPr>
            <w:tcW w:w="48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2015</w:t>
            </w:r>
          </w:p>
        </w:tc>
        <w:tc>
          <w:tcPr>
            <w:tcW w:w="32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Equity Incentive Plan</w:t>
            </w:r>
          </w:p>
        </w:tc>
        <w:tc>
          <w:tcPr>
            <w:tcW w:w="2340" w:type="dxa"/>
            <w:vAlign w:val="bottom"/>
            <w:tcBorders>
              <w:bottom w:val="single" w:sz="8" w:color="F0FFFF"/>
            </w:tcBorders>
            <w:gridSpan w:val="4"/>
            <w:shd w:val="clear" w:color="auto" w:fill="F0FFFF"/>
          </w:tcPr>
          <w:p>
            <w:pPr>
              <w:ind w:left="100"/>
              <w:spacing w:after="0"/>
              <w:rPr>
                <w:sz w:val="20"/>
                <w:szCs w:val="20"/>
                <w:color w:val="auto"/>
              </w:rPr>
            </w:pPr>
            <w:r>
              <w:rPr>
                <w:rFonts w:ascii="Arial" w:cs="Arial" w:eastAsia="Arial" w:hAnsi="Arial"/>
                <w:sz w:val="18"/>
                <w:szCs w:val="18"/>
                <w:color w:val="auto"/>
              </w:rPr>
              <w:t>Stock &amp; Stock Options</w:t>
            </w:r>
          </w:p>
        </w:tc>
        <w:tc>
          <w:tcPr>
            <w:tcW w:w="2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Borders>
              <w:bottom w:val="single" w:sz="8" w:color="F0FFFF"/>
            </w:tcBorders>
            <w:shd w:val="clear" w:color="auto" w:fill="F0FFFF"/>
          </w:tcPr>
          <w:p>
            <w:pPr>
              <w:spacing w:after="0"/>
              <w:rPr>
                <w:sz w:val="19"/>
                <w:szCs w:val="19"/>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18"/>
                <w:szCs w:val="18"/>
                <w:color w:val="auto"/>
              </w:rPr>
            </w:pPr>
          </w:p>
        </w:tc>
      </w:tr>
      <w:tr>
        <w:trPr>
          <w:trHeight w:val="21"/>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gridSpan w:val="3"/>
          </w:tcPr>
          <w:p>
            <w:pPr>
              <w:spacing w:after="0"/>
              <w:rPr>
                <w:sz w:val="20"/>
                <w:szCs w:val="20"/>
                <w:color w:val="auto"/>
              </w:rPr>
            </w:pPr>
            <w:r>
              <w:rPr>
                <w:rFonts w:ascii="Arial" w:cs="Arial" w:eastAsia="Arial" w:hAnsi="Arial"/>
                <w:sz w:val="18"/>
                <w:szCs w:val="18"/>
                <w:b w:val="1"/>
                <w:bCs w:val="1"/>
                <w:color w:val="auto"/>
              </w:rPr>
              <w:t>14. STOCK BASED COMPENSATION PLANS (CONTINUED)</w:t>
            </w: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40" w:type="dxa"/>
            <w:vAlign w:val="bottom"/>
            <w:gridSpan w:val="3"/>
          </w:tcPr>
          <w:p>
            <w:pPr>
              <w:spacing w:after="0"/>
              <w:rPr>
                <w:sz w:val="20"/>
                <w:szCs w:val="20"/>
                <w:color w:val="auto"/>
              </w:rPr>
            </w:pPr>
            <w:r>
              <w:rPr>
                <w:rFonts w:ascii="Arial" w:cs="Arial" w:eastAsia="Arial" w:hAnsi="Arial"/>
                <w:sz w:val="18"/>
                <w:szCs w:val="18"/>
                <w:color w:val="auto"/>
              </w:rPr>
              <w:t>As of June 30, 2016, the Company had reserved shares of Common Stock for future issuance for the following:</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80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80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Exercise of Common Stock Warrants</w:t>
            </w:r>
          </w:p>
        </w:tc>
        <w:tc>
          <w:tcPr>
            <w:tcW w:w="1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2,445,653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Conversions of Preferred Stock and cumulative Preferred Stock dividends</w:t>
            </w:r>
          </w:p>
        </w:tc>
        <w:tc>
          <w:tcPr>
            <w:tcW w:w="1540" w:type="dxa"/>
            <w:vAlign w:val="bottom"/>
          </w:tcPr>
          <w:p>
            <w:pPr>
              <w:jc w:val="right"/>
              <w:spacing w:after="0"/>
              <w:rPr>
                <w:sz w:val="20"/>
                <w:szCs w:val="20"/>
                <w:color w:val="auto"/>
              </w:rPr>
            </w:pPr>
            <w:r>
              <w:rPr>
                <w:rFonts w:ascii="Arial" w:cs="Arial" w:eastAsia="Arial" w:hAnsi="Arial"/>
                <w:sz w:val="18"/>
                <w:szCs w:val="18"/>
                <w:color w:val="auto"/>
              </w:rPr>
              <w:t>99,999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80" w:type="dxa"/>
            <w:vAlign w:val="bottom"/>
            <w:shd w:val="clear" w:color="auto" w:fill="F0FFFF"/>
          </w:tcPr>
          <w:p>
            <w:pPr>
              <w:spacing w:after="0"/>
              <w:rPr>
                <w:sz w:val="20"/>
                <w:szCs w:val="20"/>
                <w:color w:val="auto"/>
              </w:rPr>
            </w:pPr>
            <w:r>
              <w:rPr>
                <w:rFonts w:ascii="Arial" w:cs="Arial" w:eastAsia="Arial" w:hAnsi="Arial"/>
                <w:sz w:val="18"/>
                <w:szCs w:val="18"/>
                <w:color w:val="auto"/>
                <w:w w:val="86"/>
              </w:rPr>
              <w:t>Issuance under 2013</w:t>
            </w:r>
          </w:p>
        </w:tc>
        <w:tc>
          <w:tcPr>
            <w:tcW w:w="6580" w:type="dxa"/>
            <w:vAlign w:val="bottom"/>
            <w:shd w:val="clear" w:color="auto" w:fill="F0FFFF"/>
          </w:tcPr>
          <w:p>
            <w:pPr>
              <w:ind w:left="40"/>
              <w:spacing w:after="0"/>
              <w:rPr>
                <w:sz w:val="20"/>
                <w:szCs w:val="20"/>
                <w:color w:val="auto"/>
              </w:rPr>
            </w:pPr>
            <w:r>
              <w:rPr>
                <w:rFonts w:ascii="Arial" w:cs="Arial" w:eastAsia="Arial" w:hAnsi="Arial"/>
                <w:sz w:val="18"/>
                <w:szCs w:val="18"/>
                <w:color w:val="auto"/>
              </w:rPr>
              <w:t>Stock Incentive Plan</w:t>
            </w:r>
          </w:p>
        </w:tc>
        <w:tc>
          <w:tcPr>
            <w:tcW w:w="1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162,330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86"/>
              </w:rPr>
              <w:t>Issuance under 2014</w:t>
            </w:r>
          </w:p>
        </w:tc>
        <w:tc>
          <w:tcPr>
            <w:tcW w:w="6580" w:type="dxa"/>
            <w:vAlign w:val="bottom"/>
          </w:tcPr>
          <w:p>
            <w:pPr>
              <w:ind w:left="40"/>
              <w:spacing w:after="0"/>
              <w:rPr>
                <w:sz w:val="20"/>
                <w:szCs w:val="20"/>
                <w:color w:val="auto"/>
              </w:rPr>
            </w:pPr>
            <w:r>
              <w:rPr>
                <w:rFonts w:ascii="Arial" w:cs="Arial" w:eastAsia="Arial" w:hAnsi="Arial"/>
                <w:sz w:val="18"/>
                <w:szCs w:val="18"/>
                <w:color w:val="auto"/>
              </w:rPr>
              <w:t>Stock Option Incentive Plan</w:t>
            </w:r>
          </w:p>
        </w:tc>
        <w:tc>
          <w:tcPr>
            <w:tcW w:w="1540" w:type="dxa"/>
            <w:vAlign w:val="bottom"/>
          </w:tcPr>
          <w:p>
            <w:pPr>
              <w:jc w:val="right"/>
              <w:spacing w:after="0"/>
              <w:rPr>
                <w:sz w:val="20"/>
                <w:szCs w:val="20"/>
                <w:color w:val="auto"/>
              </w:rPr>
            </w:pPr>
            <w:r>
              <w:rPr>
                <w:rFonts w:ascii="Arial" w:cs="Arial" w:eastAsia="Arial" w:hAnsi="Arial"/>
                <w:sz w:val="18"/>
                <w:szCs w:val="18"/>
                <w:color w:val="auto"/>
              </w:rPr>
              <w:t>737,215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80" w:type="dxa"/>
            <w:vAlign w:val="bottom"/>
            <w:shd w:val="clear" w:color="auto" w:fill="F0FFFF"/>
          </w:tcPr>
          <w:p>
            <w:pPr>
              <w:spacing w:after="0"/>
              <w:rPr>
                <w:sz w:val="20"/>
                <w:szCs w:val="20"/>
                <w:color w:val="auto"/>
              </w:rPr>
            </w:pPr>
            <w:r>
              <w:rPr>
                <w:rFonts w:ascii="Arial" w:cs="Arial" w:eastAsia="Arial" w:hAnsi="Arial"/>
                <w:sz w:val="18"/>
                <w:szCs w:val="18"/>
                <w:color w:val="auto"/>
                <w:w w:val="86"/>
              </w:rPr>
              <w:t>Issuance under 2015</w:t>
            </w:r>
          </w:p>
        </w:tc>
        <w:tc>
          <w:tcPr>
            <w:tcW w:w="6580" w:type="dxa"/>
            <w:vAlign w:val="bottom"/>
            <w:shd w:val="clear" w:color="auto" w:fill="F0FFFF"/>
          </w:tcPr>
          <w:p>
            <w:pPr>
              <w:ind w:left="40"/>
              <w:spacing w:after="0"/>
              <w:rPr>
                <w:sz w:val="20"/>
                <w:szCs w:val="20"/>
                <w:color w:val="auto"/>
              </w:rPr>
            </w:pPr>
            <w:r>
              <w:rPr>
                <w:rFonts w:ascii="Arial" w:cs="Arial" w:eastAsia="Arial" w:hAnsi="Arial"/>
                <w:sz w:val="18"/>
                <w:szCs w:val="18"/>
                <w:color w:val="auto"/>
              </w:rPr>
              <w:t>Stock Incentive Plan</w:t>
            </w:r>
          </w:p>
        </w:tc>
        <w:tc>
          <w:tcPr>
            <w:tcW w:w="1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1,250,000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940" w:type="dxa"/>
            <w:vAlign w:val="bottom"/>
            <w:gridSpan w:val="3"/>
          </w:tcPr>
          <w:p>
            <w:pPr>
              <w:ind w:left="860"/>
              <w:spacing w:after="0"/>
              <w:rPr>
                <w:sz w:val="20"/>
                <w:szCs w:val="20"/>
                <w:color w:val="auto"/>
              </w:rPr>
            </w:pPr>
            <w:r>
              <w:rPr>
                <w:rFonts w:ascii="Arial" w:cs="Arial" w:eastAsia="Arial" w:hAnsi="Arial"/>
                <w:sz w:val="18"/>
                <w:szCs w:val="18"/>
                <w:color w:val="auto"/>
              </w:rPr>
              <w:t>Issuance to former Chief Executive Officer upon the occurrence of a USA Transaction</w:t>
            </w:r>
          </w:p>
        </w:tc>
        <w:tc>
          <w:tcPr>
            <w:tcW w:w="1540" w:type="dxa"/>
            <w:vAlign w:val="bottom"/>
          </w:tcPr>
          <w:p>
            <w:pPr>
              <w:jc w:val="right"/>
              <w:spacing w:after="0"/>
              <w:rPr>
                <w:sz w:val="20"/>
                <w:szCs w:val="20"/>
                <w:color w:val="auto"/>
              </w:rPr>
            </w:pPr>
            <w:r>
              <w:rPr>
                <w:rFonts w:ascii="Arial" w:cs="Arial" w:eastAsia="Arial" w:hAnsi="Arial"/>
                <w:sz w:val="18"/>
                <w:szCs w:val="18"/>
                <w:color w:val="auto"/>
              </w:rPr>
              <w:t>140,000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80" w:type="dxa"/>
            <w:vAlign w:val="bottom"/>
          </w:tcPr>
          <w:p>
            <w:pPr>
              <w:spacing w:after="0"/>
              <w:rPr>
                <w:sz w:val="21"/>
                <w:szCs w:val="21"/>
                <w:color w:val="auto"/>
              </w:rPr>
            </w:pPr>
          </w:p>
        </w:tc>
        <w:tc>
          <w:tcPr>
            <w:tcW w:w="806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Total shares reserved for future issuance</w:t>
            </w:r>
          </w:p>
        </w:tc>
        <w:tc>
          <w:tcPr>
            <w:tcW w:w="1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4,835,197</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6580" w:type="dxa"/>
            <w:vAlign w:val="bottom"/>
            <w:tcBorders>
              <w:top w:val="single" w:sz="8" w:color="F0FFFF"/>
            </w:tcBorders>
          </w:tcPr>
          <w:p>
            <w:pPr>
              <w:spacing w:after="0" w:line="20" w:lineRule="exact"/>
              <w:rPr>
                <w:sz w:val="1"/>
                <w:szCs w:val="1"/>
                <w:color w:val="auto"/>
              </w:rPr>
            </w:pPr>
          </w:p>
        </w:tc>
        <w:tc>
          <w:tcPr>
            <w:tcW w:w="15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Year ended</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Year ended</w:t>
            </w: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30, 2016</w:t>
            </w: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June 30, 2015</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30, 2014</w:t>
            </w:r>
          </w:p>
        </w:tc>
      </w:tr>
      <w:tr>
        <w:trPr>
          <w:trHeight w:val="216"/>
        </w:trPr>
        <w:tc>
          <w:tcPr>
            <w:tcW w:w="20" w:type="dxa"/>
            <w:vAlign w:val="bottom"/>
          </w:tcPr>
          <w:p>
            <w:pPr>
              <w:spacing w:after="0"/>
              <w:rPr>
                <w:sz w:val="18"/>
                <w:szCs w:val="18"/>
                <w:color w:val="auto"/>
              </w:rPr>
            </w:pPr>
          </w:p>
        </w:tc>
        <w:tc>
          <w:tcPr>
            <w:tcW w:w="43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93"/>
              </w:rPr>
              <w:t>59-66%</w:t>
            </w:r>
          </w:p>
        </w:tc>
        <w:tc>
          <w:tcPr>
            <w:tcW w:w="200" w:type="dxa"/>
            <w:vAlign w:val="bottom"/>
            <w:tcBorders>
              <w:top w:val="single" w:sz="8" w:color="F0FFFF"/>
            </w:tcBorders>
            <w:shd w:val="clear" w:color="auto" w:fill="F0FFFF"/>
          </w:tcPr>
          <w:p>
            <w:pPr>
              <w:spacing w:after="0"/>
              <w:rPr>
                <w:sz w:val="18"/>
                <w:szCs w:val="18"/>
                <w:color w:val="auto"/>
              </w:rPr>
            </w:pPr>
          </w:p>
        </w:tc>
        <w:tc>
          <w:tcPr>
            <w:tcW w:w="146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93"/>
              </w:rPr>
              <w:t>78-79%</w:t>
            </w:r>
          </w:p>
        </w:tc>
        <w:tc>
          <w:tcPr>
            <w:tcW w:w="180" w:type="dxa"/>
            <w:vAlign w:val="bottom"/>
            <w:tcBorders>
              <w:top w:val="single" w:sz="8" w:color="F0FFFF"/>
            </w:tcBorders>
            <w:shd w:val="clear" w:color="auto" w:fill="F0FFFF"/>
          </w:tcPr>
          <w:p>
            <w:pPr>
              <w:spacing w:after="0"/>
              <w:rPr>
                <w:sz w:val="18"/>
                <w:szCs w:val="18"/>
                <w:color w:val="auto"/>
              </w:rPr>
            </w:pPr>
          </w:p>
        </w:tc>
        <w:tc>
          <w:tcPr>
            <w:tcW w:w="144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88"/>
              </w:rPr>
              <w:t>79%</w:t>
            </w:r>
          </w:p>
        </w:tc>
        <w:tc>
          <w:tcPr>
            <w:tcW w:w="80" w:type="dxa"/>
            <w:vAlign w:val="bottom"/>
            <w:tcBorders>
              <w:top w:val="single" w:sz="8" w:color="F0FFFF"/>
            </w:tcBorders>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Expected life</w:t>
            </w:r>
          </w:p>
        </w:tc>
        <w:tc>
          <w:tcPr>
            <w:tcW w:w="1660" w:type="dxa"/>
            <w:vAlign w:val="bottom"/>
            <w:gridSpan w:val="2"/>
          </w:tcPr>
          <w:p>
            <w:pPr>
              <w:ind w:left="440"/>
              <w:spacing w:after="0"/>
              <w:rPr>
                <w:sz w:val="20"/>
                <w:szCs w:val="20"/>
                <w:color w:val="auto"/>
              </w:rPr>
            </w:pPr>
            <w:r>
              <w:rPr>
                <w:rFonts w:ascii="Arial" w:cs="Arial" w:eastAsia="Arial" w:hAnsi="Arial"/>
                <w:sz w:val="18"/>
                <w:szCs w:val="18"/>
                <w:color w:val="auto"/>
              </w:rPr>
              <w:t>4.5 years</w:t>
            </w:r>
          </w:p>
        </w:tc>
        <w:tc>
          <w:tcPr>
            <w:tcW w:w="1640" w:type="dxa"/>
            <w:vAlign w:val="bottom"/>
            <w:gridSpan w:val="2"/>
          </w:tcPr>
          <w:p>
            <w:pPr>
              <w:ind w:left="540"/>
              <w:spacing w:after="0"/>
              <w:rPr>
                <w:sz w:val="20"/>
                <w:szCs w:val="20"/>
                <w:color w:val="auto"/>
              </w:rPr>
            </w:pPr>
            <w:r>
              <w:rPr>
                <w:rFonts w:ascii="Arial" w:cs="Arial" w:eastAsia="Arial" w:hAnsi="Arial"/>
                <w:sz w:val="18"/>
                <w:szCs w:val="18"/>
                <w:color w:val="auto"/>
              </w:rPr>
              <w:t>7 years</w:t>
            </w:r>
          </w:p>
        </w:tc>
        <w:tc>
          <w:tcPr>
            <w:tcW w:w="1520" w:type="dxa"/>
            <w:vAlign w:val="bottom"/>
            <w:gridSpan w:val="2"/>
          </w:tcPr>
          <w:p>
            <w:pPr>
              <w:ind w:left="520"/>
              <w:spacing w:after="0"/>
              <w:rPr>
                <w:sz w:val="20"/>
                <w:szCs w:val="20"/>
                <w:color w:val="auto"/>
              </w:rPr>
            </w:pPr>
            <w:r>
              <w:rPr>
                <w:rFonts w:ascii="Arial" w:cs="Arial" w:eastAsia="Arial" w:hAnsi="Arial"/>
                <w:sz w:val="18"/>
                <w:szCs w:val="18"/>
                <w:color w:val="auto"/>
              </w:rPr>
              <w:t>7 years</w:t>
            </w:r>
          </w:p>
        </w:tc>
      </w:tr>
      <w:tr>
        <w:trPr>
          <w:trHeight w:val="216"/>
        </w:trPr>
        <w:tc>
          <w:tcPr>
            <w:tcW w:w="20" w:type="dxa"/>
            <w:vAlign w:val="bottom"/>
          </w:tcPr>
          <w:p>
            <w:pPr>
              <w:spacing w:after="0"/>
              <w:rPr>
                <w:sz w:val="18"/>
                <w:szCs w:val="18"/>
                <w:color w:val="auto"/>
              </w:rPr>
            </w:pPr>
          </w:p>
        </w:tc>
        <w:tc>
          <w:tcPr>
            <w:tcW w:w="4300" w:type="dxa"/>
            <w:vAlign w:val="bottom"/>
            <w:shd w:val="clear" w:color="auto" w:fill="F0FFFF"/>
          </w:tcPr>
          <w:p>
            <w:pPr>
              <w:spacing w:after="0"/>
              <w:rPr>
                <w:sz w:val="20"/>
                <w:szCs w:val="20"/>
                <w:color w:val="auto"/>
              </w:rPr>
            </w:pPr>
            <w:r>
              <w:rPr>
                <w:rFonts w:ascii="Arial" w:cs="Arial" w:eastAsia="Arial" w:hAnsi="Arial"/>
                <w:sz w:val="18"/>
                <w:szCs w:val="18"/>
                <w:color w:val="auto"/>
              </w:rPr>
              <w:t>Expected dividends</w:t>
            </w:r>
          </w:p>
        </w:tc>
        <w:tc>
          <w:tcPr>
            <w:tcW w:w="14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0"/>
              </w:rPr>
              <w:t>0.00%</w:t>
            </w:r>
          </w:p>
        </w:tc>
        <w:tc>
          <w:tcPr>
            <w:tcW w:w="200" w:type="dxa"/>
            <w:vAlign w:val="bottom"/>
            <w:shd w:val="clear" w:color="auto" w:fill="F0FFFF"/>
          </w:tcPr>
          <w:p>
            <w:pPr>
              <w:spacing w:after="0"/>
              <w:rPr>
                <w:sz w:val="18"/>
                <w:szCs w:val="18"/>
                <w:color w:val="auto"/>
              </w:rPr>
            </w:pPr>
          </w:p>
        </w:tc>
        <w:tc>
          <w:tcPr>
            <w:tcW w:w="146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0"/>
              </w:rPr>
              <w:t>0.00%</w:t>
            </w:r>
          </w:p>
        </w:tc>
        <w:tc>
          <w:tcPr>
            <w:tcW w:w="180" w:type="dxa"/>
            <w:vAlign w:val="bottom"/>
            <w:shd w:val="clear" w:color="auto" w:fill="F0FFFF"/>
          </w:tcPr>
          <w:p>
            <w:pPr>
              <w:spacing w:after="0"/>
              <w:rPr>
                <w:sz w:val="18"/>
                <w:szCs w:val="18"/>
                <w:color w:val="auto"/>
              </w:rPr>
            </w:pPr>
          </w:p>
        </w:tc>
        <w:tc>
          <w:tcPr>
            <w:tcW w:w="144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0"/>
              </w:rPr>
              <w:t>0.00%</w:t>
            </w:r>
          </w:p>
        </w:tc>
        <w:tc>
          <w:tcPr>
            <w:tcW w:w="8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1.46-1.49%</w:t>
            </w:r>
          </w:p>
        </w:tc>
        <w:tc>
          <w:tcPr>
            <w:tcW w:w="2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1.59-2.04%</w:t>
            </w:r>
          </w:p>
        </w:tc>
        <w:tc>
          <w:tcPr>
            <w:tcW w:w="1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2.22%</w:t>
            </w: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2014 Stock Option Incentive Plan was approved in June 2014 therefore there was no stock based compensation expense related to stock options for the years ended June 30, 2014. Stock based compensation related to stock options for the years ended June 30, 2016 and June 30, 2015 was $338 and $370 thousand respectively. Unrecognized compensation related to stock option grants as of June 30, 2016 and June 30, 2015 was $167 thousand and $297 thousand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outstanding options: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8"/>
          </w:tcPr>
          <w:p>
            <w:pPr>
              <w:jc w:val="center"/>
              <w:ind w:left="710"/>
              <w:spacing w:after="0"/>
              <w:rPr>
                <w:sz w:val="20"/>
                <w:szCs w:val="20"/>
                <w:color w:val="auto"/>
              </w:rPr>
            </w:pPr>
            <w:r>
              <w:rPr>
                <w:rFonts w:ascii="Arial" w:cs="Arial" w:eastAsia="Arial" w:hAnsi="Arial"/>
                <w:sz w:val="18"/>
                <w:szCs w:val="18"/>
                <w:color w:val="auto"/>
                <w:w w:val="90"/>
              </w:rPr>
              <w:t>For the Twelve Months Ended June 30,</w:t>
            </w: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2014</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92"/>
              </w:rPr>
              <w:t>Weighted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92"/>
              </w:rPr>
              <w:t>Weighted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94"/>
              </w:rPr>
              <w:t>Weighted</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Average Grant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color w:val="auto"/>
              </w:rPr>
              <w:t>Average Grant</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Average Grant</w:t>
            </w:r>
          </w:p>
        </w:tc>
      </w:tr>
      <w:tr>
        <w:trPr>
          <w:trHeight w:val="257"/>
        </w:trPr>
        <w:tc>
          <w:tcPr>
            <w:tcW w:w="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Shares</w:t>
            </w:r>
          </w:p>
        </w:tc>
        <w:tc>
          <w:tcPr>
            <w:tcW w:w="1340" w:type="dxa"/>
            <w:vAlign w:val="bottom"/>
            <w:gridSpan w:val="3"/>
          </w:tcPr>
          <w:p>
            <w:pPr>
              <w:spacing w:after="0"/>
              <w:rPr>
                <w:sz w:val="20"/>
                <w:szCs w:val="20"/>
                <w:color w:val="auto"/>
              </w:rPr>
            </w:pPr>
            <w:r>
              <w:rPr>
                <w:rFonts w:ascii="Arial" w:cs="Arial" w:eastAsia="Arial" w:hAnsi="Arial"/>
                <w:sz w:val="18"/>
                <w:szCs w:val="18"/>
                <w:color w:val="auto"/>
              </w:rPr>
              <w:t>Date Fair Value</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Shares</w:t>
            </w:r>
          </w:p>
        </w:tc>
        <w:tc>
          <w:tcPr>
            <w:tcW w:w="1500" w:type="dxa"/>
            <w:vAlign w:val="bottom"/>
            <w:gridSpan w:val="4"/>
          </w:tcPr>
          <w:p>
            <w:pPr>
              <w:spacing w:after="0"/>
              <w:rPr>
                <w:sz w:val="20"/>
                <w:szCs w:val="20"/>
                <w:color w:val="auto"/>
              </w:rPr>
            </w:pPr>
            <w:r>
              <w:rPr>
                <w:rFonts w:ascii="Arial" w:cs="Arial" w:eastAsia="Arial" w:hAnsi="Arial"/>
                <w:sz w:val="18"/>
                <w:szCs w:val="18"/>
                <w:color w:val="auto"/>
              </w:rPr>
              <w:t>Date Fair Value</w:t>
            </w: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20" w:type="dxa"/>
            <w:vAlign w:val="bottom"/>
            <w:gridSpan w:val="3"/>
          </w:tcPr>
          <w:p>
            <w:pPr>
              <w:spacing w:after="0"/>
              <w:rPr>
                <w:sz w:val="20"/>
                <w:szCs w:val="20"/>
                <w:color w:val="auto"/>
              </w:rPr>
            </w:pPr>
            <w:r>
              <w:rPr>
                <w:rFonts w:ascii="Arial" w:cs="Arial" w:eastAsia="Arial" w:hAnsi="Arial"/>
                <w:sz w:val="18"/>
                <w:szCs w:val="18"/>
                <w:color w:val="auto"/>
                <w:w w:val="95"/>
              </w:rPr>
              <w:t>Date Fair Value</w:t>
            </w:r>
          </w:p>
        </w:tc>
      </w:tr>
      <w:tr>
        <w:trPr>
          <w:trHeight w:val="210"/>
        </w:trPr>
        <w:tc>
          <w:tcPr>
            <w:tcW w:w="20" w:type="dxa"/>
            <w:vAlign w:val="bottom"/>
          </w:tcPr>
          <w:p>
            <w:pPr>
              <w:spacing w:after="0"/>
              <w:rPr>
                <w:sz w:val="18"/>
                <w:szCs w:val="18"/>
                <w:color w:val="auto"/>
              </w:rPr>
            </w:pPr>
          </w:p>
        </w:tc>
        <w:tc>
          <w:tcPr>
            <w:tcW w:w="38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options, beginning of period</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538,888</w:t>
            </w: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Borders>
              <w:top w:val="single" w:sz="8" w:color="F0FFFF"/>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120,000</w:t>
            </w: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199,586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438,888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3820" w:type="dxa"/>
            <w:vAlign w:val="bottom"/>
            <w:shd w:val="clear" w:color="auto" w:fill="F0FFFF"/>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1.80</w:t>
            </w:r>
          </w:p>
        </w:tc>
        <w:tc>
          <w:tcPr>
            <w:tcW w:w="12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Excercised</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(33,333)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F0FFFF"/>
          </w:tcPr>
          <w:p>
            <w:pPr>
              <w:spacing w:after="0"/>
              <w:rPr>
                <w:sz w:val="20"/>
                <w:szCs w:val="20"/>
                <w:color w:val="auto"/>
              </w:rPr>
            </w:pPr>
            <w:r>
              <w:rPr>
                <w:rFonts w:ascii="Arial" w:cs="Arial" w:eastAsia="Arial" w:hAnsi="Arial"/>
                <w:sz w:val="18"/>
                <w:szCs w:val="18"/>
                <w:color w:val="auto"/>
              </w:rPr>
              <w:t>Outstanding options, end of period</w:t>
            </w: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610,141</w:t>
            </w:r>
          </w:p>
        </w:tc>
        <w:tc>
          <w:tcPr>
            <w:tcW w:w="1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1.35</w:t>
            </w: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538,888</w:t>
            </w:r>
          </w:p>
        </w:tc>
        <w:tc>
          <w:tcPr>
            <w:tcW w:w="1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120,000</w:t>
            </w:r>
          </w:p>
        </w:tc>
        <w:tc>
          <w:tcPr>
            <w:tcW w:w="16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options as of June 30,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4"/>
          </w:tcPr>
          <w:p>
            <w:pPr>
              <w:ind w:left="700"/>
              <w:spacing w:after="0"/>
              <w:rPr>
                <w:sz w:val="20"/>
                <w:szCs w:val="20"/>
                <w:color w:val="auto"/>
              </w:rPr>
            </w:pPr>
            <w:r>
              <w:rPr>
                <w:rFonts w:ascii="Arial" w:cs="Arial" w:eastAsia="Arial" w:hAnsi="Arial"/>
                <w:sz w:val="18"/>
                <w:szCs w:val="18"/>
                <w:color w:val="auto"/>
              </w:rPr>
              <w:t>Options Outstanding</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Options Exercisable</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color w:val="auto"/>
                <w:w w:val="93"/>
              </w:rPr>
              <w:t>Options</w:t>
            </w:r>
          </w:p>
        </w:tc>
        <w:tc>
          <w:tcPr>
            <w:tcW w:w="13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7"/>
                <w:szCs w:val="17"/>
                <w:color w:val="auto"/>
              </w:rPr>
            </w:pPr>
          </w:p>
        </w:tc>
        <w:tc>
          <w:tcPr>
            <w:tcW w:w="1400" w:type="dxa"/>
            <w:vAlign w:val="bottom"/>
            <w:tcBorders>
              <w:top w:val="single" w:sz="8" w:color="auto"/>
            </w:tcBorders>
            <w:gridSpan w:val="3"/>
          </w:tcPr>
          <w:p>
            <w:pPr>
              <w:jc w:val="center"/>
              <w:ind w:right="40"/>
              <w:spacing w:after="0" w:line="201" w:lineRule="exact"/>
              <w:rPr>
                <w:sz w:val="20"/>
                <w:szCs w:val="20"/>
                <w:color w:val="auto"/>
              </w:rPr>
            </w:pPr>
            <w:r>
              <w:rPr>
                <w:rFonts w:ascii="Arial" w:cs="Arial" w:eastAsia="Arial" w:hAnsi="Arial"/>
                <w:sz w:val="18"/>
                <w:szCs w:val="18"/>
                <w:color w:val="auto"/>
                <w:w w:val="84"/>
              </w:rPr>
              <w:t>Shares</w:t>
            </w:r>
          </w:p>
        </w:tc>
        <w:tc>
          <w:tcPr>
            <w:tcW w:w="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rPr>
              <w:t>Remaining</w:t>
            </w:r>
          </w:p>
        </w:tc>
        <w:tc>
          <w:tcPr>
            <w:tcW w:w="13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Weighted Average</w:t>
            </w:r>
          </w:p>
        </w:tc>
        <w:tc>
          <w:tcPr>
            <w:tcW w:w="100" w:type="dxa"/>
            <w:vAlign w:val="bottom"/>
          </w:tcPr>
          <w:p>
            <w:pPr>
              <w:spacing w:after="0"/>
              <w:rPr>
                <w:sz w:val="17"/>
                <w:szCs w:val="17"/>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Contractual Life</w:t>
            </w:r>
          </w:p>
        </w:tc>
        <w:tc>
          <w:tcPr>
            <w:tcW w:w="14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Exercisable</w:t>
            </w:r>
          </w:p>
        </w:tc>
        <w:tc>
          <w:tcPr>
            <w:tcW w:w="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Contractual Life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Exercise Price</w:t>
            </w:r>
          </w:p>
        </w:tc>
      </w:tr>
      <w:tr>
        <w:trPr>
          <w:trHeight w:val="216"/>
        </w:trPr>
        <w:tc>
          <w:tcPr>
            <w:tcW w:w="39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$1.62 to $1.68</w:t>
            </w:r>
          </w:p>
        </w:tc>
        <w:tc>
          <w:tcPr>
            <w:tcW w:w="120" w:type="dxa"/>
            <w:vAlign w:val="bottom"/>
            <w:tcBorders>
              <w:top w:val="single" w:sz="8" w:color="F0FFFF"/>
            </w:tcBorders>
            <w:shd w:val="clear" w:color="auto" w:fill="F0FFFF"/>
          </w:tcPr>
          <w:p>
            <w:pPr>
              <w:spacing w:after="0"/>
              <w:rPr>
                <w:sz w:val="18"/>
                <w:szCs w:val="18"/>
                <w:color w:val="auto"/>
              </w:rPr>
            </w:pPr>
          </w:p>
        </w:tc>
        <w:tc>
          <w:tcPr>
            <w:tcW w:w="13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Borders>
              <w:top w:val="single" w:sz="8" w:color="F0FFFF"/>
            </w:tcBorders>
            <w:shd w:val="clear" w:color="auto" w:fill="F0FFFF"/>
          </w:tcPr>
          <w:p>
            <w:pPr>
              <w:spacing w:after="0"/>
              <w:rPr>
                <w:sz w:val="18"/>
                <w:szCs w:val="18"/>
                <w:color w:val="auto"/>
              </w:rPr>
            </w:pPr>
          </w:p>
        </w:tc>
        <w:tc>
          <w:tcPr>
            <w:tcW w:w="13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top w:val="single" w:sz="8" w:color="F0FFFF"/>
            </w:tcBorders>
            <w:shd w:val="clear" w:color="auto" w:fill="F0FFFF"/>
          </w:tcPr>
          <w:p>
            <w:pPr>
              <w:spacing w:after="0"/>
              <w:rPr>
                <w:sz w:val="18"/>
                <w:szCs w:val="18"/>
                <w:color w:val="auto"/>
              </w:rPr>
            </w:pPr>
          </w:p>
        </w:tc>
        <w:tc>
          <w:tcPr>
            <w:tcW w:w="13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25,002</w:t>
            </w:r>
          </w:p>
        </w:tc>
        <w:tc>
          <w:tcPr>
            <w:tcW w:w="40" w:type="dxa"/>
            <w:vAlign w:val="bottom"/>
            <w:tcBorders>
              <w:top w:val="single" w:sz="8" w:color="F0FFFF"/>
            </w:tcBorders>
            <w:gridSpan w:val="2"/>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3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top w:val="single" w:sz="8" w:color="F0FFFF"/>
            </w:tcBorders>
            <w:shd w:val="clear" w:color="auto" w:fill="F0FFFF"/>
          </w:tcPr>
          <w:p>
            <w:pPr>
              <w:spacing w:after="0"/>
              <w:rPr>
                <w:sz w:val="18"/>
                <w:szCs w:val="18"/>
                <w:color w:val="auto"/>
              </w:rPr>
            </w:pPr>
          </w:p>
        </w:tc>
        <w:tc>
          <w:tcPr>
            <w:tcW w:w="13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295,555</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195,555</w:t>
            </w:r>
          </w:p>
        </w:tc>
        <w:tc>
          <w:tcPr>
            <w:tcW w:w="2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5.16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F0FFFF"/>
          </w:tcPr>
          <w:p>
            <w:pPr>
              <w:spacing w:after="0"/>
              <w:rPr>
                <w:sz w:val="18"/>
                <w:szCs w:val="18"/>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F0FFFF"/>
          </w:tcPr>
          <w:p>
            <w:pPr>
              <w:spacing w:after="0"/>
              <w:rPr>
                <w:sz w:val="18"/>
                <w:szCs w:val="18"/>
                <w:color w:val="auto"/>
              </w:rPr>
            </w:pPr>
          </w:p>
        </w:tc>
        <w:tc>
          <w:tcPr>
            <w:tcW w:w="14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4.97</w:t>
            </w:r>
          </w:p>
        </w:tc>
        <w:tc>
          <w:tcPr>
            <w:tcW w:w="140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66,670</w:t>
            </w:r>
          </w:p>
        </w:tc>
        <w:tc>
          <w:tcPr>
            <w:tcW w:w="154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4.97</w:t>
            </w:r>
          </w:p>
        </w:tc>
        <w:tc>
          <w:tcPr>
            <w:tcW w:w="14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2.05</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3,333</w:t>
            </w:r>
          </w:p>
        </w:tc>
        <w:tc>
          <w:tcPr>
            <w:tcW w:w="2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5.58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r>
        <w:trPr>
          <w:trHeight w:val="216"/>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25,000</w:t>
            </w:r>
          </w:p>
        </w:tc>
        <w:tc>
          <w:tcPr>
            <w:tcW w:w="14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5.77</w:t>
            </w:r>
          </w:p>
        </w:tc>
        <w:tc>
          <w:tcPr>
            <w:tcW w:w="13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8,333</w:t>
            </w:r>
          </w:p>
        </w:tc>
        <w:tc>
          <w:tcPr>
            <w:tcW w:w="20" w:type="dxa"/>
            <w:vAlign w:val="bottom"/>
            <w:shd w:val="clear" w:color="auto" w:fill="F0FFFF"/>
          </w:tcPr>
          <w:p>
            <w:pPr>
              <w:spacing w:after="0"/>
              <w:rPr>
                <w:sz w:val="18"/>
                <w:szCs w:val="18"/>
                <w:color w:val="auto"/>
              </w:rPr>
            </w:pPr>
          </w:p>
        </w:tc>
        <w:tc>
          <w:tcPr>
            <w:tcW w:w="154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5.77</w:t>
            </w:r>
          </w:p>
        </w:tc>
        <w:tc>
          <w:tcPr>
            <w:tcW w:w="14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75,000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6"/>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F0FFFF"/>
          </w:tcPr>
          <w:p>
            <w:pPr>
              <w:spacing w:after="0"/>
              <w:rPr>
                <w:sz w:val="20"/>
                <w:szCs w:val="20"/>
                <w:color w:val="auto"/>
              </w:rPr>
            </w:pPr>
          </w:p>
        </w:tc>
        <w:tc>
          <w:tcPr>
            <w:tcW w:w="15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29,586</w:t>
            </w:r>
          </w:p>
        </w:tc>
        <w:tc>
          <w:tcPr>
            <w:tcW w:w="14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6.06</w:t>
            </w:r>
          </w:p>
        </w:tc>
        <w:tc>
          <w:tcPr>
            <w:tcW w:w="13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4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13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r>
      <w:tr>
        <w:trPr>
          <w:trHeight w:val="217"/>
        </w:trPr>
        <w:tc>
          <w:tcPr>
            <w:tcW w:w="39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610,141</w:t>
            </w:r>
          </w:p>
        </w:tc>
        <w:tc>
          <w:tcPr>
            <w:tcW w:w="12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8"/>
                <w:szCs w:val="18"/>
                <w:color w:val="auto"/>
              </w:rPr>
              <w:t>5.42</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298,893</w:t>
            </w:r>
          </w:p>
        </w:tc>
        <w:tc>
          <w:tcPr>
            <w:tcW w:w="20" w:type="dxa"/>
            <w:vAlign w:val="bottom"/>
            <w:tcBorders>
              <w:top w:val="single" w:sz="8" w:color="F0FFFF"/>
              <w:bottom w:val="single" w:sz="8" w:color="auto"/>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540" w:type="dxa"/>
            <w:vAlign w:val="bottom"/>
            <w:tcBorders>
              <w:top w:val="single" w:sz="8" w:color="F0FFFF"/>
            </w:tcBorders>
            <w:gridSpan w:val="3"/>
          </w:tcPr>
          <w:p>
            <w:pPr>
              <w:jc w:val="right"/>
              <w:ind w:right="100"/>
              <w:spacing w:after="0"/>
              <w:rPr>
                <w:sz w:val="20"/>
                <w:szCs w:val="20"/>
                <w:color w:val="auto"/>
              </w:rPr>
            </w:pPr>
            <w:r>
              <w:rPr>
                <w:rFonts w:ascii="Arial" w:cs="Arial" w:eastAsia="Arial" w:hAnsi="Arial"/>
                <w:sz w:val="18"/>
                <w:szCs w:val="18"/>
                <w:color w:val="auto"/>
              </w:rPr>
              <w:t>5.17</w:t>
            </w:r>
          </w:p>
        </w:tc>
        <w:tc>
          <w:tcPr>
            <w:tcW w:w="148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unvested options: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84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gridSpan w:val="8"/>
          </w:tcPr>
          <w:p>
            <w:pPr>
              <w:jc w:val="center"/>
              <w:ind w:left="710"/>
              <w:spacing w:after="0"/>
              <w:rPr>
                <w:sz w:val="20"/>
                <w:szCs w:val="20"/>
                <w:color w:val="auto"/>
              </w:rPr>
            </w:pPr>
            <w:r>
              <w:rPr>
                <w:rFonts w:ascii="Arial" w:cs="Arial" w:eastAsia="Arial" w:hAnsi="Arial"/>
                <w:sz w:val="18"/>
                <w:szCs w:val="18"/>
                <w:color w:val="auto"/>
                <w:w w:val="89"/>
              </w:rPr>
              <w:t>For the Twelve Months Ended June 30,</w:t>
            </w: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840" w:type="dxa"/>
            <w:vAlign w:val="bottom"/>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02"/>
        </w:trPr>
        <w:tc>
          <w:tcPr>
            <w:tcW w:w="3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2"/>
              </w:rPr>
              <w:t>Weighted</w:t>
            </w:r>
          </w:p>
        </w:tc>
        <w:tc>
          <w:tcPr>
            <w:tcW w:w="100" w:type="dxa"/>
            <w:vAlign w:val="bottom"/>
          </w:tcPr>
          <w:p>
            <w:pPr>
              <w:spacing w:after="0"/>
              <w:rPr>
                <w:sz w:val="17"/>
                <w:szCs w:val="17"/>
                <w:color w:val="auto"/>
              </w:rPr>
            </w:pPr>
          </w:p>
        </w:tc>
      </w:tr>
      <w:tr>
        <w:trPr>
          <w:trHeight w:val="216"/>
        </w:trPr>
        <w:tc>
          <w:tcPr>
            <w:tcW w:w="3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Average Grant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4"/>
          </w:tcPr>
          <w:p>
            <w:pPr>
              <w:jc w:val="center"/>
              <w:ind w:right="340"/>
              <w:spacing w:after="0"/>
              <w:rPr>
                <w:sz w:val="20"/>
                <w:szCs w:val="20"/>
                <w:color w:val="auto"/>
              </w:rPr>
            </w:pPr>
            <w:r>
              <w:rPr>
                <w:rFonts w:ascii="Arial" w:cs="Arial" w:eastAsia="Arial" w:hAnsi="Arial"/>
                <w:sz w:val="18"/>
                <w:szCs w:val="18"/>
                <w:color w:val="auto"/>
                <w:w w:val="90"/>
              </w:rPr>
              <w:t>Average Grant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Average Grant</w:t>
            </w:r>
          </w:p>
        </w:tc>
      </w:tr>
      <w:tr>
        <w:trPr>
          <w:trHeight w:val="237"/>
        </w:trPr>
        <w:tc>
          <w:tcPr>
            <w:tcW w:w="384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Shares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Date Fair Value</w:t>
            </w: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Shares</w:t>
            </w:r>
          </w:p>
        </w:tc>
        <w:tc>
          <w:tcPr>
            <w:tcW w:w="1480" w:type="dxa"/>
            <w:vAlign w:val="bottom"/>
            <w:gridSpan w:val="4"/>
          </w:tcPr>
          <w:p>
            <w:pPr>
              <w:jc w:val="center"/>
              <w:ind w:right="340"/>
              <w:spacing w:after="0"/>
              <w:rPr>
                <w:sz w:val="20"/>
                <w:szCs w:val="20"/>
                <w:color w:val="auto"/>
              </w:rPr>
            </w:pPr>
            <w:r>
              <w:rPr>
                <w:rFonts w:ascii="Arial" w:cs="Arial" w:eastAsia="Arial" w:hAnsi="Arial"/>
                <w:sz w:val="18"/>
                <w:szCs w:val="18"/>
                <w:color w:val="auto"/>
                <w:w w:val="91"/>
              </w:rPr>
              <w:t>Date Fair Value</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Shares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 Fair Value</w:t>
            </w:r>
          </w:p>
        </w:tc>
      </w:tr>
      <w:tr>
        <w:trPr>
          <w:trHeight w:val="205"/>
        </w:trPr>
        <w:tc>
          <w:tcPr>
            <w:tcW w:w="3840" w:type="dxa"/>
            <w:vAlign w:val="bottom"/>
            <w:tcBorders>
              <w:top w:val="single" w:sz="8" w:color="F0FFFF"/>
            </w:tcBorders>
            <w:shd w:val="clear" w:color="auto" w:fill="F0FFFF"/>
          </w:tcPr>
          <w:p>
            <w:pPr>
              <w:spacing w:after="0" w:line="205" w:lineRule="exact"/>
              <w:rPr>
                <w:sz w:val="20"/>
                <w:szCs w:val="20"/>
                <w:color w:val="auto"/>
              </w:rPr>
            </w:pPr>
            <w:r>
              <w:rPr>
                <w:rFonts w:ascii="Arial" w:cs="Arial" w:eastAsia="Arial" w:hAnsi="Arial"/>
                <w:sz w:val="18"/>
                <w:szCs w:val="18"/>
                <w:color w:val="auto"/>
              </w:rPr>
              <w:t>Unvested options, beginning of period</w:t>
            </w:r>
          </w:p>
        </w:tc>
        <w:tc>
          <w:tcPr>
            <w:tcW w:w="1000" w:type="dxa"/>
            <w:vAlign w:val="bottom"/>
            <w:tcBorders>
              <w:top w:val="single" w:sz="8" w:color="auto"/>
            </w:tcBorders>
            <w:shd w:val="clear" w:color="auto" w:fill="F0FFFF"/>
          </w:tcPr>
          <w:p>
            <w:pPr>
              <w:jc w:val="right"/>
              <w:spacing w:after="0" w:line="205" w:lineRule="exact"/>
              <w:rPr>
                <w:sz w:val="20"/>
                <w:szCs w:val="20"/>
                <w:color w:val="auto"/>
              </w:rPr>
            </w:pPr>
            <w:r>
              <w:rPr>
                <w:rFonts w:ascii="Arial" w:cs="Arial" w:eastAsia="Arial" w:hAnsi="Arial"/>
                <w:sz w:val="18"/>
                <w:szCs w:val="18"/>
                <w:color w:val="auto"/>
              </w:rPr>
              <w:t>505,553</w:t>
            </w:r>
          </w:p>
        </w:tc>
        <w:tc>
          <w:tcPr>
            <w:tcW w:w="220" w:type="dxa"/>
            <w:vAlign w:val="bottom"/>
            <w:tcBorders>
              <w:top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jc w:val="right"/>
              <w:ind w:right="1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F0FFFF"/>
          </w:tcPr>
          <w:p>
            <w:pPr>
              <w:jc w:val="right"/>
              <w:spacing w:after="0" w:line="205" w:lineRule="exact"/>
              <w:rPr>
                <w:sz w:val="20"/>
                <w:szCs w:val="20"/>
                <w:color w:val="auto"/>
              </w:rPr>
            </w:pPr>
            <w:r>
              <w:rPr>
                <w:rFonts w:ascii="Arial" w:cs="Arial" w:eastAsia="Arial" w:hAnsi="Arial"/>
                <w:sz w:val="18"/>
                <w:szCs w:val="18"/>
                <w:color w:val="auto"/>
              </w:rPr>
              <w:t>1.32</w:t>
            </w:r>
          </w:p>
        </w:tc>
        <w:tc>
          <w:tcPr>
            <w:tcW w:w="220" w:type="dxa"/>
            <w:vAlign w:val="bottom"/>
            <w:tcBorders>
              <w:top w:val="single" w:sz="8" w:color="F0FFFF"/>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jc w:val="right"/>
              <w:spacing w:after="0" w:line="205" w:lineRule="exact"/>
              <w:rPr>
                <w:sz w:val="20"/>
                <w:szCs w:val="20"/>
                <w:color w:val="auto"/>
              </w:rPr>
            </w:pPr>
            <w:r>
              <w:rPr>
                <w:rFonts w:ascii="Arial" w:cs="Arial" w:eastAsia="Arial" w:hAnsi="Arial"/>
                <w:sz w:val="18"/>
                <w:szCs w:val="18"/>
                <w:color w:val="auto"/>
              </w:rPr>
              <w:t>120,000</w:t>
            </w:r>
          </w:p>
        </w:tc>
        <w:tc>
          <w:tcPr>
            <w:tcW w:w="220" w:type="dxa"/>
            <w:vAlign w:val="bottom"/>
            <w:tcBorders>
              <w:top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jc w:val="right"/>
              <w:spacing w:after="0" w:line="20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F0FFFF"/>
          </w:tcPr>
          <w:p>
            <w:pPr>
              <w:jc w:val="right"/>
              <w:spacing w:after="0" w:line="205" w:lineRule="exact"/>
              <w:rPr>
                <w:sz w:val="20"/>
                <w:szCs w:val="20"/>
                <w:color w:val="auto"/>
              </w:rPr>
            </w:pPr>
            <w:r>
              <w:rPr>
                <w:rFonts w:ascii="Arial" w:cs="Arial" w:eastAsia="Arial" w:hAnsi="Arial"/>
                <w:sz w:val="18"/>
                <w:szCs w:val="18"/>
                <w:color w:val="auto"/>
              </w:rPr>
              <w:t>1.49</w:t>
            </w:r>
          </w:p>
        </w:tc>
        <w:tc>
          <w:tcPr>
            <w:tcW w:w="220" w:type="dxa"/>
            <w:vAlign w:val="bottom"/>
            <w:tcBorders>
              <w:top w:val="single" w:sz="8" w:color="F0FFFF"/>
            </w:tcBorders>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880" w:type="dxa"/>
            <w:vAlign w:val="bottom"/>
            <w:tcBorders>
              <w:top w:val="single" w:sz="8" w:color="auto"/>
            </w:tcBorders>
            <w:shd w:val="clear" w:color="auto" w:fill="F0FFFF"/>
          </w:tcPr>
          <w:p>
            <w:pPr>
              <w:jc w:val="right"/>
              <w:spacing w:after="0" w:line="20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shd w:val="clear" w:color="auto" w:fill="F0FFFF"/>
          </w:tcPr>
          <w:p>
            <w:pPr>
              <w:spacing w:after="0"/>
              <w:rPr>
                <w:sz w:val="17"/>
                <w:szCs w:val="17"/>
                <w:color w:val="auto"/>
              </w:rPr>
            </w:pPr>
          </w:p>
        </w:tc>
        <w:tc>
          <w:tcPr>
            <w:tcW w:w="1120" w:type="dxa"/>
            <w:vAlign w:val="bottom"/>
            <w:tcBorders>
              <w:top w:val="single" w:sz="8" w:color="auto"/>
            </w:tcBorders>
            <w:shd w:val="clear" w:color="auto" w:fill="F0FFFF"/>
          </w:tcPr>
          <w:p>
            <w:pPr>
              <w:jc w:val="right"/>
              <w:spacing w:after="0" w:line="205"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shd w:val="clear" w:color="auto" w:fill="F0FFFF"/>
          </w:tcPr>
          <w:p>
            <w:pPr>
              <w:spacing w:after="0"/>
              <w:rPr>
                <w:sz w:val="17"/>
                <w:szCs w:val="17"/>
                <w:color w:val="auto"/>
              </w:rPr>
            </w:pPr>
          </w:p>
        </w:tc>
      </w:tr>
    </w:tbl>
    <w:p>
      <w:pPr>
        <w:sectPr>
          <w:pgSz w:w="11900" w:h="16900" w:orient="portrait"/>
          <w:cols w:equalWidth="0" w:num="1">
            <w:col w:w="11420"/>
          </w:cols>
          <w:pgMar w:left="240" w:top="904" w:right="23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Granted</w:t>
            </w:r>
          </w:p>
        </w:tc>
        <w:tc>
          <w:tcPr>
            <w:tcW w:w="1040" w:type="dxa"/>
            <w:vAlign w:val="bottom"/>
            <w:tcBorders>
              <w:top w:val="single" w:sz="8" w:color="F0FFFF"/>
            </w:tcBorders>
            <w:gridSpan w:val="2"/>
          </w:tcPr>
          <w:p>
            <w:pPr>
              <w:jc w:val="right"/>
              <w:ind w:right="140"/>
              <w:spacing w:after="0"/>
              <w:rPr>
                <w:sz w:val="20"/>
                <w:szCs w:val="20"/>
                <w:color w:val="auto"/>
              </w:rPr>
            </w:pPr>
            <w:r>
              <w:rPr>
                <w:rFonts w:ascii="Arial" w:cs="Arial" w:eastAsia="Arial" w:hAnsi="Arial"/>
                <w:sz w:val="18"/>
                <w:szCs w:val="18"/>
                <w:color w:val="auto"/>
              </w:rPr>
              <w:t>199,586</w:t>
            </w:r>
          </w:p>
        </w:tc>
        <w:tc>
          <w:tcPr>
            <w:tcW w:w="520" w:type="dxa"/>
            <w:vAlign w:val="bottom"/>
            <w:tcBorders>
              <w:top w:val="single" w:sz="8" w:color="F0FFFF"/>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F0FFFF"/>
            </w:tcBorders>
          </w:tcPr>
          <w:p>
            <w:pPr>
              <w:jc w:val="right"/>
              <w:ind w:right="230"/>
              <w:spacing w:after="0"/>
              <w:rPr>
                <w:sz w:val="20"/>
                <w:szCs w:val="20"/>
                <w:color w:val="auto"/>
              </w:rPr>
            </w:pPr>
            <w:r>
              <w:rPr>
                <w:rFonts w:ascii="Arial" w:cs="Arial" w:eastAsia="Arial" w:hAnsi="Arial"/>
                <w:sz w:val="18"/>
                <w:szCs w:val="18"/>
                <w:color w:val="auto"/>
              </w:rPr>
              <w:t>1.63</w:t>
            </w:r>
          </w:p>
        </w:tc>
        <w:tc>
          <w:tcPr>
            <w:tcW w:w="1040" w:type="dxa"/>
            <w:vAlign w:val="bottom"/>
            <w:tcBorders>
              <w:top w:val="single" w:sz="8" w:color="F0FFFF"/>
            </w:tcBorders>
            <w:gridSpan w:val="2"/>
          </w:tcPr>
          <w:p>
            <w:pPr>
              <w:jc w:val="right"/>
              <w:ind w:right="140"/>
              <w:spacing w:after="0"/>
              <w:rPr>
                <w:sz w:val="20"/>
                <w:szCs w:val="20"/>
                <w:color w:val="auto"/>
              </w:rPr>
            </w:pPr>
            <w:r>
              <w:rPr>
                <w:rFonts w:ascii="Arial" w:cs="Arial" w:eastAsia="Arial" w:hAnsi="Arial"/>
                <w:sz w:val="18"/>
                <w:szCs w:val="18"/>
                <w:color w:val="auto"/>
              </w:rPr>
              <w:t>438,888</w:t>
            </w:r>
          </w:p>
        </w:tc>
        <w:tc>
          <w:tcPr>
            <w:tcW w:w="540" w:type="dxa"/>
            <w:vAlign w:val="bottom"/>
            <w:tcBorders>
              <w:top w:val="single" w:sz="8" w:color="F0FFFF"/>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F0FFFF"/>
            </w:tcBorders>
          </w:tcPr>
          <w:p>
            <w:pPr>
              <w:jc w:val="right"/>
              <w:ind w:right="250"/>
              <w:spacing w:after="0"/>
              <w:rPr>
                <w:sz w:val="20"/>
                <w:szCs w:val="20"/>
                <w:color w:val="auto"/>
              </w:rPr>
            </w:pPr>
            <w:r>
              <w:rPr>
                <w:rFonts w:ascii="Arial" w:cs="Arial" w:eastAsia="Arial" w:hAnsi="Arial"/>
                <w:sz w:val="18"/>
                <w:szCs w:val="18"/>
                <w:color w:val="auto"/>
              </w:rPr>
              <w:t>1.30</w:t>
            </w:r>
          </w:p>
        </w:tc>
        <w:tc>
          <w:tcPr>
            <w:tcW w:w="100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8"/>
                <w:szCs w:val="18"/>
                <w:color w:val="auto"/>
              </w:rPr>
              <w:t>120,000</w:t>
            </w:r>
          </w:p>
        </w:tc>
        <w:tc>
          <w:tcPr>
            <w:tcW w:w="560" w:type="dxa"/>
            <w:vAlign w:val="bottom"/>
            <w:tcBorders>
              <w:top w:val="single" w:sz="8" w:color="F0FFFF"/>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F0FFFF"/>
            </w:tcBorders>
          </w:tcPr>
          <w:p>
            <w:pPr>
              <w:jc w:val="right"/>
              <w:ind w:right="10"/>
              <w:spacing w:after="0"/>
              <w:rPr>
                <w:sz w:val="20"/>
                <w:szCs w:val="20"/>
                <w:color w:val="auto"/>
              </w:rPr>
            </w:pPr>
            <w:r>
              <w:rPr>
                <w:rFonts w:ascii="Arial" w:cs="Arial" w:eastAsia="Arial" w:hAnsi="Arial"/>
                <w:sz w:val="18"/>
                <w:szCs w:val="18"/>
                <w:color w:val="auto"/>
              </w:rPr>
              <w:t>1.49</w:t>
            </w:r>
          </w:p>
        </w:tc>
      </w:tr>
      <w:tr>
        <w:trPr>
          <w:trHeight w:val="216"/>
        </w:trPr>
        <w:tc>
          <w:tcPr>
            <w:tcW w:w="3940" w:type="dxa"/>
            <w:vAlign w:val="bottom"/>
            <w:shd w:val="clear" w:color="auto" w:fill="F0FFFF"/>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(298,891)</w:t>
            </w:r>
          </w:p>
        </w:tc>
        <w:tc>
          <w:tcPr>
            <w:tcW w:w="520" w:type="dxa"/>
            <w:vAlign w:val="bottom"/>
            <w:shd w:val="clear" w:color="auto" w:fill="F0FF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230"/>
              <w:spacing w:after="0"/>
              <w:rPr>
                <w:sz w:val="20"/>
                <w:szCs w:val="20"/>
                <w:color w:val="auto"/>
              </w:rPr>
            </w:pPr>
            <w:r>
              <w:rPr>
                <w:rFonts w:ascii="Arial" w:cs="Arial" w:eastAsia="Arial" w:hAnsi="Arial"/>
                <w:sz w:val="18"/>
                <w:szCs w:val="18"/>
                <w:color w:val="auto"/>
              </w:rPr>
              <w:t>1.31</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(33,335)</w:t>
            </w:r>
          </w:p>
        </w:tc>
        <w:tc>
          <w:tcPr>
            <w:tcW w:w="540" w:type="dxa"/>
            <w:vAlign w:val="bottom"/>
            <w:shd w:val="clear" w:color="auto" w:fill="F0FF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250"/>
              <w:spacing w:after="0"/>
              <w:rPr>
                <w:sz w:val="20"/>
                <w:szCs w:val="20"/>
                <w:color w:val="auto"/>
              </w:rPr>
            </w:pPr>
            <w:r>
              <w:rPr>
                <w:rFonts w:ascii="Arial" w:cs="Arial" w:eastAsia="Arial" w:hAnsi="Arial"/>
                <w:sz w:val="18"/>
                <w:szCs w:val="18"/>
                <w:color w:val="auto"/>
              </w:rPr>
              <w:t>1.49</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F0FFFF"/>
          </w:tcPr>
          <w:p>
            <w:pPr>
              <w:spacing w:after="0"/>
              <w:rPr>
                <w:sz w:val="18"/>
                <w:szCs w:val="18"/>
                <w:color w:val="auto"/>
              </w:rPr>
            </w:pPr>
          </w:p>
        </w:tc>
        <w:tc>
          <w:tcPr>
            <w:tcW w:w="7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(95,000)</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1.80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1.49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Unvested options, end of period</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311,248</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520" w:type="dxa"/>
            <w:vAlign w:val="bottom"/>
            <w:tcBorders>
              <w:top w:val="single" w:sz="8" w:color="F0FFFF"/>
              <w:bottom w:val="single" w:sz="8" w:color="F0FFFF"/>
            </w:tcBorders>
            <w:shd w:val="clear" w:color="auto" w:fill="F0FF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F0FFFF"/>
              <w:bottom w:val="single" w:sz="8" w:color="F0FFFF"/>
            </w:tcBorders>
            <w:shd w:val="clear" w:color="auto" w:fill="F0FFFF"/>
          </w:tcPr>
          <w:p>
            <w:pPr>
              <w:jc w:val="right"/>
              <w:ind w:right="230"/>
              <w:spacing w:after="0"/>
              <w:rPr>
                <w:sz w:val="20"/>
                <w:szCs w:val="20"/>
                <w:color w:val="auto"/>
              </w:rPr>
            </w:pPr>
            <w:r>
              <w:rPr>
                <w:rFonts w:ascii="Arial" w:cs="Arial" w:eastAsia="Arial" w:hAnsi="Arial"/>
                <w:sz w:val="18"/>
                <w:szCs w:val="18"/>
                <w:color w:val="auto"/>
              </w:rPr>
              <w:t>1.39</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505,553</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540" w:type="dxa"/>
            <w:vAlign w:val="bottom"/>
            <w:tcBorders>
              <w:top w:val="single" w:sz="8" w:color="F0FFFF"/>
              <w:bottom w:val="single" w:sz="8" w:color="F0FFFF"/>
            </w:tcBorders>
            <w:shd w:val="clear" w:color="auto" w:fill="F0FF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F0FFFF"/>
              <w:bottom w:val="single" w:sz="8" w:color="F0FFFF"/>
            </w:tcBorders>
            <w:shd w:val="clear" w:color="auto" w:fill="F0FFFF"/>
          </w:tcPr>
          <w:p>
            <w:pPr>
              <w:jc w:val="right"/>
              <w:ind w:right="250"/>
              <w:spacing w:after="0"/>
              <w:rPr>
                <w:sz w:val="20"/>
                <w:szCs w:val="20"/>
                <w:color w:val="auto"/>
              </w:rPr>
            </w:pPr>
            <w:r>
              <w:rPr>
                <w:rFonts w:ascii="Arial" w:cs="Arial" w:eastAsia="Arial" w:hAnsi="Arial"/>
                <w:sz w:val="18"/>
                <w:szCs w:val="18"/>
                <w:color w:val="auto"/>
              </w:rPr>
              <w:t>1.32</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560" w:type="dxa"/>
            <w:vAlign w:val="bottom"/>
            <w:tcBorders>
              <w:top w:val="single" w:sz="8" w:color="F0FFFF"/>
              <w:bottom w:val="single" w:sz="8" w:color="F0FFFF"/>
            </w:tcBorders>
            <w:shd w:val="clear" w:color="auto" w:fill="F0FF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F0FFFF"/>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1.49</w:t>
            </w:r>
          </w:p>
        </w:tc>
      </w:tr>
      <w:tr>
        <w:trPr>
          <w:trHeight w:val="20"/>
        </w:trPr>
        <w:tc>
          <w:tcPr>
            <w:tcW w:w="3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BASED COMPENSATION PLANS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options outstanding and exercisable options: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color w:val="auto"/>
              </w:rPr>
              <w:t>As of June 30,</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2015</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2014</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w w:val="99"/>
              </w:rPr>
              <w:t>Options</w:t>
            </w:r>
          </w:p>
        </w:tc>
        <w:tc>
          <w:tcPr>
            <w:tcW w:w="8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90"/>
              </w:rPr>
              <w:t>Exercisable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17"/>
                <w:szCs w:val="17"/>
                <w:color w:val="auto"/>
              </w:rPr>
            </w:pPr>
          </w:p>
        </w:tc>
        <w:tc>
          <w:tcPr>
            <w:tcW w:w="102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8"/>
              </w:rPr>
              <w:t>Exercisable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99"/>
              </w:rPr>
              <w:t>Options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0"/>
              </w:rPr>
              <w:t>Exercisable</w:t>
            </w:r>
          </w:p>
        </w:tc>
        <w:tc>
          <w:tcPr>
            <w:tcW w:w="100" w:type="dxa"/>
            <w:vAlign w:val="bottom"/>
          </w:tcPr>
          <w:p>
            <w:pPr>
              <w:spacing w:after="0"/>
              <w:rPr>
                <w:sz w:val="17"/>
                <w:szCs w:val="17"/>
                <w:color w:val="auto"/>
              </w:rPr>
            </w:pPr>
          </w:p>
        </w:tc>
      </w:tr>
      <w:tr>
        <w:trPr>
          <w:trHeight w:val="237"/>
        </w:trPr>
        <w:tc>
          <w:tcPr>
            <w:tcW w:w="3660" w:type="dxa"/>
            <w:vAlign w:val="bottom"/>
          </w:tcPr>
          <w:p>
            <w:pPr>
              <w:spacing w:after="0"/>
              <w:rPr>
                <w:sz w:val="20"/>
                <w:szCs w:val="20"/>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w w:val="96"/>
              </w:rPr>
              <w:t>Outstanding</w:t>
            </w:r>
          </w:p>
        </w:tc>
        <w:tc>
          <w:tcPr>
            <w:tcW w:w="8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Options</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Outstanding</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Options</w:t>
            </w:r>
          </w:p>
        </w:tc>
      </w:tr>
      <w:tr>
        <w:trPr>
          <w:trHeight w:val="216"/>
        </w:trPr>
        <w:tc>
          <w:tcPr>
            <w:tcW w:w="36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Number</w:t>
            </w:r>
          </w:p>
        </w:tc>
        <w:tc>
          <w:tcPr>
            <w:tcW w:w="1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610,141</w:t>
            </w:r>
          </w:p>
        </w:tc>
        <w:tc>
          <w:tcPr>
            <w:tcW w:w="2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298,893</w:t>
            </w:r>
          </w:p>
        </w:tc>
        <w:tc>
          <w:tcPr>
            <w:tcW w:w="2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538,888</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33,335</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1.87</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F0FFFF"/>
          </w:tcPr>
          <w:p>
            <w:pPr>
              <w:spacing w:after="0"/>
              <w:rPr>
                <w:sz w:val="20"/>
                <w:szCs w:val="20"/>
                <w:color w:val="auto"/>
              </w:rPr>
            </w:pPr>
            <w:r>
              <w:rPr>
                <w:rFonts w:ascii="Arial" w:cs="Arial" w:eastAsia="Arial" w:hAnsi="Arial"/>
                <w:sz w:val="18"/>
                <w:szCs w:val="18"/>
                <w:color w:val="auto"/>
              </w:rPr>
              <w:t>Aggregate intrinsic value</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1,341,828</w:t>
            </w:r>
          </w:p>
        </w:tc>
        <w:tc>
          <w:tcPr>
            <w:tcW w:w="26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717,343</w:t>
            </w:r>
          </w:p>
        </w:tc>
        <w:tc>
          <w:tcPr>
            <w:tcW w:w="160" w:type="dxa"/>
            <w:vAlign w:val="bottom"/>
            <w:shd w:val="clear" w:color="auto" w:fill="F0FFFF"/>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451,177</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21,668</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7,200</w:t>
            </w: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Weighted average contractual term</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5.17</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6.97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F0FFFF"/>
          </w:tcPr>
          <w:p>
            <w:pPr>
              <w:spacing w:after="0"/>
              <w:rPr>
                <w:sz w:val="20"/>
                <w:szCs w:val="20"/>
                <w:color w:val="auto"/>
              </w:rPr>
            </w:pPr>
            <w:r>
              <w:rPr>
                <w:rFonts w:ascii="Arial" w:cs="Arial" w:eastAsia="Arial" w:hAnsi="Arial"/>
                <w:sz w:val="18"/>
                <w:szCs w:val="18"/>
                <w:color w:val="auto"/>
              </w:rPr>
              <w:t>Share price as of June 30</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F0FFFF"/>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2.70</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2.70</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2.11</w:t>
            </w:r>
          </w:p>
        </w:tc>
        <w:tc>
          <w:tcPr>
            <w:tcW w:w="4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GRANTS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status of the Company’s nonvested common shares as of June 30, 2016, 2015, and 2014, and changes during the years then ended is presented below:</w:t>
      </w:r>
    </w:p>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4"/>
          </w:tcPr>
          <w:p>
            <w:pPr>
              <w:ind w:left="40"/>
              <w:spacing w:after="0"/>
              <w:rPr>
                <w:sz w:val="20"/>
                <w:szCs w:val="20"/>
                <w:color w:val="auto"/>
              </w:rPr>
            </w:pPr>
            <w:r>
              <w:rPr>
                <w:rFonts w:ascii="Arial" w:cs="Arial" w:eastAsia="Arial" w:hAnsi="Arial"/>
                <w:sz w:val="18"/>
                <w:szCs w:val="18"/>
                <w:color w:val="auto"/>
                <w:w w:val="92"/>
              </w:rPr>
              <w:t>Weighted-Average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Grant-Date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Shares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F0FFFF"/>
          </w:tcPr>
          <w:p>
            <w:pPr>
              <w:spacing w:after="0"/>
              <w:rPr>
                <w:sz w:val="20"/>
                <w:szCs w:val="20"/>
                <w:color w:val="auto"/>
              </w:rPr>
            </w:pPr>
            <w:r>
              <w:rPr>
                <w:rFonts w:ascii="Arial" w:cs="Arial" w:eastAsia="Arial" w:hAnsi="Arial"/>
                <w:sz w:val="18"/>
                <w:szCs w:val="18"/>
                <w:color w:val="auto"/>
              </w:rPr>
              <w:t>Nonvested at June 30, 2013</w:t>
            </w:r>
          </w:p>
        </w:tc>
        <w:tc>
          <w:tcPr>
            <w:tcW w:w="116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97,146</w:t>
            </w:r>
          </w:p>
        </w:tc>
        <w:tc>
          <w:tcPr>
            <w:tcW w:w="200" w:type="dxa"/>
            <w:vAlign w:val="bottom"/>
            <w:gridSpan w:val="2"/>
            <w:shd w:val="clear" w:color="auto" w:fill="F0FFFF"/>
          </w:tcPr>
          <w:p>
            <w:pPr>
              <w:ind w:lef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F0FF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(55,001)</w:t>
            </w: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Forfeited, Director changes</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(3,334)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shd w:val="clear" w:color="auto" w:fill="F0FFFF"/>
          </w:tcPr>
          <w:p>
            <w:pPr>
              <w:spacing w:after="0"/>
              <w:rPr>
                <w:sz w:val="20"/>
                <w:szCs w:val="20"/>
                <w:color w:val="auto"/>
              </w:rPr>
            </w:pPr>
            <w:r>
              <w:rPr>
                <w:rFonts w:ascii="Arial" w:cs="Arial" w:eastAsia="Arial" w:hAnsi="Arial"/>
                <w:sz w:val="18"/>
                <w:szCs w:val="18"/>
                <w:color w:val="auto"/>
              </w:rPr>
              <w:t>Forfeited, Employee shares not earned</w:t>
            </w:r>
          </w:p>
        </w:tc>
        <w:tc>
          <w:tcPr>
            <w:tcW w:w="116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Nonvested at June 30, 2014</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43,811</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gridSpan w:val="2"/>
          </w:tcPr>
          <w:p>
            <w:pPr>
              <w:ind w:left="4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F0FFFF"/>
            </w:tcBorders>
            <w:gridSpan w:val="2"/>
          </w:tcPr>
          <w:p>
            <w:pPr>
              <w:jc w:val="right"/>
              <w:ind w:right="60"/>
              <w:spacing w:after="0" w:line="203"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F0FFFF"/>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155,927</w:t>
            </w: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(181,134)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Nonvested at June 30, 2015</w:t>
            </w: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18,604</w:t>
            </w:r>
          </w:p>
        </w:tc>
        <w:tc>
          <w:tcPr>
            <w:tcW w:w="100" w:type="dxa"/>
            <w:vAlign w:val="bottom"/>
            <w:tcBorders>
              <w:top w:val="single" w:sz="8" w:color="F0FFFF"/>
            </w:tcBorders>
            <w:gridSpan w:val="2"/>
            <w:shd w:val="clear" w:color="auto" w:fill="F0FFFF"/>
          </w:tcPr>
          <w:p>
            <w:pPr>
              <w:spacing w:after="0"/>
              <w:rPr>
                <w:sz w:val="18"/>
                <w:szCs w:val="18"/>
                <w:color w:val="auto"/>
              </w:rPr>
            </w:pPr>
          </w:p>
        </w:tc>
        <w:tc>
          <w:tcPr>
            <w:tcW w:w="200" w:type="dxa"/>
            <w:vAlign w:val="bottom"/>
            <w:tcBorders>
              <w:top w:val="single" w:sz="8" w:color="F0FFFF"/>
            </w:tcBorders>
            <w:gridSpan w:val="2"/>
            <w:shd w:val="clear" w:color="auto" w:fill="F0FF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131,558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shd w:val="clear" w:color="auto" w:fill="F0FF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(21,664)</w:t>
            </w:r>
          </w:p>
        </w:tc>
        <w:tc>
          <w:tcPr>
            <w:tcW w:w="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Nonvested at June 30, 2016</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128,498</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gridSpan w:val="2"/>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F0FFFF"/>
            </w:tcBorders>
            <w:gridSpan w:val="2"/>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PREFERRED STOCK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authorized Preferred Stock may be issued from time to time in one or more series, each series with such rights, preferences or restrictions as determined by the Board of Directors. As of June 30, 2016 each share of Series A Preferred Stock is convertible into 0.194 of a share of Common Stock and each share of Series A Preferred Stock is entitled to 0.194 of a vote on all matters on which the holders of Common Stock are entitled to vote. Series A Preferred Stock provides for an annual cumulative dividend of $1.50 per share, payable when, and if declared by the Board of Directors, to the shareholders of record in equal parts on February 1 and August 1 of each year. Any and all accumulated and unpaid cash dividends on the Series A Preferred Stock must be declared and paid prior to the declaration and payment of any dividends on the Common Stock.</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Series A Preferred Stock may be called for redemption at the option of the Board of Directors for a price of $11.00 per share plus payment of all accrued and unpaid dividends. No such redemption has occurred as of June 30, 2016. In the event of any liquidation as defined in the Company’s Articles of Incorporation, the holders of shares of Series A Preferred Stock issued shall be entitled to receive $10.00 for each outstanding share plus all cumulative unpaid dividends. If funds are insufficient for this distribution, the assets available will be distributed ratably among the preferred shareholders. The Series A Preferred Stock liquidation preference as of June 30, 2016 and 2015 is as follows:</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22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June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8"/>
                <w:szCs w:val="18"/>
                <w:color w:val="auto"/>
              </w:rPr>
              <w:t>For Shares outstanding at $10.00 per share</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4,451</w:t>
            </w:r>
          </w:p>
        </w:tc>
        <w:tc>
          <w:tcPr>
            <w:tcW w:w="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Cumulative unpaid dividends</w:t>
            </w:r>
          </w:p>
        </w:tc>
        <w:tc>
          <w:tcPr>
            <w:tcW w:w="2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13,657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12,989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8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auto"/>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18,108</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17,440</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Cumulative unpaid dividends are convertible into common shares at $1,000 per common share at the option of the shareholder. During the years ended June 30, 2016, 2015 and 2014, no shares of Preferred Stock nor cumulative preferred dividends were converted into shares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401(k) Plan (the “Retirement Plan”) allows employees who have completed six months of service to make voluntary contributions up to a maximum of 100% of their annual compensation, as defined in the Retirement Plan.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In fiscal years 2016, 2015 and 2014, the Company elected and made a safe harbor matching contributions of 100% of the participant’s first 3% and 50% of the next 2% of compensation deferred into the Retirement Plan. The Company’s safe harbor contributions for the years ended June 30, 2016, 2015 and 2014 approximated $189 thousand, $192 thousand and $168 thousand,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related party transactions during the years ended June 30, 2016, 2015 and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LEASEBACK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2014, the Company and a third party finance company, entered into six Sale Leaseback Agreements (the “Sale Leaseback Agreements” or a “Sale Leaseback Agreement”) pursuant to which a third-party finance company purchased ePort equipment owned by the Company and used by the Company in its JumpStart Program. As of June 30, 2014, a third-party finance company completed the purchase from the Company, the ePort equipment under the first two of the Sale Leaseback Agreements.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 (CONTINUED)</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quarter ended September 2014, a third-party finance company completed the purchase from the Company of the ePort equipment described in the last four of the Sale Leaseback Agreements. Upon the completion of the sale under these agreements, the Company computed a gain on the sale of its ePort equipment, which is deferred and will be amortized in proportion to the related gross rental charged to expense over the lease terms in accordance with the FASB topic ASC 840-40, “Sale Leaseback Transactions”. The computed gain on the sale will be recognized ratably over the 36-month term and charged as a reduction to the Company’s JumpStart rent expense included in costs of services in the Company’s Consolidated Statement of Operations. The Company is accounting for the Sale Leaseback as an operating lease and is obligated to pay to Varilease a base monthly rental for this equipment during the 36-month lease term. The future lease payment obligations under these agreements are included in the table at the bottom of this note.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w w:val="93"/>
              </w:rPr>
              <w:t>Upon the completion of the sales, the Company computed gains on the sale of its ePort equipment as follows: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8180" w:type="dxa"/>
            <w:vAlign w:val="bottom"/>
            <w:gridSpan w:val="2"/>
          </w:tcPr>
          <w:p>
            <w:pPr>
              <w:ind w:left="1720"/>
              <w:spacing w:after="0"/>
              <w:rPr>
                <w:sz w:val="20"/>
                <w:szCs w:val="20"/>
                <w:color w:val="auto"/>
              </w:rPr>
            </w:pPr>
            <w:r>
              <w:rPr>
                <w:rFonts w:ascii="Arial" w:cs="Arial" w:eastAsia="Arial" w:hAnsi="Arial"/>
                <w:sz w:val="18"/>
                <w:szCs w:val="18"/>
                <w:color w:val="auto"/>
              </w:rPr>
              <w:t>($ in thousands)</w:t>
            </w:r>
          </w:p>
        </w:tc>
        <w:tc>
          <w:tcPr>
            <w:tcW w:w="1520" w:type="dxa"/>
            <w:vAlign w:val="bottom"/>
            <w:gridSpan w:val="3"/>
          </w:tcPr>
          <w:p>
            <w:pPr>
              <w:spacing w:after="0"/>
              <w:rPr>
                <w:sz w:val="20"/>
                <w:szCs w:val="20"/>
                <w:color w:val="auto"/>
              </w:rPr>
            </w:pPr>
            <w:r>
              <w:rPr>
                <w:rFonts w:ascii="Arial" w:cs="Arial" w:eastAsia="Arial" w:hAnsi="Arial"/>
                <w:sz w:val="18"/>
                <w:szCs w:val="18"/>
                <w:color w:val="auto"/>
                <w:w w:val="89"/>
              </w:rPr>
              <w:t>Year ended June 30,</w:t>
            </w:r>
          </w:p>
        </w:tc>
      </w:tr>
      <w:tr>
        <w:trPr>
          <w:trHeight w:val="223"/>
        </w:trPr>
        <w:tc>
          <w:tcPr>
            <w:tcW w:w="1720" w:type="dxa"/>
            <w:vAlign w:val="bottom"/>
          </w:tcPr>
          <w:p>
            <w:pPr>
              <w:spacing w:after="0"/>
              <w:rPr>
                <w:sz w:val="19"/>
                <w:szCs w:val="19"/>
                <w:color w:val="auto"/>
              </w:rPr>
            </w:pPr>
          </w:p>
        </w:tc>
        <w:tc>
          <w:tcPr>
            <w:tcW w:w="6460" w:type="dxa"/>
            <w:vAlign w:val="bottom"/>
            <w:tcBorders>
              <w:bottom w:val="single" w:sz="8" w:color="F0FF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F0FFFF"/>
            </w:tcBorders>
          </w:tcPr>
          <w:p>
            <w:pPr>
              <w:spacing w:after="0"/>
              <w:rPr>
                <w:sz w:val="19"/>
                <w:szCs w:val="19"/>
                <w:color w:val="auto"/>
              </w:rPr>
            </w:pPr>
          </w:p>
        </w:tc>
      </w:tr>
      <w:tr>
        <w:trPr>
          <w:trHeight w:val="216"/>
        </w:trPr>
        <w:tc>
          <w:tcPr>
            <w:tcW w:w="1720" w:type="dxa"/>
            <w:vAlign w:val="bottom"/>
          </w:tcPr>
          <w:p>
            <w:pPr>
              <w:spacing w:after="0"/>
              <w:rPr>
                <w:sz w:val="18"/>
                <w:szCs w:val="18"/>
                <w:color w:val="auto"/>
              </w:rPr>
            </w:pPr>
          </w:p>
        </w:tc>
        <w:tc>
          <w:tcPr>
            <w:tcW w:w="6460" w:type="dxa"/>
            <w:vAlign w:val="bottom"/>
            <w:shd w:val="clear" w:color="auto" w:fill="F0FFFF"/>
          </w:tcPr>
          <w:p>
            <w:pPr>
              <w:spacing w:after="0"/>
              <w:rPr>
                <w:sz w:val="20"/>
                <w:szCs w:val="20"/>
                <w:color w:val="auto"/>
              </w:rPr>
            </w:pPr>
            <w:r>
              <w:rPr>
                <w:rFonts w:ascii="Arial" w:cs="Arial" w:eastAsia="Arial" w:hAnsi="Arial"/>
                <w:sz w:val="18"/>
                <w:szCs w:val="18"/>
                <w:color w:val="auto"/>
              </w:rPr>
              <w:t>Rental equipment sold, cost</w:t>
            </w:r>
          </w:p>
        </w:tc>
        <w:tc>
          <w:tcPr>
            <w:tcW w:w="3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3,873</w:t>
            </w:r>
          </w:p>
        </w:tc>
        <w:tc>
          <w:tcPr>
            <w:tcW w:w="60" w:type="dxa"/>
            <w:vAlign w:val="bottom"/>
            <w:shd w:val="clear" w:color="auto" w:fill="F0FFFF"/>
          </w:tcPr>
          <w:p>
            <w:pPr>
              <w:spacing w:after="0"/>
              <w:rPr>
                <w:sz w:val="18"/>
                <w:szCs w:val="18"/>
                <w:color w:val="auto"/>
              </w:rPr>
            </w:pPr>
          </w:p>
        </w:tc>
      </w:tr>
      <w:tr>
        <w:trPr>
          <w:trHeight w:val="237"/>
        </w:trPr>
        <w:tc>
          <w:tcPr>
            <w:tcW w:w="17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Rental equipment sold, accumulated depreciation upon sale</w:t>
            </w: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1720" w:type="dxa"/>
            <w:vAlign w:val="bottom"/>
          </w:tcPr>
          <w:p>
            <w:pPr>
              <w:spacing w:after="0"/>
              <w:rPr>
                <w:sz w:val="18"/>
                <w:szCs w:val="18"/>
                <w:color w:val="auto"/>
              </w:rPr>
            </w:pPr>
          </w:p>
        </w:tc>
        <w:tc>
          <w:tcPr>
            <w:tcW w:w="64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Rental equipment sold, net book value</w:t>
            </w:r>
          </w:p>
        </w:tc>
        <w:tc>
          <w:tcPr>
            <w:tcW w:w="32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3,542</w:t>
            </w:r>
          </w:p>
        </w:tc>
        <w:tc>
          <w:tcPr>
            <w:tcW w:w="60" w:type="dxa"/>
            <w:vAlign w:val="bottom"/>
            <w:tcBorders>
              <w:top w:val="single" w:sz="8" w:color="F0FFFF"/>
            </w:tcBorders>
            <w:shd w:val="clear" w:color="auto" w:fill="F0FFFF"/>
          </w:tcPr>
          <w:p>
            <w:pPr>
              <w:spacing w:after="0"/>
              <w:rPr>
                <w:sz w:val="18"/>
                <w:szCs w:val="18"/>
                <w:color w:val="auto"/>
              </w:rPr>
            </w:pPr>
          </w:p>
        </w:tc>
      </w:tr>
      <w:tr>
        <w:trPr>
          <w:trHeight w:val="223"/>
        </w:trPr>
        <w:tc>
          <w:tcPr>
            <w:tcW w:w="17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Proceeds from sale</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4,994</w:t>
            </w:r>
          </w:p>
        </w:tc>
      </w:tr>
      <w:tr>
        <w:trPr>
          <w:trHeight w:val="230"/>
        </w:trPr>
        <w:tc>
          <w:tcPr>
            <w:tcW w:w="1720" w:type="dxa"/>
            <w:vAlign w:val="bottom"/>
          </w:tcPr>
          <w:p>
            <w:pPr>
              <w:spacing w:after="0"/>
              <w:rPr>
                <w:sz w:val="19"/>
                <w:szCs w:val="19"/>
                <w:color w:val="auto"/>
              </w:rPr>
            </w:pPr>
          </w:p>
        </w:tc>
        <w:tc>
          <w:tcPr>
            <w:tcW w:w="646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Gain on sale of rental equipment</w:t>
            </w:r>
          </w:p>
        </w:tc>
        <w:tc>
          <w:tcPr>
            <w:tcW w:w="3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1,452</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FASB topic ASC 840-40, “Sale Leaseback Transactions”, any gain shall be deferred and shall be amortized in proportion to the related gross rental charged to expense over the lease term. The computed gain on the sale will be recognized ratably over the 36 month term and charged as a reduction to the Company’s JumpStart rent expense included in costs of services in the Company’s Consolidated Statement of Operations. For the years ended June 30, 2016 and 2015 the Company recognized gains as follows: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 in thousands)</w:t>
            </w:r>
          </w:p>
        </w:tc>
        <w:tc>
          <w:tcPr>
            <w:tcW w:w="320" w:type="dxa"/>
            <w:vAlign w:val="bottom"/>
          </w:tcPr>
          <w:p>
            <w:pPr>
              <w:spacing w:after="0"/>
              <w:rPr>
                <w:sz w:val="20"/>
                <w:szCs w:val="20"/>
                <w:color w:val="auto"/>
              </w:rPr>
            </w:pPr>
          </w:p>
        </w:tc>
        <w:tc>
          <w:tcPr>
            <w:tcW w:w="2840" w:type="dxa"/>
            <w:vAlign w:val="bottom"/>
            <w:gridSpan w:val="7"/>
          </w:tcPr>
          <w:p>
            <w:pPr>
              <w:jc w:val="right"/>
              <w:ind w:right="880"/>
              <w:spacing w:after="0"/>
              <w:rPr>
                <w:sz w:val="20"/>
                <w:szCs w:val="20"/>
                <w:color w:val="auto"/>
              </w:rPr>
            </w:pPr>
            <w:r>
              <w:rPr>
                <w:rFonts w:ascii="Arial" w:cs="Arial" w:eastAsia="Arial" w:hAnsi="Arial"/>
                <w:sz w:val="18"/>
                <w:szCs w:val="18"/>
                <w:color w:val="auto"/>
              </w:rPr>
              <w:t>Year ended June 30,</w:t>
            </w:r>
          </w:p>
        </w:tc>
      </w:tr>
      <w:tr>
        <w:trPr>
          <w:trHeight w:val="237"/>
        </w:trPr>
        <w:tc>
          <w:tcPr>
            <w:tcW w:w="5380" w:type="dxa"/>
            <w:vAlign w:val="bottom"/>
            <w:tcBorders>
              <w:bottom w:val="single" w:sz="8" w:color="F0FF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auto"/>
              <w:bottom w:val="single" w:sz="8" w:color="F0FFFF"/>
            </w:tcBorders>
          </w:tcPr>
          <w:p>
            <w:pPr>
              <w:spacing w:after="0"/>
              <w:rPr>
                <w:sz w:val="20"/>
                <w:szCs w:val="20"/>
                <w:color w:val="auto"/>
              </w:rPr>
            </w:pPr>
          </w:p>
        </w:tc>
        <w:tc>
          <w:tcPr>
            <w:tcW w:w="20" w:type="dxa"/>
            <w:vAlign w:val="bottom"/>
            <w:tcBorders>
              <w:top w:val="single" w:sz="8" w:color="auto"/>
              <w:bottom w:val="single" w:sz="8" w:color="F0FF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r>
      <w:tr>
        <w:trPr>
          <w:trHeight w:val="216"/>
        </w:trPr>
        <w:tc>
          <w:tcPr>
            <w:tcW w:w="5380" w:type="dxa"/>
            <w:vAlign w:val="bottom"/>
            <w:shd w:val="clear" w:color="auto" w:fill="F0FFFF"/>
          </w:tcPr>
          <w:p>
            <w:pPr>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1,760</w:t>
            </w:r>
          </w:p>
        </w:tc>
        <w:tc>
          <w:tcPr>
            <w:tcW w:w="1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1,142</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Gain on sale of rental equipment</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1,452</w:t>
            </w:r>
          </w:p>
        </w:tc>
        <w:tc>
          <w:tcPr>
            <w:tcW w:w="60" w:type="dxa"/>
            <w:vAlign w:val="bottom"/>
          </w:tcPr>
          <w:p>
            <w:pPr>
              <w:spacing w:after="0"/>
              <w:rPr>
                <w:sz w:val="18"/>
                <w:szCs w:val="18"/>
                <w:color w:val="auto"/>
              </w:rPr>
            </w:pPr>
          </w:p>
        </w:tc>
      </w:tr>
      <w:tr>
        <w:trPr>
          <w:trHeight w:val="250"/>
        </w:trPr>
        <w:tc>
          <w:tcPr>
            <w:tcW w:w="5380" w:type="dxa"/>
            <w:vAlign w:val="bottom"/>
            <w:shd w:val="clear" w:color="auto" w:fill="F0FFFF"/>
          </w:tcPr>
          <w:p>
            <w:pPr>
              <w:spacing w:after="0"/>
              <w:rPr>
                <w:sz w:val="20"/>
                <w:szCs w:val="20"/>
                <w:color w:val="auto"/>
              </w:rPr>
            </w:pPr>
            <w:r>
              <w:rPr>
                <w:rFonts w:ascii="Arial" w:cs="Arial" w:eastAsia="Arial" w:hAnsi="Arial"/>
                <w:sz w:val="18"/>
                <w:szCs w:val="18"/>
                <w:color w:val="auto"/>
              </w:rPr>
              <w:t>Recognition of deferred gain</w:t>
            </w:r>
          </w:p>
        </w:tc>
        <w:tc>
          <w:tcPr>
            <w:tcW w:w="32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(860)</w:t>
            </w:r>
          </w:p>
        </w:tc>
        <w:tc>
          <w:tcPr>
            <w:tcW w:w="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22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(834)</w:t>
            </w:r>
          </w:p>
        </w:tc>
      </w:tr>
      <w:tr>
        <w:trPr>
          <w:trHeight w:val="203"/>
        </w:trPr>
        <w:tc>
          <w:tcPr>
            <w:tcW w:w="538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900</w:t>
            </w:r>
          </w:p>
        </w:tc>
        <w:tc>
          <w:tcPr>
            <w:tcW w:w="16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1,760</w:t>
            </w:r>
          </w:p>
        </w:tc>
        <w:tc>
          <w:tcPr>
            <w:tcW w:w="2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r>
      <w:tr>
        <w:trPr>
          <w:trHeight w:val="250"/>
        </w:trPr>
        <w:tc>
          <w:tcPr>
            <w:tcW w:w="5380" w:type="dxa"/>
            <w:vAlign w:val="bottom"/>
            <w:shd w:val="clear" w:color="auto" w:fill="F0FFFF"/>
          </w:tcPr>
          <w:p>
            <w:pPr>
              <w:spacing w:after="0"/>
              <w:rPr>
                <w:sz w:val="20"/>
                <w:szCs w:val="20"/>
                <w:color w:val="auto"/>
              </w:rPr>
            </w:pPr>
            <w:r>
              <w:rPr>
                <w:rFonts w:ascii="Arial" w:cs="Arial" w:eastAsia="Arial" w:hAnsi="Arial"/>
                <w:sz w:val="18"/>
                <w:szCs w:val="18"/>
                <w:color w:val="auto"/>
              </w:rPr>
              <w:t>Less current portion</w:t>
            </w:r>
          </w:p>
        </w:tc>
        <w:tc>
          <w:tcPr>
            <w:tcW w:w="32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860</w:t>
            </w:r>
          </w:p>
        </w:tc>
        <w:tc>
          <w:tcPr>
            <w:tcW w:w="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860</w:t>
            </w:r>
          </w:p>
        </w:tc>
        <w:tc>
          <w:tcPr>
            <w:tcW w:w="60" w:type="dxa"/>
            <w:vAlign w:val="bottom"/>
            <w:shd w:val="clear" w:color="auto" w:fill="F0FFFF"/>
          </w:tcPr>
          <w:p>
            <w:pPr>
              <w:spacing w:after="0"/>
              <w:rPr>
                <w:sz w:val="21"/>
                <w:szCs w:val="21"/>
                <w:color w:val="auto"/>
              </w:rPr>
            </w:pPr>
          </w:p>
        </w:tc>
      </w:tr>
      <w:tr>
        <w:trPr>
          <w:trHeight w:val="217"/>
        </w:trPr>
        <w:tc>
          <w:tcPr>
            <w:tcW w:w="538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Non-current portion of deferred gain</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20" w:type="dxa"/>
            <w:vAlign w:val="bottom"/>
            <w:tcBorders>
              <w:top w:val="single" w:sz="8" w:color="F0FFFF"/>
              <w:bottom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r>
      <w:tr>
        <w:trPr>
          <w:trHeight w:val="21"/>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LEASES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Other lease commitments include leases for its operations from various facilities. The Company leases space located in Malvern, Pennsylvania for its principal executive office and used for general administrative functions, sales activities, product development, and customer support. In April 2016, the Company entered into a Third Amendment to Office Space Lease (the “Third Amendment”) which amended certain terms of its existing lease (the “Lease”) for its Malvern, Pennsylvania executive offices consisting of approximately 17,249 square feet located on the first floor of the building (the “Current Premises”). The Third Amendment provides that the Company will relocate from the Current Premises to new offices located on the third floor of the building (the “New Offices”) consisting of approximately 17,689 square feet. Substantially all of the improvements to the New Offices will be constructed by the landlord at the landlord’s cost and expense. When the New Offices are substantially completed, the Company would relocate from the Current Premises to the New Premises (the “New Premises Commencement Date”). The Third Amendment provides that the term of the Lease is extended from the prior expiration date of April 30, 2016 until seven years following July 1, 2016 (the” New Premises Commencement Date”). The Company’s monthly base rent for the Premises will increase from approximately $32 thousand to $36 thousand on the New Premises Commencement Date, and will increase each year thereafter up to a maximum monthly base rent of approximately $41 thousand. The Third Amendment also grants to the Company the option to extend the term of the Lease for an additional five year period with a minimum of one year advance notice prior to the expiration of the initial term, and provides certain rights of first offer on additional space located on the third floor of the building. The straight-line rent expense for this office is approximately $38 thousand per month for the duration of the lease.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leases space in Malvern, Pennsylvania for its product warehousing and shipping support. In March 2016, the Company extended its lease from March 1, 2016 through February 29, 2019. The lease includes monthly rental payments of $5 thousand. Beginning in March 2016 the straight-line rent expense for this operations site is approximately $5 thousand per month for the duration of the lease period.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leases space in Portland, Oregon related to its VendScreen acquisition. The current lease consists of approximately 9,319 square feet. The lease includes monthly rental payments of $20 thousand and will terminate on September 30, 2016. The Company is currently negotiating a new lease for space related to this facility.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under operating leases was approximately $479 thousand, $354 thousand and $372 thousand during the years ended June 30, 2016,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LEASE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for fiscal years subsequent to June 30, 2016 under non-cancellable operating leases and capital leases are as follows:</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w w:val="96"/>
              </w:rPr>
              <w:t>Other Operating</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0"/>
              </w:rPr>
              <w:t>Total Operating</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Capital</w:t>
            </w:r>
          </w:p>
        </w:tc>
        <w:tc>
          <w:tcPr>
            <w:tcW w:w="0" w:type="dxa"/>
            <w:vAlign w:val="bottom"/>
          </w:tcPr>
          <w:p>
            <w:pPr>
              <w:spacing w:after="0"/>
              <w:rPr>
                <w:sz w:val="1"/>
                <w:szCs w:val="1"/>
                <w:color w:val="auto"/>
              </w:rPr>
            </w:pPr>
          </w:p>
        </w:tc>
      </w:tr>
      <w:tr>
        <w:trPr>
          <w:trHeight w:val="237"/>
        </w:trPr>
        <w:tc>
          <w:tcPr>
            <w:tcW w:w="396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780" w:type="dxa"/>
            <w:vAlign w:val="bottom"/>
            <w:gridSpan w:val="4"/>
          </w:tcPr>
          <w:p>
            <w:pPr>
              <w:ind w:left="180"/>
              <w:spacing w:after="0"/>
              <w:rPr>
                <w:sz w:val="20"/>
                <w:szCs w:val="20"/>
                <w:color w:val="auto"/>
              </w:rPr>
            </w:pPr>
            <w:r>
              <w:rPr>
                <w:rFonts w:ascii="Arial" w:cs="Arial" w:eastAsia="Arial" w:hAnsi="Arial"/>
                <w:sz w:val="18"/>
                <w:szCs w:val="18"/>
                <w:color w:val="auto"/>
                <w:w w:val="93"/>
              </w:rPr>
              <w:t>from Sale Leaseback</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Leases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Leases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Leases</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F0FFFF"/>
          </w:tcPr>
          <w:p>
            <w:pPr>
              <w:spacing w:after="0"/>
              <w:rPr>
                <w:sz w:val="20"/>
                <w:szCs w:val="20"/>
                <w:color w:val="auto"/>
              </w:rPr>
            </w:pPr>
            <w:r>
              <w:rPr>
                <w:rFonts w:ascii="Arial" w:cs="Arial" w:eastAsia="Arial" w:hAnsi="Arial"/>
                <w:sz w:val="18"/>
                <w:szCs w:val="18"/>
                <w:color w:val="auto"/>
              </w:rPr>
              <w:t>2017</w:t>
            </w:r>
          </w:p>
        </w:tc>
        <w:tc>
          <w:tcPr>
            <w:tcW w:w="2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shd w:val="clear" w:color="auto" w:fill="F0FFFF"/>
          </w:tcPr>
          <w:p>
            <w:pPr>
              <w:spacing w:after="0"/>
              <w:rPr>
                <w:sz w:val="18"/>
                <w:szCs w:val="18"/>
                <w:color w:val="auto"/>
              </w:rPr>
            </w:pPr>
          </w:p>
        </w:tc>
        <w:tc>
          <w:tcPr>
            <w:tcW w:w="34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552</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3,193</w:t>
            </w:r>
          </w:p>
        </w:tc>
        <w:tc>
          <w:tcPr>
            <w:tcW w:w="44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F0FFFF"/>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F0FF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F0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tcPr>
          <w:p>
            <w:pPr>
              <w:spacing w:after="0"/>
              <w:rPr>
                <w:sz w:val="19"/>
                <w:szCs w:val="19"/>
                <w:color w:val="auto"/>
              </w:rPr>
            </w:pPr>
          </w:p>
        </w:tc>
        <w:tc>
          <w:tcPr>
            <w:tcW w:w="80" w:type="dxa"/>
            <w:vAlign w:val="bottom"/>
            <w:tcBorders>
              <w:bottom w:val="single" w:sz="8" w:color="F0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Borders>
              <w:bottom w:val="single" w:sz="8" w:color="F0FF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200" w:type="dxa"/>
            <w:vAlign w:val="bottom"/>
            <w:tcBorders>
              <w:bottom w:val="single" w:sz="8" w:color="F0FF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minimum lease payments</w:t>
            </w:r>
          </w:p>
        </w:tc>
        <w:tc>
          <w:tcPr>
            <w:tcW w:w="1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3,443</w:t>
            </w:r>
          </w:p>
        </w:tc>
        <w:tc>
          <w:tcPr>
            <w:tcW w:w="18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6,222</w:t>
            </w:r>
          </w:p>
        </w:tc>
        <w:tc>
          <w:tcPr>
            <w:tcW w:w="20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Present Value of net minimum lease payments</w:t>
            </w: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4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F0FFFF"/>
              <w:bottom w:val="single" w:sz="8" w:color="F0FFFF"/>
            </w:tcBorders>
            <w:shd w:val="clear" w:color="auto" w:fill="F0FFFF"/>
          </w:tcPr>
          <w:p>
            <w:pPr>
              <w:spacing w:after="0"/>
              <w:rPr>
                <w:sz w:val="20"/>
                <w:szCs w:val="20"/>
                <w:color w:val="auto"/>
              </w:rPr>
            </w:pPr>
          </w:p>
        </w:tc>
        <w:tc>
          <w:tcPr>
            <w:tcW w:w="108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24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F0FFFF"/>
            </w:tcBorders>
          </w:tcPr>
          <w:p>
            <w:pPr>
              <w:spacing w:after="0" w:line="203" w:lineRule="exact"/>
              <w:rPr>
                <w:sz w:val="20"/>
                <w:szCs w:val="20"/>
                <w:color w:val="auto"/>
              </w:rPr>
            </w:pPr>
            <w:r>
              <w:rPr>
                <w:rFonts w:ascii="Arial" w:cs="Arial" w:eastAsia="Arial" w:hAnsi="Arial"/>
                <w:sz w:val="18"/>
                <w:szCs w:val="18"/>
                <w:color w:val="auto"/>
              </w:rPr>
              <w:t>Less Current obligations under capital leases</w:t>
            </w:r>
          </w:p>
        </w:tc>
        <w:tc>
          <w:tcPr>
            <w:tcW w:w="180" w:type="dxa"/>
            <w:vAlign w:val="bottom"/>
            <w:tcBorders>
              <w:bottom w:val="single" w:sz="8" w:color="F0FFFF"/>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1400" w:type="dxa"/>
            <w:vAlign w:val="bottom"/>
            <w:tcBorders>
              <w:bottom w:val="single" w:sz="8" w:color="F0FFFF"/>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260" w:type="dxa"/>
            <w:vAlign w:val="bottom"/>
            <w:tcBorders>
              <w:bottom w:val="single" w:sz="8" w:color="F0FFFF"/>
            </w:tcBorders>
          </w:tcPr>
          <w:p>
            <w:pPr>
              <w:spacing w:after="0"/>
              <w:rPr>
                <w:sz w:val="18"/>
                <w:szCs w:val="18"/>
                <w:color w:val="auto"/>
              </w:rPr>
            </w:pPr>
          </w:p>
        </w:tc>
        <w:tc>
          <w:tcPr>
            <w:tcW w:w="1080" w:type="dxa"/>
            <w:vAlign w:val="bottom"/>
            <w:tcBorders>
              <w:bottom w:val="single" w:sz="8" w:color="F0FFFF"/>
            </w:tcBorders>
          </w:tcPr>
          <w:p>
            <w:pPr>
              <w:spacing w:after="0"/>
              <w:rPr>
                <w:sz w:val="18"/>
                <w:szCs w:val="18"/>
                <w:color w:val="auto"/>
              </w:rPr>
            </w:pPr>
          </w:p>
        </w:tc>
        <w:tc>
          <w:tcPr>
            <w:tcW w:w="18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1240" w:type="dxa"/>
            <w:vAlign w:val="bottom"/>
            <w:tcBorders>
              <w:bottom w:val="single" w:sz="8" w:color="F0FFFF"/>
            </w:tcBorders>
          </w:tcPr>
          <w:p>
            <w:pPr>
              <w:spacing w:after="0"/>
              <w:rPr>
                <w:sz w:val="18"/>
                <w:szCs w:val="18"/>
                <w:color w:val="auto"/>
              </w:rPr>
            </w:pPr>
          </w:p>
        </w:tc>
        <w:tc>
          <w:tcPr>
            <w:tcW w:w="20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w:t>
            </w:r>
          </w:p>
        </w:tc>
        <w:tc>
          <w:tcPr>
            <w:tcW w:w="10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w w:val="93"/>
              </w:rPr>
              <w:t>Obligations under capital leases, less current portion</w:t>
            </w:r>
          </w:p>
        </w:tc>
        <w:tc>
          <w:tcPr>
            <w:tcW w:w="1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4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F0FFFF"/>
            </w:tcBorders>
            <w:shd w:val="clear" w:color="auto" w:fill="F0FFFF"/>
          </w:tcPr>
          <w:p>
            <w:pPr>
              <w:spacing w:after="0"/>
              <w:rPr>
                <w:sz w:val="19"/>
                <w:szCs w:val="19"/>
                <w:color w:val="auto"/>
              </w:rPr>
            </w:pPr>
          </w:p>
        </w:tc>
        <w:tc>
          <w:tcPr>
            <w:tcW w:w="108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24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previously reported, on October 1, 2015, a purported class action was filed in the United States District Court for the Eastern District of Pennsylvania against the Company and its executive officers alleging violations under the Securities Exchange Act of 1934. On December 15, 2015, the court appointed a lead plaintiff, and on January 18, 2016, the plaintiff filed an amended complaint that set forth the same causes of action and requested substantially the same relief as the original complaint. On February 1, 2016, the Company filed a motion to dismiss the amended complaint. On April 11, 2016, the Court held oral argument on the Company’s motion, and on April 14, 2016, the Court issued an order granting the Company’s motion to dismiss the amended complaint without leave to amend. On May 13, 2016, the plaintiff appealed the Court’s order to the United States Court of Appeals for the Third Circuit.</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16, 2016, the plaintiff filed a Motion For Relief From Final Judgment with the District Court seeking an order modifying the District Court’s April 14, 2016 order dismissing the complaint, and permitting the plaintiff to now file an amended complaint due to alleged newly discovered evidence. By Order dated September 6, 2016, the District Court found that the Motion raised a substantial issue, and directed the plaintiff to notify the Court of Appeals thereof. On September 7, 2016, the plaintiff so notified the Court of Appeals. It is anticipated that the Court of Appeals will remand the case to the District Court pending the District Court’s ruling on the Motion. The Company’s response to the Motion is due by no later than September 15, 2016. The Company believes that the Motion has no merit and intends to vigorously oppose the Motion.</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By letter dated December 7, 2015, a purported shareholder of the Company demanded that the Board of Directors investigate, remedy and commence proceedings against certain of the Company’s current and former officers and directors for breach of fiduciary duties in connection with the material weakness in its internal controls over financial reporting which were more fully described in the Company’s Form 10-K for the fiscal year ended June 30, 2015 (the “2015 Form 10-K”). In response to the demand letter, the Board of Directors formed a special litigation committee (“the SLC”) consisting of Joel Brooks and William Reilly, Jr., in order to investigate and evaluate the demand letter. On June 1, 2016, and before the SLC had concluded its investigation, the purported shareholder filed a purported derivative action on behalf of the Company in the Chester County, Pennsylvania, Court of Common Pleas, against certain current and former officers and Directors. The complaint alleges that the defendants breached their fiduciary duties relating to the material weakness in internal controls reported in the 2015 Form 10-K. The complaint seeks unspecified damages against the defendants and certain equitable relief. On July 15, 2016 the SLC issued its report (the “SLC Report”) which, among other things, concluded that the none of the current or former officers or Directors had breached their fiduciary duties, that it was not in the best interests of the Company to pursue the pending shareholder derivative action, and that the Company request the Court to dismiss the action in its entirety. On August 1, 2016, the Board of Directors of the Company adopted all of the conclusions and recommendations set forth in the SLC Report. On August 16, 2016, the Company filed with the Court a Motion to Dismiss the shareholder derivative complaint. As of the date hereof, the court has not ruled on the Motion to Dismiss.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ultimate outcome of these matters cannot be determined at this time. The Company believes that it has meritorious defenses to such claims and is defending them vigorously, and has not recorded a provision for the ultimate outcome of these matters in its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REVISIONS OF PREVIOUSLY REPORTED CONSOLIDATED FINANCIAL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included in this Form 10-K reflect additional shares of common stock and preferred stock that had been issued and outstanding in prior periods but were not reflected as such in previous consolidated financial statements. The additional shares primarily consisted of unvested shares of common stock awarded to officers and directors pursuant to the Company’s equity compensation plans.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Statement of Shareholders’ Equity has been adjusted to reflect these additional common and preferred shares as of June 30, 2013. The June 30, 2015 Consolidated Balance Sheet has also been adjusted to reflect these additional shares; and the liquidation preference of preferred stock as of such date has been increased by $85 thousand.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cumulative preferred dividends and the basic and diluted weighted average number of common shares outstanding in the Consolidated Statements of Operations for the fiscal years ended June 30, 2015 and 2014 have also been adjusted. The foregoing adjustments in basic and diluted weighted common shares outstanding did not affect the previously reported net income (loss) per common share-basic or diluted for the fiscal year ended June 30, 2015. For the fiscal year ended June 30, 2014 net income per common share-basic and diluted decreased from $.78 to $.77.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Revised Consolidated Statements of Operations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8"/>
          </w:tcPr>
          <w:p>
            <w:pPr>
              <w:jc w:val="right"/>
              <w:ind w:right="80"/>
              <w:spacing w:after="0"/>
              <w:rPr>
                <w:sz w:val="20"/>
                <w:szCs w:val="20"/>
                <w:color w:val="auto"/>
              </w:rPr>
            </w:pPr>
            <w:r>
              <w:rPr>
                <w:rFonts w:ascii="Arial" w:cs="Arial" w:eastAsia="Arial" w:hAnsi="Arial"/>
                <w:sz w:val="18"/>
                <w:szCs w:val="18"/>
                <w:color w:val="auto"/>
              </w:rPr>
              <w:t>Year ended June 30, 2014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As previously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reported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Adjustment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As Revised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(664)</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 applicable to common shares</w:t>
            </w: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26,867</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26,863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8"/>
                <w:szCs w:val="18"/>
                <w:color w:val="auto"/>
              </w:rPr>
              <w:t>Net earnings (loss) per common share basic</w:t>
            </w: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0.78</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8"/>
                <w:szCs w:val="18"/>
                <w:color w:val="auto"/>
              </w:rPr>
              <w:t>Net earnings (loss) per common share diluted</w:t>
            </w: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0.78</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8"/>
                <w:szCs w:val="18"/>
                <w:color w:val="auto"/>
              </w:rPr>
              <w:t>Basic weighted average number of common shares outstanding</w:t>
            </w: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34,613,497</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54,272</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34,667,769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34,613,497</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396,062</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35,009,559</w:t>
            </w:r>
          </w:p>
        </w:tc>
        <w:tc>
          <w:tcPr>
            <w:tcW w:w="0" w:type="dxa"/>
            <w:vAlign w:val="bottom"/>
          </w:tcPr>
          <w:p>
            <w:pPr>
              <w:spacing w:after="0"/>
              <w:rPr>
                <w:sz w:val="1"/>
                <w:szCs w:val="1"/>
                <w:color w:val="auto"/>
              </w:rPr>
            </w:pPr>
          </w:p>
        </w:tc>
      </w:tr>
      <w:tr>
        <w:trPr>
          <w:trHeight w:val="418"/>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8"/>
          </w:tcPr>
          <w:p>
            <w:pPr>
              <w:jc w:val="right"/>
              <w:ind w:right="80"/>
              <w:spacing w:after="0"/>
              <w:rPr>
                <w:sz w:val="20"/>
                <w:szCs w:val="20"/>
                <w:color w:val="auto"/>
              </w:rPr>
            </w:pPr>
            <w:r>
              <w:rPr>
                <w:rFonts w:ascii="Arial" w:cs="Arial" w:eastAsia="Arial" w:hAnsi="Arial"/>
                <w:sz w:val="18"/>
                <w:szCs w:val="18"/>
                <w:color w:val="auto"/>
              </w:rPr>
              <w:t>Year ended June 30, 2015</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As previously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reported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Adjustment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As Revised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(664)</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 applicable to common shares</w:t>
            </w: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(1,753)</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8"/>
                <w:szCs w:val="18"/>
                <w:color w:val="auto"/>
              </w:rPr>
              <w:t>Basic and diluted weighted average number of common shares outstanding</w:t>
            </w: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35,663,386</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55,825</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35,719,211</w:t>
            </w: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Revised Consolidated Statements of Equity</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8"/>
          </w:tcPr>
          <w:p>
            <w:pPr>
              <w:jc w:val="right"/>
              <w:ind w:right="80"/>
              <w:spacing w:after="0"/>
              <w:rPr>
                <w:sz w:val="20"/>
                <w:szCs w:val="20"/>
                <w:color w:val="auto"/>
              </w:rPr>
            </w:pPr>
            <w:r>
              <w:rPr>
                <w:rFonts w:ascii="Arial" w:cs="Arial" w:eastAsia="Arial" w:hAnsi="Arial"/>
                <w:sz w:val="18"/>
                <w:szCs w:val="18"/>
                <w:color w:val="auto"/>
              </w:rPr>
              <w:t>Year ended June 30, 2014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Common Shares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As previously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6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reported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Adjustment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As Revised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8"/>
                <w:szCs w:val="18"/>
                <w:color w:val="auto"/>
              </w:rPr>
              <w:t>Stock based compensation</w:t>
            </w: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2010 Stock Incentive Plan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(3,334)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2011 Stock Incentive Plan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51,667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(51,667)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2012 Stock Incentive Plan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158,505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158,505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2013 Stock Incentive Plan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131,203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(75,393)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(49,311)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(3,334)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(52,645)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Balance June 30, 2014</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35,514,685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87,438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35,602,123</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8"/>
          </w:tcPr>
          <w:p>
            <w:pPr>
              <w:jc w:val="right"/>
              <w:ind w:right="80"/>
              <w:spacing w:after="0"/>
              <w:rPr>
                <w:sz w:val="20"/>
                <w:szCs w:val="20"/>
                <w:color w:val="auto"/>
              </w:rPr>
            </w:pPr>
            <w:r>
              <w:rPr>
                <w:rFonts w:ascii="Arial" w:cs="Arial" w:eastAsia="Arial" w:hAnsi="Arial"/>
                <w:sz w:val="18"/>
                <w:szCs w:val="18"/>
                <w:color w:val="auto"/>
              </w:rPr>
              <w:t>Year ended June 30, 2015</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Common Shares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As previously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6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reported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Adjustment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As Revised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8"/>
                <w:szCs w:val="18"/>
                <w:color w:val="auto"/>
              </w:rPr>
              <w:t>Stock based compensation</w:t>
            </w: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2011 Stock Incentive Plan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(10,002)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2012 Stock Incentive Plan</w:t>
            </w:r>
          </w:p>
        </w:tc>
        <w:tc>
          <w:tcPr>
            <w:tcW w:w="4020" w:type="dxa"/>
            <w:vAlign w:val="bottom"/>
          </w:tcPr>
          <w:p>
            <w:pPr>
              <w:jc w:val="right"/>
              <w:ind w:right="410"/>
              <w:spacing w:after="0"/>
              <w:rPr>
                <w:sz w:val="20"/>
                <w:szCs w:val="20"/>
                <w:color w:val="auto"/>
              </w:rPr>
            </w:pPr>
            <w:r>
              <w:rPr>
                <w:rFonts w:ascii="Arial" w:cs="Arial" w:eastAsia="Arial" w:hAnsi="Arial"/>
                <w:sz w:val="18"/>
                <w:szCs w:val="18"/>
                <w:color w:val="auto"/>
              </w:rPr>
              <w:t>88,991</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(55,293)</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F0FFFF"/>
          </w:tcPr>
          <w:p>
            <w:pPr>
              <w:spacing w:after="0"/>
              <w:rPr>
                <w:sz w:val="18"/>
                <w:szCs w:val="18"/>
                <w:color w:val="auto"/>
              </w:rPr>
            </w:pPr>
          </w:p>
        </w:tc>
        <w:tc>
          <w:tcPr>
            <w:tcW w:w="4020" w:type="dxa"/>
            <w:vAlign w:val="bottom"/>
            <w:shd w:val="clear" w:color="auto" w:fill="F0FFFF"/>
          </w:tcPr>
          <w:p>
            <w:pPr>
              <w:spacing w:after="0"/>
              <w:rPr>
                <w:sz w:val="18"/>
                <w:szCs w:val="18"/>
                <w:color w:val="auto"/>
              </w:rPr>
            </w:pPr>
          </w:p>
        </w:tc>
        <w:tc>
          <w:tcPr>
            <w:tcW w:w="134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2013 Stock Incentive Plan</w:t>
            </w:r>
          </w:p>
        </w:tc>
        <w:tc>
          <w:tcPr>
            <w:tcW w:w="4020" w:type="dxa"/>
            <w:vAlign w:val="bottom"/>
          </w:tcPr>
          <w:p>
            <w:pPr>
              <w:jc w:val="right"/>
              <w:ind w:right="410"/>
              <w:spacing w:after="0"/>
              <w:rPr>
                <w:sz w:val="20"/>
                <w:szCs w:val="20"/>
                <w:color w:val="auto"/>
              </w:rPr>
            </w:pPr>
            <w:r>
              <w:rPr>
                <w:rFonts w:ascii="Arial" w:cs="Arial" w:eastAsia="Arial" w:hAnsi="Arial"/>
                <w:sz w:val="18"/>
                <w:szCs w:val="18"/>
                <w:color w:val="auto"/>
              </w:rPr>
              <w:t>165,463</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(5,722)</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159,741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F0FFFF"/>
          </w:tcPr>
          <w:p>
            <w:pPr>
              <w:spacing w:after="0"/>
              <w:rPr>
                <w:sz w:val="18"/>
                <w:szCs w:val="18"/>
                <w:color w:val="auto"/>
              </w:rPr>
            </w:pPr>
          </w:p>
        </w:tc>
        <w:tc>
          <w:tcPr>
            <w:tcW w:w="4020" w:type="dxa"/>
            <w:vAlign w:val="bottom"/>
            <w:shd w:val="clear" w:color="auto" w:fill="F0FFFF"/>
          </w:tcPr>
          <w:p>
            <w:pPr>
              <w:spacing w:after="0"/>
              <w:rPr>
                <w:sz w:val="18"/>
                <w:szCs w:val="18"/>
                <w:color w:val="auto"/>
              </w:rPr>
            </w:pPr>
          </w:p>
        </w:tc>
        <w:tc>
          <w:tcPr>
            <w:tcW w:w="134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2014 Stock Incentive Plan</w:t>
            </w:r>
          </w:p>
        </w:tc>
        <w:tc>
          <w:tcPr>
            <w:tcW w:w="40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F0FFFF"/>
          </w:tcPr>
          <w:p>
            <w:pPr>
              <w:spacing w:after="0"/>
              <w:rPr>
                <w:sz w:val="18"/>
                <w:szCs w:val="18"/>
                <w:color w:val="auto"/>
              </w:rPr>
            </w:pPr>
          </w:p>
        </w:tc>
        <w:tc>
          <w:tcPr>
            <w:tcW w:w="4020" w:type="dxa"/>
            <w:vAlign w:val="bottom"/>
            <w:shd w:val="clear" w:color="auto" w:fill="F0FFFF"/>
          </w:tcPr>
          <w:p>
            <w:pPr>
              <w:spacing w:after="0"/>
              <w:rPr>
                <w:sz w:val="18"/>
                <w:szCs w:val="18"/>
                <w:color w:val="auto"/>
              </w:rPr>
            </w:pPr>
          </w:p>
        </w:tc>
        <w:tc>
          <w:tcPr>
            <w:tcW w:w="134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4020" w:type="dxa"/>
            <w:vAlign w:val="bottom"/>
          </w:tcPr>
          <w:p>
            <w:pPr>
              <w:jc w:val="right"/>
              <w:ind w:right="350"/>
              <w:spacing w:after="0"/>
              <w:rPr>
                <w:sz w:val="20"/>
                <w:szCs w:val="20"/>
                <w:color w:val="auto"/>
              </w:rPr>
            </w:pPr>
            <w:r>
              <w:rPr>
                <w:rFonts w:ascii="Arial" w:cs="Arial" w:eastAsia="Arial" w:hAnsi="Arial"/>
                <w:sz w:val="18"/>
                <w:szCs w:val="18"/>
                <w:color w:val="auto"/>
              </w:rPr>
              <w:t>(31,899)</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(31,899)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F0FFFF"/>
          </w:tcPr>
          <w:p>
            <w:pPr>
              <w:spacing w:after="0"/>
              <w:rPr>
                <w:sz w:val="18"/>
                <w:szCs w:val="18"/>
                <w:color w:val="auto"/>
              </w:rPr>
            </w:pPr>
          </w:p>
        </w:tc>
        <w:tc>
          <w:tcPr>
            <w:tcW w:w="4020" w:type="dxa"/>
            <w:vAlign w:val="bottom"/>
            <w:shd w:val="clear" w:color="auto" w:fill="F0FFFF"/>
          </w:tcPr>
          <w:p>
            <w:pPr>
              <w:spacing w:after="0"/>
              <w:rPr>
                <w:sz w:val="18"/>
                <w:szCs w:val="18"/>
                <w:color w:val="auto"/>
              </w:rPr>
            </w:pPr>
          </w:p>
        </w:tc>
        <w:tc>
          <w:tcPr>
            <w:tcW w:w="134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Balance June 30, 2015</w:t>
            </w:r>
          </w:p>
        </w:tc>
        <w:tc>
          <w:tcPr>
            <w:tcW w:w="4020" w:type="dxa"/>
            <w:vAlign w:val="bottom"/>
          </w:tcPr>
          <w:p>
            <w:pPr>
              <w:jc w:val="right"/>
              <w:ind w:right="410"/>
              <w:spacing w:after="0"/>
              <w:rPr>
                <w:sz w:val="20"/>
                <w:szCs w:val="20"/>
                <w:color w:val="auto"/>
              </w:rPr>
            </w:pPr>
            <w:r>
              <w:rPr>
                <w:rFonts w:ascii="Arial" w:cs="Arial" w:eastAsia="Arial" w:hAnsi="Arial"/>
                <w:sz w:val="18"/>
                <w:szCs w:val="18"/>
                <w:color w:val="auto"/>
              </w:rPr>
              <w:t>35,747,242</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16,421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35,763,663</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20. UNAUDITED QUARTERLY DATA</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i w:val="1"/>
                <w:iCs w:val="1"/>
                <w:color w:val="auto"/>
              </w:rPr>
              <w:t>UNAUDITED</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YEAR ENDED JUNE 30, 2016</w:t>
            </w:r>
          </w:p>
        </w:tc>
        <w:tc>
          <w:tcPr>
            <w:tcW w:w="10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First Quarter</w:t>
            </w: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rPr>
              <w:t>Second Quarter</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Third Quarter</w:t>
            </w:r>
          </w:p>
        </w:tc>
        <w:tc>
          <w:tcPr>
            <w:tcW w:w="8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Fourth Quarter</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16,600</w:t>
            </w: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18,503</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20,361</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21,944</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77,408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5,047</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5,483</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5,672</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5,783</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21,985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594</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(595)</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(1,578)</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(874)</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(5,420)</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(872)</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(334)</w:t>
            </w: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(334)</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 (loss) applicable to common shares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(874)</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(5,754)</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(872)</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earnings (loss) per common share:</w:t>
            </w: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number of common shares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35,848,395</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35,909,933</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36,161,626</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37,325,681</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36,309,047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36,487,879</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35,909,933</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36,161,626</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37,325,681</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36,309,047</w:t>
            </w:r>
          </w:p>
        </w:tc>
        <w:tc>
          <w:tcPr>
            <w:tcW w:w="0" w:type="dxa"/>
            <w:vAlign w:val="bottom"/>
          </w:tcPr>
          <w:p>
            <w:pPr>
              <w:spacing w:after="0"/>
              <w:rPr>
                <w:sz w:val="1"/>
                <w:szCs w:val="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i w:val="1"/>
                <w:iCs w:val="1"/>
                <w:color w:val="auto"/>
              </w:rPr>
              <w:t>UNAUDITED</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YEAR ENDED JUNE 30, 2015</w:t>
            </w:r>
          </w:p>
        </w:tc>
        <w:tc>
          <w:tcPr>
            <w:tcW w:w="10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First Quarter</w:t>
            </w: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rPr>
              <w:t>Second Quarter</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Third Quarter</w:t>
            </w:r>
          </w:p>
        </w:tc>
        <w:tc>
          <w:tcPr>
            <w:tcW w:w="8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Fourth Quarter</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12,253</w:t>
            </w: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12,821</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15,358</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17,645</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3,135</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3,733</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5,146</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4,809</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16,823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(667)</w:t>
            </w: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731</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(355)</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(567)</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(200)</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(334)</w:t>
            </w: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(334)</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 (loss) applicable to common shares</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F0FFFF"/>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(901)</w:t>
            </w:r>
          </w:p>
        </w:tc>
        <w:tc>
          <w:tcPr>
            <w:tcW w:w="3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(200)</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earnings (loss) per common share</w:t>
            </w: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number of common shares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35,651,732</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35,716,848</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35,747,979</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35,761,370</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35,719,211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35,651,732</w:t>
            </w:r>
          </w:p>
        </w:tc>
        <w:tc>
          <w:tcPr>
            <w:tcW w:w="2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35,716,848</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35,747,979</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36,206,934</w:t>
            </w:r>
          </w:p>
        </w:tc>
        <w:tc>
          <w:tcPr>
            <w:tcW w:w="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35,719,211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principal executive officer and principal financial officer have evaluated the Company’s disclosure controls and procedures as of June 30, 2016. Based on this evaluation, they conclude that because of the material weakness in our internal control over financial reporting discussed below, the disclosure controls and procedures were not effective as required under Rule 13a-15(e) under the Securities Exchange Act of 1934. Disclosure controls and procedures are designed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material weakness discussed below, our management, including our Chief Executive Officer and Chief Financial Officer, has concluded that the consolidated financial statements included in this Form 10-K present fairly, in all material respects, our financial position, results of operations and cash flows for the periods presented in conformity with accounting principles generally accepted in the United States.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(b) Management’s annual report on internal control over financial reporting.</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Exchange Act Rule 13a-15(f). The Company’s internal control over financial reporting is a process affected by the Company’s management to provide reasonable assurance regarding the reliability of financial reporting and the preparation of the Company’s financial statements for external purposes in accordance with United States generally accepted accounting principles.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designing and evaluating our internal controls and procedures, our management recognized that internal controls and procedures, no matter how well conceived and operated, can provide only a reasonable, not absolute, assurance that the objectives of the internal controls and procedures are met. In addition, any evaluation of the effectiveness of internal controls over financial reporting in future periods is subject to risk that those internal controls may become inadequate because of changes in conditions or the degree of compliance with the policies or procedures may deteriorate.</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assessed the effectiveness of its internal control over financial reporting as of June 30, 2016. In making this assessment, it used the criteria set forth by the Committee of Sponsoring Organizations (COSO) of the Treadway Commission’s 2013 Internal Control—Integrated Framework. Based on its assessment, management identified control deficiencies, including three significant deficiencies, in the design or operating effectiveness of the Company’s internal control over financial reporting, which when aggregated, represent a material weakness in internal control. The significant deficiencies included that the operation of an existing control did not result in timely resolution of account receivable aging issues; the design of certain of our internal controls allowed for errors or omissions in the accrual process; and one operational control did not identify certain merchant receivables as one of the critical accounts to be audited on a monthly basis.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committed to remediating the control deficiencies that gave rise to the material weakness. These internal controls are being evaluated by management, and will be adjusted appropriately as soon as is practical.</w:t>
      </w:r>
    </w:p>
    <w:p>
      <w:pPr>
        <w:spacing w:after="0" w:line="1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RSM US LLP, the Company’s independent registered public accounting firm that audited our financial statements included in this Annual Report on Form 10-K, has issued an attestation report on our internal control over financial reporting, which is included herein. Due to its increased market capitalization, this is the first fiscal year that the Company's internal control over financial reporting has been subject to audit by our independent registered public accounting firm.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 Changes in internal control over financial reporting.</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during the quarter ended June 30, 2016 in the Company’s internal controls over financial reporting that have materially affected, or are reasonably likely to materially affect, internal control over financial reporting.</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on August 25, 2016, together with their ages and business backgrounds were as follows:</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740" w:type="dxa"/>
            <w:vAlign w:val="bottom"/>
            <w:gridSpan w:val="3"/>
          </w:tcPr>
          <w:p>
            <w:pPr>
              <w:spacing w:after="0"/>
              <w:rPr>
                <w:sz w:val="20"/>
                <w:szCs w:val="20"/>
                <w:color w:val="auto"/>
              </w:rPr>
            </w:pPr>
            <w:r>
              <w:rPr>
                <w:rFonts w:ascii="Arial" w:cs="Arial" w:eastAsia="Arial" w:hAnsi="Arial"/>
                <w:sz w:val="18"/>
                <w:szCs w:val="18"/>
                <w:color w:val="auto"/>
              </w:rPr>
              <w:t>Name</w:t>
            </w: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Age</w:t>
            </w:r>
          </w:p>
        </w:tc>
        <w:tc>
          <w:tcPr>
            <w:tcW w:w="6000" w:type="dxa"/>
            <w:vAlign w:val="bottom"/>
          </w:tcPr>
          <w:p>
            <w:pPr>
              <w:spacing w:after="0"/>
              <w:rPr>
                <w:sz w:val="20"/>
                <w:szCs w:val="20"/>
                <w:color w:val="auto"/>
              </w:rPr>
            </w:pPr>
            <w:r>
              <w:rPr>
                <w:rFonts w:ascii="Arial" w:cs="Arial" w:eastAsia="Arial" w:hAnsi="Arial"/>
                <w:sz w:val="18"/>
                <w:szCs w:val="18"/>
                <w:color w:val="auto"/>
              </w:rPr>
              <w:t>Position(s) Held</w:t>
            </w:r>
          </w:p>
        </w:tc>
      </w:tr>
      <w:tr>
        <w:trPr>
          <w:trHeight w:val="202"/>
        </w:trPr>
        <w:tc>
          <w:tcPr>
            <w:tcW w:w="20" w:type="dxa"/>
            <w:vAlign w:val="bottom"/>
          </w:tcPr>
          <w:p>
            <w:pPr>
              <w:spacing w:after="0"/>
              <w:rPr>
                <w:sz w:val="17"/>
                <w:szCs w:val="17"/>
                <w:color w:val="auto"/>
              </w:rPr>
            </w:pPr>
          </w:p>
        </w:tc>
        <w:tc>
          <w:tcPr>
            <w:tcW w:w="2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Steven D. Barnhart (2)(3)</w:t>
            </w:r>
          </w:p>
        </w:tc>
        <w:tc>
          <w:tcPr>
            <w:tcW w:w="300" w:type="dxa"/>
            <w:vAlign w:val="bottom"/>
          </w:tcPr>
          <w:p>
            <w:pPr>
              <w:spacing w:after="0"/>
              <w:rPr>
                <w:sz w:val="17"/>
                <w:szCs w:val="17"/>
                <w:color w:val="auto"/>
              </w:rPr>
            </w:pP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54</w:t>
            </w:r>
          </w:p>
        </w:tc>
        <w:tc>
          <w:tcPr>
            <w:tcW w:w="280" w:type="dxa"/>
            <w:vAlign w:val="bottom"/>
          </w:tcPr>
          <w:p>
            <w:pPr>
              <w:spacing w:after="0"/>
              <w:rPr>
                <w:sz w:val="17"/>
                <w:szCs w:val="17"/>
                <w:color w:val="auto"/>
              </w:rPr>
            </w:pPr>
          </w:p>
        </w:tc>
        <w:tc>
          <w:tcPr>
            <w:tcW w:w="6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Director</w:t>
            </w: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Joel Brooks (1)</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Stephen P. Herbert</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Chief Executive Officer, Chairman of the Board of Directors</w:t>
            </w: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Michael K. Lawlor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Chief Services Officer</w:t>
            </w: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Leland P. Maxwell</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2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Robert L. Metzger (1)</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Albin F. Moschner (3)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40" w:type="dxa"/>
            <w:vAlign w:val="bottom"/>
            <w:gridSpan w:val="3"/>
          </w:tcPr>
          <w:p>
            <w:pPr>
              <w:spacing w:after="0"/>
              <w:rPr>
                <w:sz w:val="20"/>
                <w:szCs w:val="20"/>
                <w:color w:val="auto"/>
              </w:rPr>
            </w:pPr>
            <w:r>
              <w:rPr>
                <w:rFonts w:ascii="Arial" w:cs="Arial" w:eastAsia="Arial" w:hAnsi="Arial"/>
                <w:sz w:val="18"/>
                <w:szCs w:val="18"/>
                <w:color w:val="auto"/>
              </w:rPr>
              <w:t>William J. Reilly, Jr. (1)(4)</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William J. Schoch (4)</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8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Each member of the Board of Directors will hold office until the 2017 annual shareholders’ meeting and until his successor has been elected and qualified.</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Steven D. Barnhart </w:t>
      </w:r>
      <w:r>
        <w:rPr>
          <w:rFonts w:ascii="Arial" w:cs="Arial" w:eastAsia="Arial" w:hAnsi="Arial"/>
          <w:sz w:val="17"/>
          <w:szCs w:val="17"/>
          <w:color w:val="auto"/>
        </w:rPr>
        <w:t>was appointed to the Board of Directors in October 2009. Mr. Barnhart is the Company’s lead independent director and is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Compensation Committee. Since September 2014, Mr. Barnhart has served as the Senior Vice President and Chief Financial Officer for Bankrate, Inc. From August 2012 to June 2014, Mr. Barnhart served as the Senior Vice President and Chief Financial Officer of Sears Hometown and Outlet Stores, Inc. From January 2010 to June 2012, Mr. Barnhart served as the Senior Vice President and Chief Financial Officer of Bally Total Fitness. Mr. Barnhart was Chief Executive Officer and President of Orbitz Worldwide from 2007 to January 2009, after holding other executive positions since 2003, when he joined the company. Prior to Orbitz Worldwide, he worked for PepsiCo and the Pepsi Bottling Group from 1990 to 2003, where he was Finance Director for the Southeast Business Unit of the Pepsi Bottling Group, and held various finance and strategy roles at PepsiCo. Mr. Barnhart received a Bachelor of Arts degree in Economics in 1984 from the College of the University of Chicago and a Masters in Business Administration in 1988 from the University of Chicago-Booth School of Business. Mr. Barnhart served on the Board of Directors of Orbitz Worldwide from 2007 to January 2009. We believe Mr. Barnhart’s extensive executive experience and leadership skills, and prior public board experience provide the requisite qualifications, skills, perspectives, and experiences to serve on our Board of Directors.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Joel Brooks </w:t>
      </w:r>
      <w:r>
        <w:rPr>
          <w:rFonts w:ascii="Arial" w:cs="Arial" w:eastAsia="Arial" w:hAnsi="Arial"/>
          <w:sz w:val="17"/>
          <w:szCs w:val="17"/>
          <w:color w:val="auto"/>
        </w:rPr>
        <w:t>joined the Board of Directors of the Company during March 2007. Mr. Brooks is the Chair of our Audit Committee. Since May 2015, Mr. Brooks</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the Vice President, Finance, for MeiraGTx Limited. From December 2000 until May 2015, Mr. Brooks served as the Chief Financial Officer, Treasurer and Secretary of Sevion Therapeutics, Inc. (formerly Senesco Technologies, Inc.), a biotechnology company whose shares are traded on the OTCQB. From September 1998 until November 2000, Mr. Brooks was the Chief Financial Officer of Blades Board and Skate, LLC, a retail establishment specializing in the action sports industry. Mr. Brooks was Chief Financial Officer from 1997 until 1998 and Controller from 1994 until 1997 of Cable and Company Worldwide, Inc. He also held the position of Controller at USA Detergents, Inc. from 1992 until 1994, and held various positions at several public accounting firms from 1983 through 1992. Mr. Brooks received his Bachelor of Science degree in Commerce with a major in Accounting from Rider University in February 1983. We believe Mr. Brooks’ extensive accounting and finance background, and his executive experience at Sevion Therapeutics, Inc. provide the requisite qualifications, skills, perspectives, and experiences to serve on our Board of Directors.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jc w:val="both"/>
        <w:spacing w:after="0" w:line="269" w:lineRule="auto"/>
        <w:rPr>
          <w:sz w:val="20"/>
          <w:szCs w:val="20"/>
          <w:color w:val="auto"/>
        </w:rPr>
      </w:pPr>
      <w:r>
        <w:rPr>
          <w:rFonts w:ascii="Arial" w:cs="Arial" w:eastAsia="Arial" w:hAnsi="Arial"/>
          <w:sz w:val="17"/>
          <w:szCs w:val="17"/>
          <w:i w:val="1"/>
          <w:iCs w:val="1"/>
          <w:color w:val="auto"/>
        </w:rPr>
        <w:t xml:space="preserve">Stephen P. Herbert </w:t>
      </w:r>
      <w:r>
        <w:rPr>
          <w:rFonts w:ascii="Arial" w:cs="Arial" w:eastAsia="Arial" w:hAnsi="Arial"/>
          <w:sz w:val="17"/>
          <w:szCs w:val="17"/>
          <w:color w:val="auto"/>
        </w:rPr>
        <w:t>has been our Chief Executive Officer and Chairman since November 30, 2011. He was elected a director in April 1996, and joined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on a full-time basis on May 6, 1996 as Executive Vice President. During August 1999, Mr. Herbert was appointed President and Chief Operating Officer of the Company. On October 5, 2011, Mr. Herbert was appointed as interim Chief Executive Officer and Chairman, and on November 30, 2011, he was appointed as the Chairman of the Board of Directors and Chief Executive Officer of the Company. Prior to joining us and since 1986, Mr. Herbert had been employed by Pepsi-Cola, the beverage division of PepsiCo, Inc. From 1994 to April 1996, Mr. Herbert was a Manager of Market Strategy. In such position he was responsible for directing development of market strategy for the vending channel and subsequently the supermarket channel for Pepsi-Cola in North America. Prior thereto, Mr. Herbert held various sales and management positions with Pepsi-Cola. Mr. Herbert graduated with a Bachelor of Science degree from Louisiana State University. We believe Mr. Herbert’s position as the President and Chief Operating Officer of our Company until October 5, 2011 and as Chairman and Chief Executive Officer of the Company thereafter, his intimate knowledge and experience with all aspects of our Company, and his extensive vending experience at PepsiCo before joining our Company provide the requisite qualifications, skills, perspectives, and experiences to serve on our Board of Directors.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Michael K. Lawlor </w:t>
      </w:r>
      <w:r>
        <w:rPr>
          <w:rFonts w:ascii="Arial" w:cs="Arial" w:eastAsia="Arial" w:hAnsi="Arial"/>
          <w:sz w:val="17"/>
          <w:szCs w:val="17"/>
          <w:color w:val="auto"/>
        </w:rPr>
        <w:t>has been our Chief Services Officer since March 8, 2016, in which role he oversees the Company’s ePort Connect Service,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to customers of the ePort Connect suite of cashless payment, consumer engagement, loyalty and telemetry services, customer service and support, premium support services, Knowledge Base, and strategic partner development. Prior to his role as CSO, Mr. Lawlor was senior vice president of sales and business development at the Company. Since joining the Company in 1996, Mr. Lawlor has provided senior leadership driving innovative sales programs, national strategic partnerships and the development of an expanded suite of electronic payment services. Prior to joining the Company, he worked for Pepsi Cola Co., a division of PepsiCo, managing the retail, restaurant and vending business sectors with regional and national positions that spanned several functions including sales, operations, and sales management in the Dallas and Houston, Texas, markets. He was also a national accounts sales manager on the Pepsi Cola national food service team, responsible for corporate and franchise relationships, with multiple national restaurant chains. Mr. Lawlor graduated with a Bachelor of Business Administration degree from the University of Texas, Arlington, in 1986.</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Leland P. Maxwell </w:t>
      </w:r>
      <w:r>
        <w:rPr>
          <w:rFonts w:ascii="Arial" w:cs="Arial" w:eastAsia="Arial" w:hAnsi="Arial"/>
          <w:sz w:val="16"/>
          <w:szCs w:val="16"/>
          <w:color w:val="auto"/>
        </w:rPr>
        <w:t>has been our Interim Chief Financial Officer since January 28, 2016. Since 2004, he has been the principal of Maxwell Consulting, LLC,</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part time CFO services to diverse industries. From July 2003 until April 2004, Mr. Maxwell served as the CFO of Nurture, Inc., a manufacturer of nutritional supplements. From February 1997 until June 2003, Mr. Maxwell served as CFO and Treasurer of the Company. Mr. Maxwell is a certified public accountant and a certified valuation analyst. He is also Board Chair and co-founder of the DMAX Foundation, a Pennsylvania nonprofit organization founded in 2013, which focuses on mental health issues faced by youth. Mr. Maxwell received a Master of Business Administration in finance and accounting from The Wharton School at The University of Pennsylvania and a Bachelors of Art degree from Williams College.</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Robert L. Metzger </w:t>
      </w:r>
      <w:r>
        <w:rPr>
          <w:rFonts w:ascii="Arial" w:cs="Arial" w:eastAsia="Arial" w:hAnsi="Arial"/>
          <w:sz w:val="16"/>
          <w:szCs w:val="16"/>
          <w:color w:val="auto"/>
        </w:rPr>
        <w:t>joined the Board of Directors of the Company in March 2016. He has served as the Director of the Investment Banking Academy at the</w:t>
      </w:r>
      <w:r>
        <w:rPr>
          <w:rFonts w:ascii="Arial" w:cs="Arial" w:eastAsia="Arial" w:hAnsi="Arial"/>
          <w:sz w:val="16"/>
          <w:szCs w:val="16"/>
          <w:i w:val="1"/>
          <w:iCs w:val="1"/>
          <w:color w:val="auto"/>
        </w:rPr>
        <w:t xml:space="preserve"> </w:t>
      </w:r>
      <w:r>
        <w:rPr>
          <w:rFonts w:ascii="Arial" w:cs="Arial" w:eastAsia="Arial" w:hAnsi="Arial"/>
          <w:sz w:val="16"/>
          <w:szCs w:val="16"/>
          <w:color w:val="auto"/>
        </w:rPr>
        <w:t>University of Illinois at Urbana-Champaign College of Business since August 2015, and as a lecturer in the Department of Finance since August 2015. He has served as a member of the Audit Committee and the Board of Directors of WageWorks, Inc. since February 2016. Mr. Metzger was a Partner at William Blair</w:t>
      </w:r>
    </w:p>
    <w:p>
      <w:pPr>
        <w:jc w:val="both"/>
        <w:ind w:firstLine="8"/>
        <w:spacing w:after="0" w:line="251" w:lineRule="auto"/>
        <w:tabs>
          <w:tab w:leader="none" w:pos="1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Company from January 2005 to December 2015 after joining the firm in 1999. He served as the head of the Technology group between January 2011 and January 2015 and of the Financial Services Investment Banking Group between April 2007 and December 2015. He also acted as Chairman of the firm’s Audit Committee from January 2013 to December 2015. Prior to joining William Blair &amp; Company, he worked in the Investment Banking Division of ABN AMRO Incorporated from 1997 to 1999, in the Financial Institutions Group at A.T. Kearney, Inc. from 1995 to 1997, and in Audit and Audit Advisory Services at Price Waterhouse from 1990 to 1994. Mr. Metzger graduated with a Masters in Business Administration with concentrations in finance and strategy in 1995 from Northwestern University’s Kellogg School of Management and a Bachelor of Science degree in Accountancy in 1989 from the University of Illinois at Urbana-Champaign. We believe that Mr. Metzger’s finance and accounting background, his experience with public companies and capital markets, and experience in the financial technology and payments space provide the requisite qualifications, skills, perspectives, and experiences to serve on our Board of Directors.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Albin F. Moschner </w:t>
      </w:r>
      <w:r>
        <w:rPr>
          <w:rFonts w:ascii="Arial" w:cs="Arial" w:eastAsia="Arial" w:hAnsi="Arial"/>
          <w:sz w:val="17"/>
          <w:szCs w:val="17"/>
          <w:color w:val="auto"/>
        </w:rPr>
        <w:t>joined the Board of Directors of the Company in April, 2012. He is the Chair of our Compensation Committee and a member of our Audit</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Mr. Moschner has been serving on the Board of Nuveen Asset Management, LLC since July, 2016. Previously, he served at Leap Wireless International, Inc. as the Chief Operating Officer from July 2008 to February 2011 and as Chief Marketing Officer from August 2004 to June 2008. Prior to joining Leap Wireless, Mr. Moschner served as President of the Verizon Card Services division of Verizon Communications, Inc. From January 1999 to December 2000, Mr. Moschner was President of One Point Services at One Point Communications. Mr. Moschner served at Zenith Electronics Corporation as President and Chief Executive Officer from 1995 to 1996 and as President, Chief Operating Officer and Director from 1994 to 1995. Mr. Moschner has also served in various managerial capacities at Tricord Systems, Inc. and International Business Machines Corp. Mr. Moschner served on the Board of Wintrust Financial Corporation from 1994 until June 2016. Mr. Moschner holds a Bachelor of Engineering in Electrical Engineering from The City College of New York, awarded in 1974, and a masters degree in Electrical Engineering awarded by Syracuse University in 1979. We believe that Mr. Moschner’s marketing, manufacturing and wireless industry experience and long standing prior public board experience provide the requisite qualifications, skills, perspectives, and experiences to serve on our Board of Directors.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both"/>
        <w:spacing w:after="0" w:line="287" w:lineRule="auto"/>
        <w:rPr>
          <w:sz w:val="20"/>
          <w:szCs w:val="20"/>
          <w:color w:val="auto"/>
        </w:rPr>
      </w:pPr>
      <w:r>
        <w:rPr>
          <w:rFonts w:ascii="Arial" w:cs="Arial" w:eastAsia="Arial" w:hAnsi="Arial"/>
          <w:sz w:val="16"/>
          <w:szCs w:val="16"/>
          <w:i w:val="1"/>
          <w:iCs w:val="1"/>
          <w:color w:val="auto"/>
        </w:rPr>
        <w:t>William J. Reilly, Jr.</w:t>
      </w:r>
      <w:r>
        <w:rPr>
          <w:rFonts w:ascii="Arial" w:cs="Arial" w:eastAsia="Arial" w:hAnsi="Arial"/>
          <w:sz w:val="16"/>
          <w:szCs w:val="16"/>
          <w:color w:val="auto"/>
        </w:rPr>
        <w:t>, joined the Board of Directors of the Company in July 2012. He is a member of our Audit and Nominating and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Committees. He has been an independent consultant since January 2011. From September 2004 to November 2010, Mr. Reilly was President and Chief Executive Officer of Realtime Media, Inc., an interactive promotional marketing firm serving the pharmaceutical and consumer packaged goods markets. Following the sale of Realtime Media, Inc. in November 2010, Mr. Reilly was retained as a consultant until January 2011. From September 2002 to September 2004, Mr. Reilly was a principal at Chesterbrook Growth Partners, independent consultants to the private equity community. Between 1989 and 2002, Mr. Reilly served at various positions at Checkpoint Systems Inc., a multinational manufacturer and marketer of products and services for automatic identification, retail security, pricing and brand promotion, including as Chief Operating Officer, Executive Vice President, Senior Vice President of the Americas and Pacific Rim and Vice President of Sales. Prior to that, Mr. Reilly held national and sales management positions at companies in the medical electronics and telecommunications industries, including Minolta Corporation, Megatech Pty. Ltd. and Multitone Electronics PLC. He has also served on the Board of Veramark Technologies, Inc., a telecommunications software firm, from June 1997 to May 2008. Mr. Reilly graduated from Mount St. Mary’s University with a bachelors of science degree in Psychology in 1970. We believe that Mr. Reilly’s executive, business development and international experience provide the requisite qualifications, skills, perspectives and experiences to serve on our Board of Directors.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William J. Schoch </w:t>
      </w:r>
      <w:r>
        <w:rPr>
          <w:rFonts w:ascii="Arial" w:cs="Arial" w:eastAsia="Arial" w:hAnsi="Arial"/>
          <w:sz w:val="17"/>
          <w:szCs w:val="17"/>
          <w:color w:val="auto"/>
        </w:rPr>
        <w:t>joined the Board of Directors of the Company in July 2012. He is the chair of our Nominating and Corporate Governance Committee. Mr.</w:t>
      </w:r>
      <w:r>
        <w:rPr>
          <w:rFonts w:ascii="Arial" w:cs="Arial" w:eastAsia="Arial" w:hAnsi="Arial"/>
          <w:sz w:val="17"/>
          <w:szCs w:val="17"/>
          <w:i w:val="1"/>
          <w:iCs w:val="1"/>
          <w:color w:val="auto"/>
        </w:rPr>
        <w:t xml:space="preserve"> </w:t>
      </w:r>
      <w:r>
        <w:rPr>
          <w:rFonts w:ascii="Arial" w:cs="Arial" w:eastAsia="Arial" w:hAnsi="Arial"/>
          <w:sz w:val="17"/>
          <w:szCs w:val="17"/>
          <w:color w:val="auto"/>
        </w:rPr>
        <w:t>Schoch is the President and Chief Executive Officer of Western Payments Alliance, a non-profit payments association and has served in that capacity since March 2008. He serves on the Boards of Western Payments Alliance and NACHA, an industry trade association and the administrator of the Automated Clearing House (ACH) Network, and is on the steering committee of NACHA’s Council for Electronic Billing and Payment. From 1997 to 2008, Mr. Schoch worked at Visa International where, as the Vice President of Emerging Market Initiatives, he was responsible for the global development of the Visa Money Transfer Platform. Prior to that, Mr. Schoch served as a Vice President at Citibank, N.A. from 1989 to 1997 and as an Associate Director at NACHA from 1986 to 1989. Mr. Schoch obtained a Bachelor of Arts degree in 1986 from Indiana University of Pennsylvania with a major in Public Policy and a minor in Economics. We believe that Mr. Schoch’s experience and familiarity with the electronic payments industry and his leadership experience provide the requisite qualifications, skills, perspectives and experiences to serve on our Board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has a standing Audit Committee presently consisting of each of Mr. Brooks (Chairman), and Messrs. Reilly and Metzger. The Company’s Board of Directors has determined that Joel Brooks has met the additional independence criteria required for Audit Committee membership under applicable NASDAQ listing standards.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Board has adopted a Code of Ethics, which applies to all executive officers, directors and employees of the Company, including our Chief Executive Officer, Chief Financial Officer, Chief Services Officer and Controller. A copy of our Code of Business Conduct and Ethics is accessible on the Company’s website, </w:t>
      </w:r>
      <w:r>
        <w:rPr>
          <w:rFonts w:ascii="Arial" w:cs="Arial" w:eastAsia="Arial" w:hAnsi="Arial"/>
          <w:sz w:val="18"/>
          <w:szCs w:val="18"/>
          <w:u w:val="single" w:color="auto"/>
          <w:color w:val="auto"/>
        </w:rPr>
        <w:t>www.usatech.com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the Company’s Common Stock, to file with the Securities and Exchange Commission reports of ownership and changes in ownership of Common Stock. Officers, directors and greater than 10% beneficial owners are required by Securities and Exchange Commission regulations to furnish the Company with copies of all Section 16(a) forms they file.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during the 2016 fiscal year, all of the Company’s directors and executive officers filed reports required by Section 16(a) on a timely basis.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2016 fiscal year, our named executive officers (collectively, the “named executive officers”) were as follows: Stephen P. Herbert - current Chairman and Chief Executive Officer; Leland P. Maxwell – current interim Chief Financial Officer; Michael Lawlor - current Chief Services Officer; Maeve Duska - current Senior Vice President of Marketing; George Harrum – current Senior Vice President of Operations; David M. DeMedio - former Chief Services Officer who resigned his employment with the Company in October 2015; and J. Duncan Smith - former Chief Financial Officer who resigned his employment with the Company in January 2016.</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auto"/>
        </w:rPr>
        <w:t>Fiscal Year 2016 Business Highlights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Compensation Committee has developed a compensation policy that is designed to attract and retain key executives responsible for the Company’s success and motivate management to enhance long-term shareholder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Fiscal year 2016 financial highlights, compared to the prior year, included:</w:t>
      </w:r>
    </w:p>
    <w:p>
      <w:pPr>
        <w:spacing w:after="0" w:line="22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33% increase in total revenues to $77.4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30% increase in license and transaction fee revenues to $56.6 million;</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44% increase in equipment sale revenues to $20.8 million primarily attributable to the QuickStart program which was reintroduced in September 2014;</w:t>
      </w: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connections to the Company’s cashless payment and telemetry service, ePort Connect®, grew by 29% to 429,000;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Year-end cash position of $19.3 million as compared to $11.4 million as of the end of the prior fiscal year.</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Notwithstanding the substantial progress made by the Company during the 2016 fiscal year, the Company did not achieve all of the target goals established by the Compensation Committee for compensation of our executive officers under the Fiscal Year 2016 Short-Term Incentive Plan (“2016 STI Plan”) and Fiscal Year 2016 Long-Term Incentive Performance Share Plan (“2016 LTI Stock Plan”). When the target goals were established, the Committee believed that the attainment of the target goals would represent a significant achievement for management and were designed to stretch individual and corporate performance.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2016 Compensation Goals and Objectives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is responsible for annually reviewing and recommending to the Board for approval the corporate goals and objectives relevant to the compensation of the executive officers of the Company, evaluating the executive officers’ performance in light of those goals and objectives, and recommending for approval to the Board the executive officers’ compensation levels based on this evaluation. The Chief Executive Officer assisted the Committee in establishing the compensation of our other executive officers, Leland Maxwell and Michael Lawlor. The compensation of Mr. Harrum and Ms. Duska was determined by our Chief Executive Officer. Our Chief Executive Officer regularly provides information to the Compensation Committee. The Chief Executive Officer is not present during voting or deliberations on his compensation. The Compensation Committee has, from time to time, retained an independent compensation consultant, Buck Consultants, LLC, as deemed necessary to assist the Committee in making appropriate recommendations regarding our executive officers’ compensation.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Lawlor’s compensation for the first half of the fiscal year was established by our Chief Executive Officer, and for the second half of the fiscal year was recommended by the Committee to the Board. Mr. Lawlor participated in each of the fiscal year 2016 management incentive plan, the 2016 STI Plan and the 2016 LTI Stock Plan during the entire 2016 fiscal year, provided that his awards for each plan were reduced by fifty percent (50%).</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developed a compensation policy that is designed to attract and retain key executives responsible for our success and motivate management to enhance long-term shareholder value. The Compensation Committee believes that compensation of the Company’s executive officers should encourage creation of shareholder value and achievement of strategic corporate objectives, and the Committee seeks to align the interests of the Company’s shareholders and management by integrating compensation with the Company’s annual and long-term corporate and financial objectives. The Compensation Committee also ties a significant portion of each executive officer’s compensation to key operational and financial goals and performance.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designed and implemented our compensation package in order to be competitive with other companies in our peer group, as compiled by our compensation consultant, and to motivate and retain our executive officers. Our compensation package also takes into account individual responsibilities and performance.</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elements of our compensation reflect different compensation objectives. For example, as base salaries are generally fixed in advance of the year in which the compensation will be earned, the Committee believes that it is appropriate to determine base salaries with a focus on similarly situated officers at comparable peer group companies while also having them reflect the officer’s performance. On the other hand, annual bonuses and long-term incentives are better able to reflect the Company’s performance as measured by total number of connections, total revenues, non-GAAP net income, adjusted EBIDTA, and cash generated from operations. In addition, annual bonuses and long-term incentive awards, including the performance goals they are based on, help us achieve our goal of retaining executives, and motivating executive officers to increase shareholder value. The other elements of compensation reflect the Committee’s and Board’s philosophy that personal benefits, including retirement and health benefits, should be available to all employees on a non-discriminatory basis.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Our Executive Compensation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 for our executive officers features many commonly used “best practices” including:</w:t>
      </w:r>
    </w:p>
    <w:p>
      <w:pPr>
        <w:spacing w:after="0" w:line="225" w:lineRule="exact"/>
        <w:rPr>
          <w:sz w:val="20"/>
          <w:szCs w:val="20"/>
          <w:color w:val="auto"/>
        </w:rPr>
      </w:pPr>
    </w:p>
    <w:p>
      <w:pPr>
        <w:jc w:val="both"/>
        <w:ind w:left="980" w:hanging="324"/>
        <w:spacing w:after="0" w:line="288"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Pay-for-performance. A substantial part of our executive officer’s pay is, in our view, performance based. For the 2016 fiscal year, our Chief Executive Officer had approximately 62% of his total target compensation tied to performance, while our interim Chief Financial Officer and current Chief Services Officer had approximately 43% and 60%, respectively, of their total target compensation tied to performance.</w:t>
      </w:r>
    </w:p>
    <w:p>
      <w:pPr>
        <w:ind w:left="98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Stretch performance goals. Our performance target goals under our 2016 STI Plan and 2016 LTI Stock Plan are designed to stretch individual and organizational performance in order to receive target payouts.</w:t>
      </w:r>
    </w:p>
    <w:p>
      <w:pPr>
        <w:ind w:left="98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Capped payouts under incentive plans. Both our long-term and short-term bonus programs have maximum payout amounts in order to discourage excessive risk taking.</w:t>
      </w:r>
    </w:p>
    <w:p>
      <w:pPr>
        <w:jc w:val="both"/>
        <w:ind w:left="98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ownership guidelines. We have significant ownership guidelines. Our Chief Executive Officer is required to hold common stock with a value equal to a multiple of three times his base salary and our Chief Financial Officer and other executive officers are required to hold common stock with a value equal to one time his base salary.</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Tax Gross-Up Provisions. Our compensation program does not include any excise tax gross-up provisions with respect to payments contingent upon a change of control.</w:t>
      </w:r>
    </w:p>
    <w:p>
      <w:pPr>
        <w:ind w:left="98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Limited perquisites for our executives. Perquisites are not a significant portion of our executive officers’ compensation, representing 1% of Mr. Herbert’s, 0% of Mr. Maxwell’s, and 2% of Mr. Lawlor’s total target compensation.</w:t>
      </w:r>
    </w:p>
    <w:p>
      <w:pPr>
        <w:ind w:left="98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Independent compensation consultant. The Committee has from time to time retained an independent compensation consultant, Buck Consultants, LLC, to review the executive compensation programs and practices.</w:t>
      </w:r>
    </w:p>
    <w:p>
      <w:pPr>
        <w:ind w:left="980" w:right="2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payment on change of control without a “double trigger”. Payments under our employment agreements require two events for vesting – both the change of control and a “good reason” for termination of employment.</w:t>
      </w:r>
    </w:p>
    <w:p>
      <w:pPr>
        <w:ind w:left="980" w:hanging="324"/>
        <w:spacing w:after="0" w:line="261"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repricing of underwater options. Our stock option incentive plan does not permit repricing or the exchange of underwater stock options without shareholder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Pay-for-Performance Review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Pay-for-performance is an important component of our compensation philosophy and is evident in the structure of our compensation program. Our compensation approach is designed to motivate our executive officers to substantially contribute to the Company’s long-term sustainable growth. Our pay-for-performance approach provides that a large portion of our executive officers’ total compensation should be in the form of short-term and long-term incentive awards with performance hurdles designed to stretch individual and organizational performance.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Reinforcing pay-for-performance is a significant underpinning of our compensation program. During the 2016 fiscal year, a total of 62% of Mr. Herbert’s, 43% of Mr. Maxwell’s and 60% of Mr. Lawlor’s total target compensation was in the form of performance-based variable compensation designed to motivate them to deliver strong business performance and create shareholder value. These compensation elements were dependent upon the Company’s achievement of pre-established financial and other business goals recommended by the Committee as well as individual goals established by the Committee or consisted of stock option awards which are inherently performance based as they only deliver value if the stock price increases. All stock options awarded by the Committee are exercisable at the closing share price on the date of the grant. Based on actual results, the annual variable compensation amount and the ultimate value of the equity compensation awards could have been significantly reduced if the Company or management did not perform.</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auto"/>
        </w:rPr>
        <w:t>For fiscal year 2016, the targeted aggregate compensation of our current named executive officers consisted of the following components expressed as a percentage of total compensation: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Long-Term</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190"/>
              <w:spacing w:after="0"/>
              <w:rPr>
                <w:sz w:val="20"/>
                <w:szCs w:val="20"/>
                <w:color w:val="auto"/>
              </w:rPr>
            </w:pPr>
            <w:r>
              <w:rPr>
                <w:rFonts w:ascii="Arial" w:cs="Arial" w:eastAsia="Arial" w:hAnsi="Arial"/>
                <w:sz w:val="18"/>
                <w:szCs w:val="18"/>
                <w:b w:val="1"/>
                <w:bCs w:val="1"/>
                <w:color w:val="auto"/>
                <w:w w:val="83"/>
              </w:rPr>
              <w:t>Base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Award</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Incentive</w:t>
            </w:r>
          </w:p>
        </w:tc>
        <w:tc>
          <w:tcPr>
            <w:tcW w:w="12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Perquisites &amp;</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gridSpan w:val="2"/>
          </w:tcPr>
          <w:p>
            <w:pPr>
              <w:ind w:left="700"/>
              <w:spacing w:after="0"/>
              <w:rPr>
                <w:sz w:val="20"/>
                <w:szCs w:val="20"/>
                <w:color w:val="auto"/>
              </w:rPr>
            </w:pPr>
            <w:r>
              <w:rPr>
                <w:rFonts w:ascii="Arial" w:cs="Arial" w:eastAsia="Arial" w:hAnsi="Arial"/>
                <w:sz w:val="18"/>
                <w:szCs w:val="18"/>
                <w:b w:val="1"/>
                <w:bCs w:val="1"/>
                <w:color w:val="auto"/>
              </w:rPr>
              <w:t>Named Executive Officer</w:t>
            </w:r>
          </w:p>
        </w:tc>
        <w:tc>
          <w:tcPr>
            <w:tcW w:w="104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Salary</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Bonus</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Compensation</w:t>
            </w:r>
          </w:p>
        </w:tc>
        <w:tc>
          <w:tcPr>
            <w:tcW w:w="12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Other Benefits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Compensation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1040" w:type="dxa"/>
            <w:vAlign w:val="bottom"/>
            <w:shd w:val="clear" w:color="auto" w:fill="F0FFFF"/>
          </w:tcPr>
          <w:p>
            <w:pPr>
              <w:spacing w:after="0"/>
              <w:rPr>
                <w:sz w:val="18"/>
                <w:szCs w:val="18"/>
                <w:color w:val="auto"/>
              </w:rPr>
            </w:pPr>
          </w:p>
        </w:tc>
        <w:tc>
          <w:tcPr>
            <w:tcW w:w="5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37%</w:t>
            </w:r>
          </w:p>
        </w:tc>
        <w:tc>
          <w:tcPr>
            <w:tcW w:w="16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w:t>
            </w:r>
          </w:p>
        </w:tc>
        <w:tc>
          <w:tcPr>
            <w:tcW w:w="1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43%</w:t>
            </w:r>
          </w:p>
        </w:tc>
        <w:tc>
          <w:tcPr>
            <w:tcW w:w="1260" w:type="dxa"/>
            <w:vAlign w:val="bottom"/>
            <w:shd w:val="clear" w:color="auto" w:fill="F0FFFF"/>
          </w:tcPr>
          <w:p>
            <w:pPr>
              <w:spacing w:after="0"/>
              <w:rPr>
                <w:sz w:val="18"/>
                <w:szCs w:val="18"/>
                <w:color w:val="auto"/>
              </w:rPr>
            </w:pPr>
          </w:p>
        </w:tc>
        <w:tc>
          <w:tcPr>
            <w:tcW w:w="3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84"/>
              </w:rPr>
              <w:t>1%</w:t>
            </w:r>
          </w:p>
        </w:tc>
        <w:tc>
          <w:tcPr>
            <w:tcW w:w="15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Leland P. Maxwell</w:t>
            </w:r>
          </w:p>
        </w:tc>
        <w:tc>
          <w:tcPr>
            <w:tcW w:w="10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Michael Lawlor</w:t>
            </w:r>
          </w:p>
        </w:tc>
        <w:tc>
          <w:tcPr>
            <w:tcW w:w="1040" w:type="dxa"/>
            <w:vAlign w:val="bottom"/>
            <w:shd w:val="clear" w:color="auto" w:fill="F0FFFF"/>
          </w:tcPr>
          <w:p>
            <w:pPr>
              <w:spacing w:after="0"/>
              <w:rPr>
                <w:sz w:val="18"/>
                <w:szCs w:val="18"/>
                <w:color w:val="auto"/>
              </w:rPr>
            </w:pPr>
          </w:p>
        </w:tc>
        <w:tc>
          <w:tcPr>
            <w:tcW w:w="5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38%</w:t>
            </w:r>
          </w:p>
        </w:tc>
        <w:tc>
          <w:tcPr>
            <w:tcW w:w="16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24%</w:t>
            </w:r>
          </w:p>
        </w:tc>
        <w:tc>
          <w:tcPr>
            <w:tcW w:w="1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36%</w:t>
            </w:r>
          </w:p>
        </w:tc>
        <w:tc>
          <w:tcPr>
            <w:tcW w:w="1260" w:type="dxa"/>
            <w:vAlign w:val="bottom"/>
            <w:shd w:val="clear" w:color="auto" w:fill="F0FFFF"/>
          </w:tcPr>
          <w:p>
            <w:pPr>
              <w:spacing w:after="0"/>
              <w:rPr>
                <w:sz w:val="18"/>
                <w:szCs w:val="18"/>
                <w:color w:val="auto"/>
              </w:rPr>
            </w:pPr>
          </w:p>
        </w:tc>
        <w:tc>
          <w:tcPr>
            <w:tcW w:w="3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84"/>
              </w:rPr>
              <w:t>2%</w:t>
            </w:r>
          </w:p>
        </w:tc>
        <w:tc>
          <w:tcPr>
            <w:tcW w:w="15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Maeve Duska</w:t>
            </w:r>
          </w:p>
        </w:tc>
        <w:tc>
          <w:tcPr>
            <w:tcW w:w="10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George Harrum</w:t>
            </w:r>
          </w:p>
        </w:tc>
        <w:tc>
          <w:tcPr>
            <w:tcW w:w="1040" w:type="dxa"/>
            <w:vAlign w:val="bottom"/>
            <w:shd w:val="clear" w:color="auto" w:fill="F0FFFF"/>
          </w:tcPr>
          <w:p>
            <w:pPr>
              <w:spacing w:after="0"/>
              <w:rPr>
                <w:sz w:val="18"/>
                <w:szCs w:val="18"/>
                <w:color w:val="auto"/>
              </w:rPr>
            </w:pPr>
          </w:p>
        </w:tc>
        <w:tc>
          <w:tcPr>
            <w:tcW w:w="5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64%</w:t>
            </w:r>
          </w:p>
        </w:tc>
        <w:tc>
          <w:tcPr>
            <w:tcW w:w="16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33%</w:t>
            </w:r>
          </w:p>
        </w:tc>
        <w:tc>
          <w:tcPr>
            <w:tcW w:w="1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F0FFFF"/>
          </w:tcPr>
          <w:p>
            <w:pPr>
              <w:spacing w:after="0"/>
              <w:rPr>
                <w:sz w:val="18"/>
                <w:szCs w:val="18"/>
                <w:color w:val="auto"/>
              </w:rPr>
            </w:pPr>
          </w:p>
        </w:tc>
        <w:tc>
          <w:tcPr>
            <w:tcW w:w="3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84"/>
              </w:rPr>
              <w:t>3%</w:t>
            </w:r>
          </w:p>
        </w:tc>
        <w:tc>
          <w:tcPr>
            <w:tcW w:w="15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long-term incentive compensation in the above table and in the table set forth below each reflect the awards to Mr. Herbert of incentive stock options to purchase up to 29,585 shares and to Mr. Lawlor of incentive stock options to purchase up to 75,000 shares.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fiscal year 2016, the aggregate compensation actually paid or awarded to our named executive officers consisted of the following components expressed as a percentage of total compensation: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Long-</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Term</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Perquisites &amp;</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190"/>
              <w:spacing w:after="0"/>
              <w:rPr>
                <w:sz w:val="20"/>
                <w:szCs w:val="20"/>
                <w:color w:val="auto"/>
              </w:rPr>
            </w:pPr>
            <w:r>
              <w:rPr>
                <w:rFonts w:ascii="Arial" w:cs="Arial" w:eastAsia="Arial" w:hAnsi="Arial"/>
                <w:sz w:val="18"/>
                <w:szCs w:val="18"/>
                <w:b w:val="1"/>
                <w:bCs w:val="1"/>
                <w:color w:val="auto"/>
                <w:w w:val="83"/>
              </w:rPr>
              <w:t>Base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Award</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Incentive</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Named Executive Officer</w:t>
            </w:r>
          </w:p>
        </w:tc>
        <w:tc>
          <w:tcPr>
            <w:tcW w:w="104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Salary</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Bonus</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Compensation</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Benefits</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Compensation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1040" w:type="dxa"/>
            <w:vAlign w:val="bottom"/>
            <w:shd w:val="clear" w:color="auto" w:fill="F0FFFF"/>
          </w:tcPr>
          <w:p>
            <w:pPr>
              <w:spacing w:after="0"/>
              <w:rPr>
                <w:sz w:val="18"/>
                <w:szCs w:val="18"/>
                <w:color w:val="auto"/>
              </w:rPr>
            </w:pPr>
          </w:p>
        </w:tc>
        <w:tc>
          <w:tcPr>
            <w:tcW w:w="5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44%</w:t>
            </w:r>
          </w:p>
        </w:tc>
        <w:tc>
          <w:tcPr>
            <w:tcW w:w="16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w:t>
            </w:r>
          </w:p>
        </w:tc>
        <w:tc>
          <w:tcPr>
            <w:tcW w:w="1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39%</w:t>
            </w:r>
          </w:p>
        </w:tc>
        <w:tc>
          <w:tcPr>
            <w:tcW w:w="1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Leland P. Maxwell</w:t>
            </w:r>
          </w:p>
        </w:tc>
        <w:tc>
          <w:tcPr>
            <w:tcW w:w="10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Michael Lawlor</w:t>
            </w:r>
          </w:p>
        </w:tc>
        <w:tc>
          <w:tcPr>
            <w:tcW w:w="1040" w:type="dxa"/>
            <w:vAlign w:val="bottom"/>
            <w:shd w:val="clear" w:color="auto" w:fill="F0FFFF"/>
          </w:tcPr>
          <w:p>
            <w:pPr>
              <w:spacing w:after="0"/>
              <w:rPr>
                <w:sz w:val="18"/>
                <w:szCs w:val="18"/>
                <w:color w:val="auto"/>
              </w:rPr>
            </w:pPr>
          </w:p>
        </w:tc>
        <w:tc>
          <w:tcPr>
            <w:tcW w:w="5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45%</w:t>
            </w:r>
          </w:p>
        </w:tc>
        <w:tc>
          <w:tcPr>
            <w:tcW w:w="16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w:t>
            </w:r>
          </w:p>
        </w:tc>
        <w:tc>
          <w:tcPr>
            <w:tcW w:w="1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39%</w:t>
            </w:r>
          </w:p>
        </w:tc>
        <w:tc>
          <w:tcPr>
            <w:tcW w:w="1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Maeve Duska</w:t>
            </w:r>
          </w:p>
        </w:tc>
        <w:tc>
          <w:tcPr>
            <w:tcW w:w="10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George Harrum</w:t>
            </w:r>
          </w:p>
        </w:tc>
        <w:tc>
          <w:tcPr>
            <w:tcW w:w="1040" w:type="dxa"/>
            <w:vAlign w:val="bottom"/>
            <w:shd w:val="clear" w:color="auto" w:fill="F0FFFF"/>
          </w:tcPr>
          <w:p>
            <w:pPr>
              <w:spacing w:after="0"/>
              <w:rPr>
                <w:sz w:val="18"/>
                <w:szCs w:val="18"/>
                <w:color w:val="auto"/>
              </w:rPr>
            </w:pPr>
          </w:p>
        </w:tc>
        <w:tc>
          <w:tcPr>
            <w:tcW w:w="5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76%</w:t>
            </w:r>
          </w:p>
        </w:tc>
        <w:tc>
          <w:tcPr>
            <w:tcW w:w="16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21%</w:t>
            </w:r>
          </w:p>
        </w:tc>
        <w:tc>
          <w:tcPr>
            <w:tcW w:w="1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 Analysis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2014, the Company obtained an updated analysis from Buck Consultants, LLC which contained a new peer group and updated the compensation analysis that had been previously performed. Buck Consultants, LLC assembled a peer group of 15 companies that it deemed comparable to the Company on the basis of size, market capitalization, industry, or financial performance. The peer group consisted of:</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5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Clearfield, Inc.</w:t>
            </w:r>
          </w:p>
        </w:tc>
        <w:tc>
          <w:tcPr>
            <w:tcW w:w="3740" w:type="dxa"/>
            <w:vAlign w:val="bottom"/>
          </w:tcPr>
          <w:p>
            <w:pPr>
              <w:ind w:left="9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Netsol Technologies, Inc.</w:t>
            </w:r>
          </w:p>
        </w:tc>
        <w:tc>
          <w:tcPr>
            <w:tcW w:w="2920" w:type="dxa"/>
            <w:vAlign w:val="bottom"/>
          </w:tcPr>
          <w:p>
            <w:pPr>
              <w:ind w:left="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Procera Networks, Inc.</w:t>
            </w:r>
          </w:p>
        </w:tc>
      </w:tr>
      <w:tr>
        <w:trPr>
          <w:trHeight w:val="216"/>
        </w:trPr>
        <w:tc>
          <w:tcPr>
            <w:tcW w:w="25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Immersion Corp.</w:t>
            </w:r>
          </w:p>
        </w:tc>
        <w:tc>
          <w:tcPr>
            <w:tcW w:w="3740" w:type="dxa"/>
            <w:vAlign w:val="bottom"/>
          </w:tcPr>
          <w:p>
            <w:pPr>
              <w:ind w:left="9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Local Corp.</w:t>
            </w:r>
          </w:p>
        </w:tc>
        <w:tc>
          <w:tcPr>
            <w:tcW w:w="2920" w:type="dxa"/>
            <w:vAlign w:val="bottom"/>
          </w:tcPr>
          <w:p>
            <w:pPr>
              <w:ind w:left="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Tangoe, Inc.</w:t>
            </w:r>
          </w:p>
        </w:tc>
      </w:tr>
      <w:tr>
        <w:trPr>
          <w:trHeight w:val="216"/>
        </w:trPr>
        <w:tc>
          <w:tcPr>
            <w:tcW w:w="25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Digimarc Corp.</w:t>
            </w:r>
          </w:p>
        </w:tc>
        <w:tc>
          <w:tcPr>
            <w:tcW w:w="3740" w:type="dxa"/>
            <w:vAlign w:val="bottom"/>
          </w:tcPr>
          <w:p>
            <w:pPr>
              <w:ind w:left="9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Numerex Corp.</w:t>
            </w:r>
          </w:p>
        </w:tc>
        <w:tc>
          <w:tcPr>
            <w:tcW w:w="2920" w:type="dxa"/>
            <w:vAlign w:val="bottom"/>
          </w:tcPr>
          <w:p>
            <w:pPr>
              <w:ind w:left="72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Transact Technologies, Inc.</w:t>
            </w:r>
          </w:p>
        </w:tc>
      </w:tr>
      <w:tr>
        <w:trPr>
          <w:trHeight w:val="216"/>
        </w:trPr>
        <w:tc>
          <w:tcPr>
            <w:tcW w:w="25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Jive Software, Inc.</w:t>
            </w:r>
          </w:p>
        </w:tc>
        <w:tc>
          <w:tcPr>
            <w:tcW w:w="3740" w:type="dxa"/>
            <w:vAlign w:val="bottom"/>
          </w:tcPr>
          <w:p>
            <w:pPr>
              <w:ind w:left="9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Onvia, Inc.</w:t>
            </w:r>
          </w:p>
        </w:tc>
        <w:tc>
          <w:tcPr>
            <w:tcW w:w="2920" w:type="dxa"/>
            <w:vAlign w:val="bottom"/>
          </w:tcPr>
          <w:p>
            <w:pPr>
              <w:ind w:left="72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Westell Technologies, Inc.</w:t>
            </w:r>
          </w:p>
        </w:tc>
      </w:tr>
      <w:tr>
        <w:trPr>
          <w:trHeight w:val="283"/>
        </w:trPr>
        <w:tc>
          <w:tcPr>
            <w:tcW w:w="25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LGL Group, Inc.</w:t>
            </w:r>
          </w:p>
        </w:tc>
        <w:tc>
          <w:tcPr>
            <w:tcW w:w="3740" w:type="dxa"/>
            <w:vAlign w:val="bottom"/>
          </w:tcPr>
          <w:p>
            <w:pPr>
              <w:ind w:left="9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Planar Systems, Inc.</w:t>
            </w:r>
          </w:p>
        </w:tc>
        <w:tc>
          <w:tcPr>
            <w:tcW w:w="2920" w:type="dxa"/>
            <w:vAlign w:val="bottom"/>
          </w:tcPr>
          <w:p>
            <w:pPr>
              <w:ind w:left="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Planet Payment, Inc.</w:t>
            </w:r>
          </w:p>
        </w:tc>
      </w:tr>
    </w:tbl>
    <w:p>
      <w:pPr>
        <w:spacing w:after="0" w:line="3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making compensation decisions, the Committee reviews the aggregate target compensation paid to an executive officer relative to the compensation paid to similarly situated executives, to the extent available, at our peer companies. For fiscal year 2016, the Committee recommended a compensation program for our executive officers consisting of target level compensation approximately equal to the 50th percentile for similarly situated officers at the peer group companies compiled by Buck Consultants.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August 2016, the Committee obtained an updated analysis from Buck Consultants, LLC, which contained a new peer group and updated the compensation analysis that had been previously performed. The Committee utilized this new analysis in connection with its compensation recommendations for the 2017 fiscal year.</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section describes the various elements of our compensation program for our named executive officers during the 2016 fiscal year. The components of compensation reflected in our named executive officers’ compensation program are set forth in the following table:</w:t>
      </w:r>
    </w:p>
    <w:p>
      <w:pPr>
        <w:sectPr>
          <w:pgSz w:w="11900" w:h="16838" w:orient="portrait"/>
          <w:cols w:equalWidth="0" w:num="1">
            <w:col w:w="11420"/>
          </w:cols>
          <w:pgMar w:left="240" w:top="905" w:right="239" w:bottom="1440" w:gutter="0" w:footer="0" w:header="0"/>
        </w:sect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Element</w:t>
            </w:r>
          </w:p>
        </w:tc>
        <w:tc>
          <w:tcPr>
            <w:tcW w:w="22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Key Characteristics</w:t>
            </w:r>
          </w:p>
        </w:tc>
      </w:tr>
      <w:tr>
        <w:trPr>
          <w:trHeight w:val="41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Base Salary</w:t>
            </w:r>
          </w:p>
        </w:tc>
        <w:tc>
          <w:tcPr>
            <w:tcW w:w="2300" w:type="dxa"/>
            <w:vAlign w:val="bottom"/>
          </w:tcPr>
          <w:p>
            <w:pPr>
              <w:spacing w:after="0"/>
              <w:rPr>
                <w:sz w:val="20"/>
                <w:szCs w:val="20"/>
                <w:color w:val="auto"/>
              </w:rPr>
            </w:pPr>
            <w:r>
              <w:rPr>
                <w:rFonts w:ascii="Arial" w:cs="Arial" w:eastAsia="Arial" w:hAnsi="Arial"/>
                <w:sz w:val="18"/>
                <w:szCs w:val="18"/>
                <w:color w:val="auto"/>
              </w:rPr>
              <w:t>Fixed compensation</w:t>
            </w: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component payable in cash.</w:t>
            </w: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Reviewed annually and</w:t>
            </w:r>
          </w:p>
        </w:tc>
      </w:tr>
      <w:tr>
        <w:trPr>
          <w:trHeight w:val="230"/>
        </w:trPr>
        <w:tc>
          <w:tcPr>
            <w:tcW w:w="8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adjusted when appropriate.</w:t>
            </w:r>
          </w:p>
        </w:tc>
      </w:tr>
      <w:tr>
        <w:trPr>
          <w:trHeight w:val="41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Annual Bonus</w:t>
            </w:r>
          </w:p>
        </w:tc>
        <w:tc>
          <w:tcPr>
            <w:tcW w:w="2300" w:type="dxa"/>
            <w:vAlign w:val="bottom"/>
          </w:tcPr>
          <w:p>
            <w:pPr>
              <w:spacing w:after="0"/>
              <w:rPr>
                <w:sz w:val="20"/>
                <w:szCs w:val="20"/>
                <w:color w:val="auto"/>
              </w:rPr>
            </w:pPr>
            <w:r>
              <w:rPr>
                <w:rFonts w:ascii="Arial" w:cs="Arial" w:eastAsia="Arial" w:hAnsi="Arial"/>
                <w:sz w:val="18"/>
                <w:szCs w:val="18"/>
                <w:color w:val="auto"/>
              </w:rPr>
              <w:t>Variable compensation</w:t>
            </w: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4"/>
              </w:rPr>
              <w:t>component payable in cash or</w:t>
            </w: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0"/>
              </w:rPr>
              <w:t>stock based on performance as</w:t>
            </w: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compared to annually-</w:t>
            </w: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established company and/or</w:t>
            </w:r>
          </w:p>
        </w:tc>
      </w:tr>
      <w:tr>
        <w:trPr>
          <w:trHeight w:val="230"/>
        </w:trPr>
        <w:tc>
          <w:tcPr>
            <w:tcW w:w="8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7"/>
              </w:rPr>
              <w:t>individual performance goals.</w:t>
            </w:r>
          </w:p>
        </w:tc>
      </w:tr>
      <w:tr>
        <w:trPr>
          <w:trHeight w:val="418"/>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Long Term Incentives</w:t>
            </w:r>
          </w:p>
        </w:tc>
        <w:tc>
          <w:tcPr>
            <w:tcW w:w="2300" w:type="dxa"/>
            <w:vAlign w:val="bottom"/>
          </w:tcPr>
          <w:p>
            <w:pPr>
              <w:spacing w:after="0"/>
              <w:rPr>
                <w:sz w:val="20"/>
                <w:szCs w:val="20"/>
                <w:color w:val="auto"/>
              </w:rPr>
            </w:pPr>
            <w:r>
              <w:rPr>
                <w:rFonts w:ascii="Arial" w:cs="Arial" w:eastAsia="Arial" w:hAnsi="Arial"/>
                <w:sz w:val="18"/>
                <w:szCs w:val="18"/>
                <w:color w:val="auto"/>
              </w:rPr>
              <w:t>Variable compensation</w:t>
            </w: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component payable in</w:t>
            </w: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restricted stock or stock</w:t>
            </w:r>
          </w:p>
        </w:tc>
      </w:tr>
      <w:tr>
        <w:trPr>
          <w:trHeight w:val="230"/>
        </w:trPr>
        <w:tc>
          <w:tcPr>
            <w:tcW w:w="8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options.</w:t>
            </w:r>
          </w:p>
        </w:tc>
      </w:tr>
      <w:tr>
        <w:trPr>
          <w:trHeight w:val="6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Perquisites and Other Personal Benefits</w:t>
            </w:r>
          </w:p>
        </w:tc>
        <w:tc>
          <w:tcPr>
            <w:tcW w:w="2300" w:type="dxa"/>
            <w:vAlign w:val="bottom"/>
          </w:tcPr>
          <w:p>
            <w:pPr>
              <w:spacing w:after="0"/>
              <w:rPr>
                <w:sz w:val="20"/>
                <w:szCs w:val="20"/>
                <w:color w:val="auto"/>
              </w:rPr>
            </w:pPr>
            <w:r>
              <w:rPr>
                <w:rFonts w:ascii="Arial" w:cs="Arial" w:eastAsia="Arial" w:hAnsi="Arial"/>
                <w:sz w:val="18"/>
                <w:szCs w:val="18"/>
                <w:color w:val="auto"/>
              </w:rPr>
              <w:t>Fixed compensation</w:t>
            </w:r>
          </w:p>
        </w:tc>
      </w:tr>
      <w:tr>
        <w:trPr>
          <w:trHeight w:val="216"/>
        </w:trPr>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component to provide basic</w:t>
            </w:r>
          </w:p>
        </w:tc>
      </w:tr>
      <w:tr>
        <w:trPr>
          <w:trHeight w:val="230"/>
        </w:trPr>
        <w:tc>
          <w:tcPr>
            <w:tcW w:w="8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competitive benefits.</w:t>
            </w:r>
          </w:p>
        </w:tc>
      </w:tr>
      <w:tr>
        <w:trPr>
          <w:trHeight w:val="608"/>
        </w:trPr>
        <w:tc>
          <w:tcPr>
            <w:tcW w:w="4120" w:type="dxa"/>
            <w:vAlign w:val="bottom"/>
            <w:gridSpan w:val="3"/>
          </w:tcPr>
          <w:p>
            <w:pPr>
              <w:spacing w:after="0"/>
              <w:rPr>
                <w:sz w:val="20"/>
                <w:szCs w:val="20"/>
                <w:color w:val="auto"/>
              </w:rPr>
            </w:pPr>
            <w:r>
              <w:rPr>
                <w:rFonts w:ascii="Arial" w:cs="Arial" w:eastAsia="Arial" w:hAnsi="Arial"/>
                <w:sz w:val="18"/>
                <w:szCs w:val="18"/>
                <w:color w:val="auto"/>
              </w:rPr>
              <w:t>Base Salary</w:t>
            </w:r>
          </w:p>
        </w:tc>
        <w:tc>
          <w:tcPr>
            <w:tcW w:w="2300" w:type="dxa"/>
            <w:vAlign w:val="bottom"/>
          </w:tcPr>
          <w:p>
            <w:pPr>
              <w:spacing w:after="0"/>
              <w:rPr>
                <w:sz w:val="24"/>
                <w:szCs w:val="24"/>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Why We Pay</w:t>
            </w:r>
          </w:p>
        </w:tc>
        <w:tc>
          <w:tcPr>
            <w:tcW w:w="1940" w:type="dxa"/>
            <w:vAlign w:val="bottom"/>
          </w:tcPr>
          <w:p>
            <w:pPr>
              <w:ind w:left="220"/>
              <w:spacing w:after="0"/>
              <w:rPr>
                <w:sz w:val="20"/>
                <w:szCs w:val="20"/>
                <w:color w:val="auto"/>
              </w:rPr>
            </w:pPr>
            <w:r>
              <w:rPr>
                <w:rFonts w:ascii="Arial" w:cs="Arial" w:eastAsia="Arial" w:hAnsi="Arial"/>
                <w:sz w:val="18"/>
                <w:szCs w:val="18"/>
                <w:b w:val="1"/>
                <w:bCs w:val="1"/>
                <w:color w:val="auto"/>
              </w:rPr>
              <w:t>How We Determine</w:t>
            </w:r>
          </w:p>
        </w:tc>
      </w:tr>
      <w:tr>
        <w:trPr>
          <w:trHeight w:val="241"/>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this Element</w:t>
            </w:r>
          </w:p>
        </w:tc>
        <w:tc>
          <w:tcPr>
            <w:tcW w:w="200" w:type="dxa"/>
            <w:vAlign w:val="bottom"/>
          </w:tcPr>
          <w:p>
            <w:pPr>
              <w:spacing w:after="0"/>
              <w:rPr>
                <w:sz w:val="20"/>
                <w:szCs w:val="20"/>
                <w:color w:val="auto"/>
              </w:rPr>
            </w:pPr>
          </w:p>
        </w:tc>
        <w:tc>
          <w:tcPr>
            <w:tcW w:w="19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the Amount</w:t>
            </w:r>
          </w:p>
        </w:tc>
      </w:tr>
      <w:tr>
        <w:trPr>
          <w:trHeight w:val="418"/>
        </w:trPr>
        <w:tc>
          <w:tcPr>
            <w:tcW w:w="2820" w:type="dxa"/>
            <w:vAlign w:val="bottom"/>
            <w:gridSpan w:val="2"/>
          </w:tcPr>
          <w:p>
            <w:pPr>
              <w:spacing w:after="0"/>
              <w:rPr>
                <w:sz w:val="20"/>
                <w:szCs w:val="20"/>
                <w:color w:val="auto"/>
              </w:rPr>
            </w:pPr>
            <w:r>
              <w:rPr>
                <w:rFonts w:ascii="Arial" w:cs="Arial" w:eastAsia="Arial" w:hAnsi="Arial"/>
                <w:sz w:val="18"/>
                <w:szCs w:val="18"/>
                <w:color w:val="auto"/>
              </w:rPr>
              <w:t>Provide a base level of competitive</w:t>
            </w:r>
          </w:p>
        </w:tc>
        <w:tc>
          <w:tcPr>
            <w:tcW w:w="1940" w:type="dxa"/>
            <w:vAlign w:val="bottom"/>
          </w:tcPr>
          <w:p>
            <w:pPr>
              <w:spacing w:after="0"/>
              <w:rPr>
                <w:sz w:val="20"/>
                <w:szCs w:val="20"/>
                <w:color w:val="auto"/>
              </w:rPr>
            </w:pPr>
            <w:r>
              <w:rPr>
                <w:rFonts w:ascii="Arial" w:cs="Arial" w:eastAsia="Arial" w:hAnsi="Arial"/>
                <w:sz w:val="18"/>
                <w:szCs w:val="18"/>
                <w:color w:val="auto"/>
              </w:rPr>
              <w:t>Experience, job scope,</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cash compensation for executive</w:t>
            </w:r>
          </w:p>
        </w:tc>
        <w:tc>
          <w:tcPr>
            <w:tcW w:w="1940" w:type="dxa"/>
            <w:vAlign w:val="bottom"/>
          </w:tcPr>
          <w:p>
            <w:pPr>
              <w:spacing w:after="0"/>
              <w:rPr>
                <w:sz w:val="20"/>
                <w:szCs w:val="20"/>
                <w:color w:val="auto"/>
              </w:rPr>
            </w:pPr>
            <w:r>
              <w:rPr>
                <w:rFonts w:ascii="Arial" w:cs="Arial" w:eastAsia="Arial" w:hAnsi="Arial"/>
                <w:sz w:val="18"/>
                <w:szCs w:val="18"/>
                <w:color w:val="auto"/>
                <w:w w:val="92"/>
              </w:rPr>
              <w:t>peer group, and individual</w:t>
            </w: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talent.</w:t>
            </w:r>
          </w:p>
        </w:tc>
        <w:tc>
          <w:tcPr>
            <w:tcW w:w="1940" w:type="dxa"/>
            <w:vAlign w:val="bottom"/>
          </w:tcPr>
          <w:p>
            <w:pPr>
              <w:spacing w:after="0"/>
              <w:rPr>
                <w:sz w:val="20"/>
                <w:szCs w:val="20"/>
                <w:color w:val="auto"/>
              </w:rPr>
            </w:pPr>
            <w:r>
              <w:rPr>
                <w:rFonts w:ascii="Arial" w:cs="Arial" w:eastAsia="Arial" w:hAnsi="Arial"/>
                <w:sz w:val="18"/>
                <w:szCs w:val="18"/>
                <w:color w:val="auto"/>
              </w:rPr>
              <w:t>performance.</w:t>
            </w:r>
          </w:p>
        </w:tc>
      </w:tr>
      <w:tr>
        <w:trPr>
          <w:trHeight w:val="634"/>
        </w:trPr>
        <w:tc>
          <w:tcPr>
            <w:tcW w:w="2820" w:type="dxa"/>
            <w:vAlign w:val="bottom"/>
            <w:gridSpan w:val="2"/>
          </w:tcPr>
          <w:p>
            <w:pPr>
              <w:spacing w:after="0"/>
              <w:rPr>
                <w:sz w:val="20"/>
                <w:szCs w:val="20"/>
                <w:color w:val="auto"/>
              </w:rPr>
            </w:pPr>
            <w:r>
              <w:rPr>
                <w:rFonts w:ascii="Arial" w:cs="Arial" w:eastAsia="Arial" w:hAnsi="Arial"/>
                <w:sz w:val="18"/>
                <w:szCs w:val="18"/>
                <w:color w:val="auto"/>
              </w:rPr>
              <w:t>Motivate and reward executives for</w:t>
            </w:r>
          </w:p>
        </w:tc>
        <w:tc>
          <w:tcPr>
            <w:tcW w:w="1940" w:type="dxa"/>
            <w:vAlign w:val="bottom"/>
          </w:tcPr>
          <w:p>
            <w:pPr>
              <w:spacing w:after="0"/>
              <w:rPr>
                <w:sz w:val="20"/>
                <w:szCs w:val="20"/>
                <w:color w:val="auto"/>
              </w:rPr>
            </w:pPr>
            <w:r>
              <w:rPr>
                <w:rFonts w:ascii="Arial" w:cs="Arial" w:eastAsia="Arial" w:hAnsi="Arial"/>
                <w:sz w:val="18"/>
                <w:szCs w:val="18"/>
                <w:color w:val="auto"/>
              </w:rPr>
              <w:t>Organizational and</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performance on key operational,</w:t>
            </w:r>
          </w:p>
        </w:tc>
        <w:tc>
          <w:tcPr>
            <w:tcW w:w="1940" w:type="dxa"/>
            <w:vAlign w:val="bottom"/>
          </w:tcPr>
          <w:p>
            <w:pPr>
              <w:spacing w:after="0"/>
              <w:rPr>
                <w:sz w:val="20"/>
                <w:szCs w:val="20"/>
                <w:color w:val="auto"/>
              </w:rPr>
            </w:pPr>
            <w:r>
              <w:rPr>
                <w:rFonts w:ascii="Arial" w:cs="Arial" w:eastAsia="Arial" w:hAnsi="Arial"/>
                <w:sz w:val="18"/>
                <w:szCs w:val="18"/>
                <w:color w:val="auto"/>
              </w:rPr>
              <w:t>individual performance,</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financial and personal measures</w:t>
            </w:r>
          </w:p>
        </w:tc>
        <w:tc>
          <w:tcPr>
            <w:tcW w:w="1940" w:type="dxa"/>
            <w:vAlign w:val="bottom"/>
          </w:tcPr>
          <w:p>
            <w:pPr>
              <w:spacing w:after="0"/>
              <w:rPr>
                <w:sz w:val="20"/>
                <w:szCs w:val="20"/>
                <w:color w:val="auto"/>
              </w:rPr>
            </w:pPr>
            <w:r>
              <w:rPr>
                <w:rFonts w:ascii="Arial" w:cs="Arial" w:eastAsia="Arial" w:hAnsi="Arial"/>
                <w:sz w:val="18"/>
                <w:szCs w:val="18"/>
                <w:color w:val="auto"/>
                <w:w w:val="92"/>
              </w:rPr>
              <w:t>with actual payouts based</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during the year.</w:t>
            </w:r>
          </w:p>
        </w:tc>
        <w:tc>
          <w:tcPr>
            <w:tcW w:w="1940" w:type="dxa"/>
            <w:vAlign w:val="bottom"/>
          </w:tcPr>
          <w:p>
            <w:pPr>
              <w:spacing w:after="0"/>
              <w:rPr>
                <w:sz w:val="20"/>
                <w:szCs w:val="20"/>
                <w:color w:val="auto"/>
              </w:rPr>
            </w:pPr>
            <w:r>
              <w:rPr>
                <w:rFonts w:ascii="Arial" w:cs="Arial" w:eastAsia="Arial" w:hAnsi="Arial"/>
                <w:sz w:val="18"/>
                <w:szCs w:val="18"/>
                <w:color w:val="auto"/>
              </w:rPr>
              <w:t>on the extent to which</w:t>
            </w:r>
          </w:p>
        </w:tc>
      </w:tr>
      <w:tr>
        <w:trPr>
          <w:trHeight w:val="216"/>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performance goals are</w:t>
            </w:r>
          </w:p>
        </w:tc>
      </w:tr>
      <w:tr>
        <w:trPr>
          <w:trHeight w:val="230"/>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satisfied.</w:t>
            </w:r>
          </w:p>
        </w:tc>
      </w:tr>
      <w:tr>
        <w:trPr>
          <w:trHeight w:val="418"/>
        </w:trPr>
        <w:tc>
          <w:tcPr>
            <w:tcW w:w="2820" w:type="dxa"/>
            <w:vAlign w:val="bottom"/>
            <w:gridSpan w:val="2"/>
          </w:tcPr>
          <w:p>
            <w:pPr>
              <w:spacing w:after="0"/>
              <w:rPr>
                <w:sz w:val="20"/>
                <w:szCs w:val="20"/>
                <w:color w:val="auto"/>
              </w:rPr>
            </w:pPr>
            <w:r>
              <w:rPr>
                <w:rFonts w:ascii="Arial" w:cs="Arial" w:eastAsia="Arial" w:hAnsi="Arial"/>
                <w:sz w:val="18"/>
                <w:szCs w:val="18"/>
                <w:color w:val="auto"/>
              </w:rPr>
              <w:t>Alignment of long term interests of</w:t>
            </w:r>
          </w:p>
        </w:tc>
        <w:tc>
          <w:tcPr>
            <w:tcW w:w="1940" w:type="dxa"/>
            <w:vAlign w:val="bottom"/>
          </w:tcPr>
          <w:p>
            <w:pPr>
              <w:spacing w:after="0"/>
              <w:rPr>
                <w:sz w:val="20"/>
                <w:szCs w:val="20"/>
                <w:color w:val="auto"/>
              </w:rPr>
            </w:pPr>
            <w:r>
              <w:rPr>
                <w:rFonts w:ascii="Arial" w:cs="Arial" w:eastAsia="Arial" w:hAnsi="Arial"/>
                <w:sz w:val="18"/>
                <w:szCs w:val="18"/>
                <w:color w:val="auto"/>
              </w:rPr>
              <w:t>Organizational and</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management and shareholders.</w:t>
            </w:r>
          </w:p>
        </w:tc>
        <w:tc>
          <w:tcPr>
            <w:tcW w:w="1940" w:type="dxa"/>
            <w:vAlign w:val="bottom"/>
          </w:tcPr>
          <w:p>
            <w:pPr>
              <w:spacing w:after="0"/>
              <w:rPr>
                <w:sz w:val="20"/>
                <w:szCs w:val="20"/>
                <w:color w:val="auto"/>
              </w:rPr>
            </w:pPr>
            <w:r>
              <w:rPr>
                <w:rFonts w:ascii="Arial" w:cs="Arial" w:eastAsia="Arial" w:hAnsi="Arial"/>
                <w:sz w:val="18"/>
                <w:szCs w:val="18"/>
                <w:color w:val="auto"/>
              </w:rPr>
              <w:t>individual performance,</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Retention of executive talent.</w:t>
            </w:r>
          </w:p>
        </w:tc>
        <w:tc>
          <w:tcPr>
            <w:tcW w:w="1940" w:type="dxa"/>
            <w:vAlign w:val="bottom"/>
          </w:tcPr>
          <w:p>
            <w:pPr>
              <w:spacing w:after="0"/>
              <w:rPr>
                <w:sz w:val="20"/>
                <w:szCs w:val="20"/>
                <w:color w:val="auto"/>
              </w:rPr>
            </w:pPr>
            <w:r>
              <w:rPr>
                <w:rFonts w:ascii="Arial" w:cs="Arial" w:eastAsia="Arial" w:hAnsi="Arial"/>
                <w:sz w:val="18"/>
                <w:szCs w:val="18"/>
                <w:color w:val="auto"/>
                <w:w w:val="94"/>
              </w:rPr>
              <w:t>with actual awards based</w:t>
            </w:r>
          </w:p>
        </w:tc>
      </w:tr>
      <w:tr>
        <w:trPr>
          <w:trHeight w:val="216"/>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on the extent to which</w:t>
            </w:r>
          </w:p>
        </w:tc>
      </w:tr>
      <w:tr>
        <w:trPr>
          <w:trHeight w:val="230"/>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goals are satisfied.</w:t>
            </w:r>
          </w:p>
        </w:tc>
      </w:tr>
      <w:tr>
        <w:trPr>
          <w:trHeight w:val="418"/>
        </w:trPr>
        <w:tc>
          <w:tcPr>
            <w:tcW w:w="2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Provide a base level of competitive</w:t>
            </w:r>
          </w:p>
        </w:tc>
        <w:tc>
          <w:tcPr>
            <w:tcW w:w="1940" w:type="dxa"/>
            <w:vAlign w:val="bottom"/>
          </w:tcPr>
          <w:p>
            <w:pPr>
              <w:spacing w:after="0"/>
              <w:rPr>
                <w:sz w:val="20"/>
                <w:szCs w:val="20"/>
                <w:color w:val="auto"/>
              </w:rPr>
            </w:pPr>
            <w:r>
              <w:rPr>
                <w:rFonts w:ascii="Arial" w:cs="Arial" w:eastAsia="Arial" w:hAnsi="Arial"/>
                <w:sz w:val="18"/>
                <w:szCs w:val="18"/>
                <w:color w:val="auto"/>
              </w:rPr>
              <w:t>Periodic review of</w:t>
            </w:r>
          </w:p>
        </w:tc>
      </w:tr>
      <w:tr>
        <w:trPr>
          <w:trHeight w:val="216"/>
        </w:trPr>
        <w:tc>
          <w:tcPr>
            <w:tcW w:w="2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compensation for executive talent.</w:t>
            </w:r>
          </w:p>
        </w:tc>
        <w:tc>
          <w:tcPr>
            <w:tcW w:w="1940" w:type="dxa"/>
            <w:vAlign w:val="bottom"/>
          </w:tcPr>
          <w:p>
            <w:pPr>
              <w:spacing w:after="0"/>
              <w:rPr>
                <w:sz w:val="20"/>
                <w:szCs w:val="20"/>
                <w:color w:val="auto"/>
              </w:rPr>
            </w:pPr>
            <w:r>
              <w:rPr>
                <w:rFonts w:ascii="Arial" w:cs="Arial" w:eastAsia="Arial" w:hAnsi="Arial"/>
                <w:sz w:val="18"/>
                <w:szCs w:val="18"/>
                <w:color w:val="auto"/>
              </w:rPr>
              <w:t>benefits provided</w:t>
            </w:r>
          </w:p>
        </w:tc>
      </w:tr>
      <w:tr>
        <w:trPr>
          <w:trHeight w:val="216"/>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generally to all</w:t>
            </w:r>
          </w:p>
        </w:tc>
      </w:tr>
      <w:tr>
        <w:trPr>
          <w:trHeight w:val="230"/>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employees.</w:t>
            </w:r>
          </w:p>
        </w:tc>
      </w:tr>
    </w:tbl>
    <w:p>
      <w:pPr>
        <w:spacing w:after="0" w:line="605" w:lineRule="exact"/>
        <w:rPr>
          <w:sz w:val="20"/>
          <w:szCs w:val="20"/>
          <w:color w:val="auto"/>
        </w:rPr>
      </w:pPr>
    </w:p>
    <w:p>
      <w:pPr>
        <w:sectPr>
          <w:pgSz w:w="11900" w:h="16838" w:orient="portrait"/>
          <w:cols w:equalWidth="0" w:num="2">
            <w:col w:w="6420" w:space="240"/>
            <w:col w:w="4760"/>
          </w:cols>
          <w:pgMar w:left="240" w:top="905" w:right="239" w:bottom="1440" w:gutter="0" w:footer="0" w:header="0"/>
          <w:type w:val="continuous"/>
        </w:sectPr>
      </w:pP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 salary is the fixed component of our named executive officers’ annual cash compensation and is set with the goal of attracting talented executives and adequately compensating and rewarding them for services rendered during the fiscal year. The Compensation Committee reviews our executive officers’ base salary on an annual basis.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base salaries of each of our executive officers reflect the individual’s level of responsibility and performance. In recommending base salaries of our executive officers to the Board of Directors, the Compensation Committee also considers changes in duties and responsibilities, our business and financial results, and its knowledge of base salaries paid to executive officers of our peer group. The base salaries of each of Ms. Duska and Mr. Harrum were established by our Chief Executive Officer after discussions with each employee.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July 24, 2015, we increased Mr. Herbert’s base salary by approximately 6% to $360,000, and effective January 1, 2016 we increased Mr. Lawlor’s base salary by 15% to $235,000. Prior to January 1, 2016, Mr. Lawlor’s base salary was established by our Chief Executive Officer after discussion with Mr. Lawlor.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Bonus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Performance-based annual bonuses are based on each named executive officer’s achievement of performance goals. Annual bonuses are intended to provide officers with an opportunity to receive additional cash compensation based on their individual performance and Company results, including the achievement of pre-determined Company and/or individual performance goals. Performance-based bonuses are included in the compensation package because they incentivize our named executive officers, in any particular year, to pursue particular objectives that are consistent with the overall goals and strategic direction that the Board has set for the Company for that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believes that the annual performance-based bonus reinforces the pay-for-performance nature of our compensation program.</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Fiscal Year 2016 Short-Term Incentive Plan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the recommendation of the Compensation Committee, the Board of Directors adopted the 2016 STI Plan covering our executive officers. Pursuant to the 2016 STI Plan, each executive officer would earn a cash bonus in the event that the Company achieved during the 2016 fiscal year certain annual financial goals (80% weighting) and certain annual specific performance goals relating to the executive officer which were established by the Compensation Committee (20% weighting). The annual financial goals are total revenues (30% weighting), cash generated from operations (30% weighting), and non-GAAP net income (40% weighting). Assuming the minimum threshold target goal would be achieved for a particular metric, the amount of the cash bonus to be earned would be determined on a pro rata basis, provided that the bonus would not exceed the maximum distinguished award for that metric.</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individual performance goals established by the Committee for Mr. Herbert included clearly communicating the Company's strategy, goals and objectives to the investment community, developing senior management leadership necessary to support the future growth of the Company, and leading the effort to identify strategic alternatives for the Company.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set the cash bonus opportunity for each current executive officer as a percentage of his respective annual base salary as set forth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202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Threshold Performance</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Target Performance</w:t>
            </w:r>
          </w:p>
        </w:tc>
        <w:tc>
          <w:tcPr>
            <w:tcW w:w="2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Distinguished Performance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1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840" w:type="dxa"/>
            <w:vAlign w:val="bottom"/>
            <w:gridSpan w:val="3"/>
            <w:shd w:val="clear" w:color="auto" w:fill="F0FFFF"/>
          </w:tcPr>
          <w:p>
            <w:pPr>
              <w:jc w:val="right"/>
              <w:ind w:right="60"/>
              <w:spacing w:after="0"/>
              <w:rPr>
                <w:sz w:val="20"/>
                <w:szCs w:val="20"/>
                <w:color w:val="auto"/>
              </w:rPr>
            </w:pPr>
            <w:r>
              <w:rPr>
                <w:rFonts w:ascii="Arial" w:cs="Arial" w:eastAsia="Arial" w:hAnsi="Arial"/>
                <w:sz w:val="18"/>
                <w:szCs w:val="18"/>
                <w:color w:val="auto"/>
              </w:rPr>
              <w:t>50%</w:t>
            </w:r>
          </w:p>
        </w:tc>
        <w:tc>
          <w:tcPr>
            <w:tcW w:w="232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Michael Lawlor</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232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Below were the threshold, target and distinguished cash bonus award target opportunities for our current executive officers: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Named Executive Officer</w:t>
            </w:r>
          </w:p>
        </w:tc>
        <w:tc>
          <w:tcPr>
            <w:tcW w:w="1940" w:type="dxa"/>
            <w:vAlign w:val="bottom"/>
            <w:gridSpan w:val="3"/>
          </w:tcPr>
          <w:p>
            <w:pPr>
              <w:spacing w:after="0"/>
              <w:rPr>
                <w:sz w:val="20"/>
                <w:szCs w:val="20"/>
                <w:color w:val="auto"/>
              </w:rPr>
            </w:pPr>
            <w:r>
              <w:rPr>
                <w:rFonts w:ascii="Arial" w:cs="Arial" w:eastAsia="Arial" w:hAnsi="Arial"/>
                <w:sz w:val="18"/>
                <w:szCs w:val="18"/>
                <w:b w:val="1"/>
                <w:bCs w:val="1"/>
                <w:color w:val="auto"/>
                <w:w w:val="95"/>
              </w:rPr>
              <w:t>Threshold Performance</w:t>
            </w:r>
          </w:p>
        </w:tc>
        <w:tc>
          <w:tcPr>
            <w:tcW w:w="1860" w:type="dxa"/>
            <w:vAlign w:val="bottom"/>
            <w:gridSpan w:val="4"/>
          </w:tcPr>
          <w:p>
            <w:pPr>
              <w:ind w:left="100"/>
              <w:spacing w:after="0"/>
              <w:rPr>
                <w:sz w:val="20"/>
                <w:szCs w:val="20"/>
                <w:color w:val="auto"/>
              </w:rPr>
            </w:pPr>
            <w:r>
              <w:rPr>
                <w:rFonts w:ascii="Arial" w:cs="Arial" w:eastAsia="Arial" w:hAnsi="Arial"/>
                <w:sz w:val="18"/>
                <w:szCs w:val="18"/>
                <w:b w:val="1"/>
                <w:bCs w:val="1"/>
                <w:color w:val="auto"/>
              </w:rPr>
              <w:t>Target Performance</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5"/>
              </w:rPr>
              <w:t>Target Performance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9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180,000</w:t>
            </w:r>
          </w:p>
        </w:tc>
        <w:tc>
          <w:tcPr>
            <w:tcW w:w="5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Michael Lawlor</w:t>
            </w: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23,500</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35,250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Herbert earned a cash bonus of $134,227, representing 37% of his base salary, and Mr. Lawlor earned a cash bonus of $16,349 representing 7% of his base salary, under the 2016 STI Plan. The Committee determined that Mr. Herbert had achieved 125% of his individual performance target goals, and Mr. Lawlor had achieved 100% of his individual performance target goals. Based on the actual performance of the Company during the 2016 fiscal year, the minimum threshold performance target was not met for non-GAAP net income, revenues for the fiscal year were in excess of the maximum distinguished target goal, and cash generated from operations was in excess of the minimum threshold target but less than the target goal. In determining the award under the 2016 STI Plan, the Committee further increased the cash generated from operations by certain non-recurring charges incurred by the Company during the fiscal year in connection with the VendScreen acquisition and business integration. Following the adjustment, cash generated from operations was still less than the target goal under the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 Cash Bonus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fiscal year ended June 30, 2016, the cash bonuses earned by Mr. Maxwell, Mr. Harrum, Mr. Lawlor and Ms. Duska under the fiscal year 2016 management incentive plan were based upon the attainment of financial target goals by the Company relating to connections (25% weighting), revenues (15% weighting), non-GAAP net income (20% weighting), adjusted EBITDA (25% weighting), and cash generated from operations (15% weighting). Based on the actual performance of the Company during the 2016 fiscal year, the minimum threshold performance targets were not met for non-GAAP net income and adjusted EBITDA, connections were in excess of the target goal but less than the distinguished target goal, revenues were in excess of the target goal but less than the maximum distinguished target goal, and cash generated from operations was greater than the minimum threshold target goal but less than the target goal. In determining the awards under the plan, adjusted EBITDA was further increased by management for certain charges resulting in this metric exceeding the minimum threshold target but less than the target goal, and cash generated from operations was further increased by management for certain charges resulting in an increase to this metric which was still less than the target goal.</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auto"/>
        </w:rPr>
        <w:t>Long-Term Incentive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above, the Committee believes that a substantial portion of each executive officer’s compensation should be in the form of long-term incentive compensation in order to further align the interests of our executive officers and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2016 Long-Term Incentive Performance Share Plan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recommendation of the Compensation Committee, the Board of Directors adopted the 2016 LTI Stock Plan covering our executive officers. Under the 2016 LTI Stock Plan, each executive officer would be awarded shares of common stock in the event that certain metrics relating to the Company’s 2016 fiscal year would result in specified ranges of year-over-year percentage growth. The metrics are total number of connections as of June 30, 2016 as compared to total number of connections as of June 30, 2015 (50% weighting), and adjusted EBITDA earned during the 2016 fiscal year as compared to adjusted EBITDA earned during the 2015 fiscal year (50% weighting). The shares awarded under the 2016 LTI Stock Plan would vest as follows: one-third on the date of issuance; one-third on June 30, 2017; and one-third on June 30, 2018.</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time of the establishment of the 2016 LTI Stock Plan, the Compensation Committee believed that the attainment of the target goals under the 2016 LTI Stock Plan would represent a significant achievement for management, and were designed to stretch the Company’s and management’s performance during the fiscal year.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established target long-term award levels for each current executive officer as a percentage of his respective annual base salary as indicated in the table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202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Threshold Performance</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Target Performance</w:t>
            </w:r>
          </w:p>
        </w:tc>
        <w:tc>
          <w:tcPr>
            <w:tcW w:w="2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Distinguished Performance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1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840" w:type="dxa"/>
            <w:vAlign w:val="bottom"/>
            <w:gridSpan w:val="3"/>
            <w:shd w:val="clear" w:color="auto" w:fill="F0FFFF"/>
          </w:tcPr>
          <w:p>
            <w:pPr>
              <w:jc w:val="right"/>
              <w:ind w:right="60"/>
              <w:spacing w:after="0"/>
              <w:rPr>
                <w:sz w:val="20"/>
                <w:szCs w:val="20"/>
                <w:color w:val="auto"/>
              </w:rPr>
            </w:pPr>
            <w:r>
              <w:rPr>
                <w:rFonts w:ascii="Arial" w:cs="Arial" w:eastAsia="Arial" w:hAnsi="Arial"/>
                <w:sz w:val="18"/>
                <w:szCs w:val="18"/>
                <w:color w:val="auto"/>
              </w:rPr>
              <w:t>100%</w:t>
            </w:r>
          </w:p>
        </w:tc>
        <w:tc>
          <w:tcPr>
            <w:tcW w:w="232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Michael Lawlor</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37.5%</w:t>
            </w:r>
          </w:p>
        </w:tc>
        <w:tc>
          <w:tcPr>
            <w:tcW w:w="2320" w:type="dxa"/>
            <w:vAlign w:val="bottom"/>
            <w:gridSpan w:val="3"/>
          </w:tcPr>
          <w:p>
            <w:pPr>
              <w:jc w:val="right"/>
              <w:ind w:right="2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table set forth below lists the value of the shares that would have been awarded to the current executive officers under the 2016 LTI Stock Plan if all of the minimum threshold performance goals had been achieved, if all of the target performance goals had been achieved, and if all of the distinguished performance goals had been achieved. Assuming the minimum threshold target goal was achieved for a particular metric, the number of shares to be awarded for that metric was required to be determined on a pro-rata basis, provided that the award could not exceed the maximum distinguished award for that metric.</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202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Threshold Performance</w:t>
            </w:r>
          </w:p>
        </w:tc>
        <w:tc>
          <w:tcPr>
            <w:tcW w:w="172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Target Performance</w:t>
            </w:r>
          </w:p>
        </w:tc>
        <w:tc>
          <w:tcPr>
            <w:tcW w:w="1740" w:type="dxa"/>
            <w:vAlign w:val="bottom"/>
            <w:gridSpan w:val="4"/>
          </w:tcPr>
          <w:p>
            <w:pPr>
              <w:ind w:left="100"/>
              <w:spacing w:after="0"/>
              <w:rPr>
                <w:sz w:val="20"/>
                <w:szCs w:val="20"/>
                <w:color w:val="auto"/>
              </w:rPr>
            </w:pPr>
            <w:r>
              <w:rPr>
                <w:rFonts w:ascii="Arial" w:cs="Arial" w:eastAsia="Arial" w:hAnsi="Arial"/>
                <w:sz w:val="18"/>
                <w:szCs w:val="18"/>
                <w:b w:val="1"/>
                <w:bCs w:val="1"/>
                <w:color w:val="auto"/>
                <w:w w:val="95"/>
              </w:rPr>
              <w:t>Target Performance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10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60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F0FFFF"/>
          </w:tcPr>
          <w:p>
            <w:pPr>
              <w:spacing w:after="0"/>
              <w:rPr>
                <w:sz w:val="18"/>
                <w:szCs w:val="18"/>
                <w:color w:val="auto"/>
              </w:rPr>
            </w:pPr>
          </w:p>
        </w:tc>
        <w:tc>
          <w:tcPr>
            <w:tcW w:w="6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540,000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Michael Lawlor</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88,125</w:t>
            </w:r>
          </w:p>
        </w:tc>
        <w:tc>
          <w:tcPr>
            <w:tcW w:w="100" w:type="dxa"/>
            <w:vAlign w:val="bottom"/>
          </w:tcPr>
          <w:p>
            <w:pPr>
              <w:spacing w:after="0"/>
              <w:rPr>
                <w:sz w:val="20"/>
                <w:szCs w:val="20"/>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actual performance of the Company during the 2016 fiscal year, the minimum threshold performance target established under the 2016 LTI Stock Plan was not met for adjusted EBITDA. Connections for the fiscal year were in excess of the maximum distinguished target goal. Consequently, the stock award to each executive officer under the 2016 LTI Stock Plan was as follows:</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Named Executive</w:t>
            </w:r>
          </w:p>
        </w:tc>
        <w:tc>
          <w:tcPr>
            <w:tcW w:w="19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Value of Shares as of</w:t>
            </w:r>
          </w:p>
        </w:tc>
      </w:tr>
      <w:tr>
        <w:trPr>
          <w:trHeight w:val="241"/>
        </w:trPr>
        <w:tc>
          <w:tcPr>
            <w:tcW w:w="4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Officer</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30, 2016</w:t>
            </w:r>
          </w:p>
        </w:tc>
      </w:tr>
      <w:tr>
        <w:trPr>
          <w:trHeight w:val="216"/>
        </w:trPr>
        <w:tc>
          <w:tcPr>
            <w:tcW w:w="4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19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63,232</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270,000</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Michael Lawlor</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15,479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66,094</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shares awarded to Mr. Herbert had a value equal to 75% of his annual base salary, and the shares awarded to Mr. Lawlor had a value equal to 28% of his annual base salary.</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Stock Option Awards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July 2015, Mr. Herbert was awarded incentive stock options intended to qualify under Section 422 of the Internal Revenue Code of 1986, as amended (the “Code”), to purchase up to 29,585 shares at an exercise price of $3.38 per share. The options vested on August 1, 2016, and expire if not exercised prior to August 1, 2022.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January 2016, Mr. Lawlor was awarded incentive stock options intended to qualify under Section 422 of the Code to purchase up to 75,000 shares at an exercise price of $2.94 per share. The options vest as follows: one-third on January 12, 2017; one-third on January 12, 2018; and one-third on January 12, 2019. The options expire if not exercised prior to January 12,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Perquisites and Other Benefits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were entitled to the health care coverage, group insurance and other employee benefits provided to all of our other employees.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Post-Termination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set forth in his employment agreement, upon the termination of Mr. Herbert’s employment under certain circumstances, including termination by the Company without cause or by a notice of non-renewal of the employment agreement, or under certain circumstances following a change of control of the Company, the Company has agreed to pay Mr. Herbert a lump sum amount equal to two times his annual base salary and all restricted stock awards or stock options would become vested as of the date of termination.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that these provisions are an important component of Mr. Herbert's employment arrangement and will help to secure his continued employment and dedication, notwithstanding any concern that he might have at such time regarding his own continued employment, prior to or following a change of control.</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Committee notes that there would be no payments to our executive officers upon a change of control without a “double trigger”. Payments under our employment agreements require two events for vesting – both the change of control and a “good reason” for termination of employment.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 information regarding what would have been received by Mr. Herbert had termination occurred on June 30, 2016 is found under the heading “Potential Payments upon Termination or Change of Control” on page 95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Ownership Policy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providing our executive officers who have responsibility for the Company’s management and growth with an opportunity to increase their ownership of Company shares aligns the interests of the executive officers with those of the shareholders. Our Stock Ownership Guidelines provide that the Chief Executive Officer should own shares with a value of at least three times his annual base salary, and the Chief Financial Officer and other executive officers should own shares with a value of at least one times his annual base salary. Each executive officer has five years to obtain such ownership from the commencement of serving as an executive officer. As of the date hereof, each executive officer is in compliance with the policy.</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Stock Ownership Guidelines provide that each non-employee director should own shares of common stock with a value of at least five times his or her annual cash retainer. For this purpose, the annual retainer shall include the annual retainer for service on the Board as well as the annual retainer for serving on one (but not more than one) Committee of the Board for a total share value of at least $150,000. Each director has five years to obtain such ownership from commencement of service as a director. As of the date hereof, each of the directors is in compliance with the policy.</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purposes of these guidelines, “shares” include shares owned by the executive officer or director or by such person’s immediate family members residing in the same household and include non-vested restricted stock awards held by the executive officer or non-employee director.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 Of 2016 Say-On-Pay Vote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2016 annual meeting of shareholders, over 86% of the votes cast on the advisory vote on the compensation of our named executive officers were in favor of the Company’s executive compensation disclosed in the proxy statement. The Compensation Committee considered the vote, and even though the results convey strong shareholder support for the Company’s executive compensation programs and the Compensation Committee’s decisions, the Committee determined that it was in the best interest of the Company and its shareholders to continue to evaluate our executive compensation programs and, if appropriate, to strengthen certain aspects of these programs.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auto"/>
        </w:rPr>
        <w:t>Impact of Taxation and Accounting Considerations on Executive Compensation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Compensation Committee and the Board of Directors take into account tax and accounting consequences of the compensation program and weigh these factors when setting total compensation and determining the individual elements of any named executive officer’s compensation package.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stock and option awards to our named executive officers under our equity incentive plans provide that the officer is responsible for any withholding or payroll tax obligations incurred by the Company in connection with the award, and that the officer may satisfy any such obligations by, among other things, either the delivery to the Company of a cash payment equal to the obligations, or the assignment or transfer to the Company of shares having a value equal to the obligations, or such other method that shall be satisfactory to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certain information with respect to compensation paid or accrued by the Company during the fiscal years ended June 30, 2016, 2015, and 2014 to each of our named executive officers: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Fiscal</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Option</w:t>
            </w:r>
          </w:p>
        </w:tc>
        <w:tc>
          <w:tcPr>
            <w:tcW w:w="2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rPr>
              <w:t>Name and Principal Position</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Year</w:t>
            </w:r>
          </w:p>
        </w:tc>
        <w:tc>
          <w:tcPr>
            <w:tcW w:w="18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Salary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Bonus (1)</w:t>
            </w:r>
          </w:p>
        </w:tc>
        <w:tc>
          <w:tcPr>
            <w:tcW w:w="1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Awards (2)</w:t>
            </w: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Awards (3)</w:t>
            </w:r>
          </w:p>
        </w:tc>
        <w:tc>
          <w:tcPr>
            <w:tcW w:w="1400" w:type="dxa"/>
            <w:vAlign w:val="bottom"/>
            <w:gridSpan w:val="3"/>
          </w:tcPr>
          <w:p>
            <w:pPr>
              <w:spacing w:after="0"/>
              <w:rPr>
                <w:sz w:val="20"/>
                <w:szCs w:val="20"/>
                <w:color w:val="auto"/>
              </w:rPr>
            </w:pPr>
            <w:r>
              <w:rPr>
                <w:rFonts w:ascii="Arial" w:cs="Arial" w:eastAsia="Arial" w:hAnsi="Arial"/>
                <w:sz w:val="18"/>
                <w:szCs w:val="18"/>
                <w:color w:val="auto"/>
                <w:w w:val="96"/>
              </w:rPr>
              <w:t>Compensation (4)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358,194</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134,227</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360,000</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48,225</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10,600</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911,246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2"/>
              </w:rPr>
              <w:t>Chief Executive Officer, President</w:t>
            </w: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341,227</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101,732</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341,227</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261,055</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10,400</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1,055,641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&amp; Chairman of the Board</w:t>
            </w: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341,227</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29,673</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341,227</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10,000</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722,127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F0FFFF"/>
          </w:tcPr>
          <w:p>
            <w:pPr>
              <w:spacing w:after="0"/>
              <w:rPr>
                <w:sz w:val="20"/>
                <w:szCs w:val="20"/>
                <w:color w:val="auto"/>
              </w:rPr>
            </w:pPr>
            <w:r>
              <w:rPr>
                <w:rFonts w:ascii="Arial" w:cs="Arial" w:eastAsia="Arial" w:hAnsi="Arial"/>
                <w:sz w:val="18"/>
                <w:szCs w:val="18"/>
                <w:color w:val="auto"/>
              </w:rPr>
              <w:t>Leland P. Maxwell</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92,000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42,331</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134,331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Interim Chief Financial Officer</w:t>
            </w: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96,680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227,425</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226,694</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550,799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F0FFFF"/>
          </w:tcPr>
          <w:p>
            <w:pPr>
              <w:ind w:left="160"/>
              <w:spacing w:after="0" w:line="201" w:lineRule="exact"/>
              <w:rPr>
                <w:sz w:val="20"/>
                <w:szCs w:val="20"/>
                <w:color w:val="auto"/>
              </w:rPr>
            </w:pPr>
            <w:r>
              <w:rPr>
                <w:rFonts w:ascii="Arial" w:cs="Arial" w:eastAsia="Arial" w:hAnsi="Arial"/>
                <w:sz w:val="18"/>
                <w:szCs w:val="18"/>
                <w:color w:val="auto"/>
              </w:rPr>
              <w:t>Former Chief Financial Officer</w:t>
            </w:r>
          </w:p>
        </w:tc>
        <w:tc>
          <w:tcPr>
            <w:tcW w:w="1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and</w:t>
            </w:r>
          </w:p>
        </w:tc>
        <w:tc>
          <w:tcPr>
            <w:tcW w:w="120" w:type="dxa"/>
            <w:vAlign w:val="bottom"/>
            <w:shd w:val="clear" w:color="auto" w:fill="F0FFFF"/>
          </w:tcPr>
          <w:p>
            <w:pPr>
              <w:spacing w:after="0"/>
              <w:rPr>
                <w:sz w:val="20"/>
                <w:szCs w:val="20"/>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F0FFFF"/>
          </w:tcPr>
          <w:p>
            <w:pPr>
              <w:spacing w:after="0"/>
              <w:rPr>
                <w:sz w:val="20"/>
                <w:szCs w:val="20"/>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239,537</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31,242</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178,406</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156,633</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2,562</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608,380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Chief Services Officer</w:t>
            </w: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237,875</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17,238</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213,709</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468,822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F0FFFF"/>
          </w:tcPr>
          <w:p>
            <w:pPr>
              <w:spacing w:after="0"/>
              <w:rPr>
                <w:sz w:val="20"/>
                <w:szCs w:val="20"/>
                <w:color w:val="auto"/>
              </w:rPr>
            </w:pPr>
            <w:r>
              <w:rPr>
                <w:rFonts w:ascii="Arial" w:cs="Arial" w:eastAsia="Arial" w:hAnsi="Arial"/>
                <w:sz w:val="18"/>
                <w:szCs w:val="18"/>
                <w:color w:val="auto"/>
              </w:rPr>
              <w:t>J. Duncan Smith</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129,103</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198,750</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162,900</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490,753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Former Chief Financial Officer</w:t>
            </w: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F0FFFF"/>
          </w:tcPr>
          <w:p>
            <w:pPr>
              <w:spacing w:after="0"/>
              <w:rPr>
                <w:sz w:val="20"/>
                <w:szCs w:val="20"/>
                <w:color w:val="auto"/>
              </w:rPr>
            </w:pPr>
            <w:r>
              <w:rPr>
                <w:rFonts w:ascii="Arial" w:cs="Arial" w:eastAsia="Arial" w:hAnsi="Arial"/>
                <w:sz w:val="18"/>
                <w:szCs w:val="18"/>
                <w:color w:val="auto"/>
              </w:rPr>
              <w:t>Michael Lawlor</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203,246</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68,977</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88,125</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107,250</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9,990</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477,588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Chief Services Officer</w:t>
            </w: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179,800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44,186</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50,283</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7,830</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179,800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15,953</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8,670</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204,423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F0FFFF"/>
          </w:tcPr>
          <w:p>
            <w:pPr>
              <w:spacing w:after="0"/>
              <w:rPr>
                <w:sz w:val="20"/>
                <w:szCs w:val="20"/>
                <w:color w:val="auto"/>
              </w:rPr>
            </w:pPr>
            <w:r>
              <w:rPr>
                <w:rFonts w:ascii="Arial" w:cs="Arial" w:eastAsia="Arial" w:hAnsi="Arial"/>
                <w:sz w:val="18"/>
                <w:szCs w:val="18"/>
                <w:color w:val="auto"/>
              </w:rPr>
              <w:t>Maeve Duska</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181,738</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88,137</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269,875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Sr. VP of Sales and Marketing</w:t>
            </w: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179,800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36,512</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28,773</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155,708</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9,572</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165,280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F0FFFF"/>
          </w:tcPr>
          <w:p>
            <w:pPr>
              <w:spacing w:after="0"/>
              <w:rPr>
                <w:sz w:val="20"/>
                <w:szCs w:val="20"/>
                <w:color w:val="auto"/>
              </w:rPr>
            </w:pPr>
            <w:r>
              <w:rPr>
                <w:rFonts w:ascii="Arial" w:cs="Arial" w:eastAsia="Arial" w:hAnsi="Arial"/>
                <w:sz w:val="18"/>
                <w:szCs w:val="18"/>
                <w:color w:val="auto"/>
              </w:rPr>
              <w:t>George Harrum</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180,508</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50,786</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7,899</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239,193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Sr. VP of Operations</w:t>
            </w: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179,800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17,674</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28,555</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7,362</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179,800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4,254</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8,761</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192,815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1" w:name="page92"/>
    <w:bookmarkEnd w:id="91"/>
    <w:p>
      <w:pPr>
        <w:jc w:val="both"/>
        <w:ind w:left="660" w:hanging="328"/>
        <w:spacing w:after="0" w:line="257" w:lineRule="auto"/>
        <w:tabs>
          <w:tab w:leader="none" w:pos="7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cash bonuses earned upon such person’s performance during the fiscal year or upon the attainment by the Company of certain target goals. For fiscal year 2016, represents Mr. Herbert’s award under the 2016 STI Plan, Mr. Maxwell’s award under the fiscal year 2016 management incentive plan (the “2016 MIP”) and an incentive bonus of $11,429; Ms. Duska’s award under the 2016 MIP, Mr. Harrum’s award under the 2016 MIP, and Mr. Lawlor’s award under each of the 2016 MIP and the 2016 STI Plan. Neither Mr. DeMedio nor Mr. Smith received a cash bonus under the 2016 LTI Stock Plan.</w:t>
      </w:r>
    </w:p>
    <w:p>
      <w:pPr>
        <w:spacing w:after="0" w:line="188" w:lineRule="exact"/>
        <w:rPr>
          <w:rFonts w:ascii="Arial" w:cs="Arial" w:eastAsia="Arial" w:hAnsi="Arial"/>
          <w:sz w:val="18"/>
          <w:szCs w:val="18"/>
          <w:color w:val="auto"/>
        </w:rPr>
      </w:pPr>
    </w:p>
    <w:p>
      <w:pPr>
        <w:jc w:val="both"/>
        <w:ind w:left="660" w:hanging="328"/>
        <w:spacing w:after="0" w:line="269" w:lineRule="auto"/>
        <w:tabs>
          <w:tab w:leader="none" w:pos="71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accordance with FASB ASC Topic 718, the price of our common stock on the grant date equals the grant date fair value of these stock awards. For fiscal year 2016, represents (i) 106,509 shares with a value of $360,000 that would have been earned by Mr. Herbert under the 2016 LTI Stock Plan if all of the target goals had been achieved, (ii) 59,763 shares with a value of $202,500 that would have been earned by Mr. DeMedio under the 2016 LTI Stock Plan if all of the target goals had been achieved, (iii) 22,890 shares with a value of $88,125 that would have been earned by Mr. Lawlor under the 2016 LTI Stock Plan if all of the target goals had been achieved, and (iv) 59,864 shares with a value of $198,750 that would have been earned by Mr. Smith under the 2016 LTI Plan if all the target goals had been achieved, and (v) 7,396 shares awarded to Mr. DeMedio as bonus on July 24, 2015, with a grant date value $25,000. Based on the actual financial results for the fiscal year, Mr. Herbert was awarded shares with a value of $270,000 and Mr. Lawlor was awarded shares with a value of $66,094. Messrs. DeMedio and Smith did not receive any awards under the 2016 LTI Plan. If all of the maximum target levels had been achieved under the 2016 Plan, Mr. Herbert would have earned shares with a value of $540,000, Mr. Lawlor would have earned shares with a value of $132,188, Mr. DeMedio would have earned shares with a value of $303,750, and Mr. Smith would have earned shares with a value of $298,125. The shares earned under the 2016 LTI Stock Plan vest as follows: one-third on the date of issuance; one-third on June 1, 2017; and one-third on June 1, 2018.</w:t>
      </w:r>
    </w:p>
    <w:p>
      <w:pPr>
        <w:spacing w:after="0" w:line="179" w:lineRule="exact"/>
        <w:rPr>
          <w:rFonts w:ascii="Arial" w:cs="Arial" w:eastAsia="Arial" w:hAnsi="Arial"/>
          <w:sz w:val="17"/>
          <w:szCs w:val="17"/>
          <w:color w:val="auto"/>
        </w:rPr>
      </w:pPr>
    </w:p>
    <w:p>
      <w:pPr>
        <w:jc w:val="both"/>
        <w:ind w:left="660" w:hanging="328"/>
        <w:spacing w:after="0" w:line="257" w:lineRule="auto"/>
        <w:tabs>
          <w:tab w:leader="none" w:pos="7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accordance with FASB ASC Topic 718, the Black-Scholes value on the grant date equals the grant date fair value of these option awards. For fiscal year 2016, represents (i) 29,585 incentive stock options awarded to Mr. Herbert on July 24, 2015, which vested on August 1, 2016, (ii) 90,000 non-qualified stock options, awarded to Mr. Smith on July 24, 2015 which were forfeited upon Mr. Smith’s resignation from the Company in January 2016; and (iii) 75,000 incentive stock options, awarded to Mr. Lawlor on January 12, 2016 and which vest one-third on January 12, 2017; one-third on January 12, 2018; and one-third on January 12, 2019.</w:t>
      </w:r>
    </w:p>
    <w:p>
      <w:pPr>
        <w:spacing w:after="0" w:line="188" w:lineRule="exact"/>
        <w:rPr>
          <w:rFonts w:ascii="Arial" w:cs="Arial" w:eastAsia="Arial" w:hAnsi="Arial"/>
          <w:sz w:val="18"/>
          <w:szCs w:val="18"/>
          <w:color w:val="auto"/>
        </w:rPr>
      </w:pPr>
    </w:p>
    <w:p>
      <w:pPr>
        <w:jc w:val="both"/>
        <w:ind w:left="660" w:hanging="328"/>
        <w:spacing w:after="0" w:line="264" w:lineRule="auto"/>
        <w:tabs>
          <w:tab w:leader="none" w:pos="6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2016 fiscal year, represents matching 401(k) plan contributions for Messrs. Herbert, Harrum and Lawlor. For Mr. DeMedio, represents a $3,175 matching 401(k) plan contribution, as well as the following amounts paid under his separation agreement: $199,904 of consulting fees; $15,577 in unused time off; and $8,038 in health insurance benefits.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amounts of awards granted to our named executive officers during the fiscal year ended June 30, 2016:</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color w:val="auto"/>
              </w:rPr>
              <w:t>All Other</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Stock Awards:</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8"/>
              </w:rPr>
              <w:t>All Other Option</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7"/>
              </w:rPr>
              <w:t>Number of</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Awards: Number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w w:val="99"/>
              </w:rPr>
              <w:t>Grant 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Shares of</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of Securities</w:t>
            </w: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Exercise or Base</w:t>
            </w: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5"/>
              </w:rPr>
              <w:t>Value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gridSpan w:val="8"/>
          </w:tcPr>
          <w:p>
            <w:pPr>
              <w:jc w:val="center"/>
              <w:ind w:right="160"/>
              <w:spacing w:after="0" w:line="149" w:lineRule="exact"/>
              <w:rPr>
                <w:sz w:val="20"/>
                <w:szCs w:val="20"/>
                <w:color w:val="auto"/>
              </w:rPr>
            </w:pPr>
            <w:r>
              <w:rPr>
                <w:rFonts w:ascii="Arial" w:cs="Arial" w:eastAsia="Arial" w:hAnsi="Arial"/>
                <w:sz w:val="14"/>
                <w:szCs w:val="14"/>
                <w:color w:val="auto"/>
                <w:w w:val="93"/>
              </w:rPr>
              <w:t>Estimated Future Payouts Under Non-</w:t>
            </w:r>
          </w:p>
        </w:tc>
        <w:tc>
          <w:tcPr>
            <w:tcW w:w="2800" w:type="dxa"/>
            <w:vAlign w:val="bottom"/>
            <w:gridSpan w:val="6"/>
          </w:tcPr>
          <w:p>
            <w:pPr>
              <w:ind w:left="380"/>
              <w:spacing w:after="0" w:line="149" w:lineRule="exact"/>
              <w:rPr>
                <w:sz w:val="20"/>
                <w:szCs w:val="20"/>
                <w:color w:val="auto"/>
              </w:rPr>
            </w:pPr>
            <w:r>
              <w:rPr>
                <w:rFonts w:ascii="Arial" w:cs="Arial" w:eastAsia="Arial" w:hAnsi="Arial"/>
                <w:sz w:val="14"/>
                <w:szCs w:val="14"/>
                <w:color w:val="auto"/>
              </w:rPr>
              <w:t>Estimated Future Payouts Under</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Stock or Units</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8"/>
              </w:rPr>
              <w:t>Underlying</w:t>
            </w: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4"/>
              </w:rPr>
              <w:t>Price of Option</w:t>
            </w: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and Option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color w:val="auto"/>
                <w:w w:val="94"/>
              </w:rPr>
              <w:t>Equity Incentive Plan Awards (1)</w:t>
            </w:r>
          </w:p>
        </w:tc>
        <w:tc>
          <w:tcPr>
            <w:tcW w:w="160" w:type="dxa"/>
            <w:vAlign w:val="bottom"/>
          </w:tcPr>
          <w:p>
            <w:pPr>
              <w:spacing w:after="0"/>
              <w:rPr>
                <w:sz w:val="15"/>
                <w:szCs w:val="15"/>
                <w:color w:val="auto"/>
              </w:rPr>
            </w:pPr>
          </w:p>
        </w:tc>
        <w:tc>
          <w:tcPr>
            <w:tcW w:w="264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color w:val="auto"/>
              </w:rPr>
              <w:t>Equity Incentive Plan Awards (2)</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Options (4)</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4"/>
              </w:rPr>
              <w:t>Awards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4"/>
              </w:rPr>
              <w:t>Awards (5)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color w:val="auto"/>
              </w:rPr>
              <w:t>Name</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Grant Date</w:t>
            </w: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 xml:space="preserve">Threshold </w:t>
            </w:r>
            <w:r>
              <w:rPr>
                <w:rFonts w:ascii="Arial" w:cs="Arial" w:eastAsia="Arial" w:hAnsi="Arial"/>
                <w:sz w:val="14"/>
                <w:szCs w:val="14"/>
                <w:u w:val="single" w:color="auto"/>
                <w:color w:val="auto"/>
              </w:rPr>
              <w:t>($</w:t>
            </w:r>
            <w:r>
              <w:rPr>
                <w:rFonts w:ascii="Arial" w:cs="Arial" w:eastAsia="Arial" w:hAnsi="Arial"/>
                <w:sz w:val="14"/>
                <w:szCs w:val="14"/>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w w:val="94"/>
              </w:rPr>
              <w:t xml:space="preserve">Target </w:t>
            </w:r>
            <w:r>
              <w:rPr>
                <w:rFonts w:ascii="Arial" w:cs="Arial" w:eastAsia="Arial" w:hAnsi="Arial"/>
                <w:sz w:val="14"/>
                <w:szCs w:val="14"/>
                <w:u w:val="single" w:color="auto"/>
                <w:color w:val="auto"/>
                <w:w w:val="94"/>
              </w:rPr>
              <w:t>($</w:t>
            </w:r>
            <w:r>
              <w:rPr>
                <w:rFonts w:ascii="Arial" w:cs="Arial" w:eastAsia="Arial" w:hAnsi="Arial"/>
                <w:sz w:val="14"/>
                <w:szCs w:val="14"/>
                <w:color w:val="auto"/>
                <w:w w:val="94"/>
              </w:rPr>
              <w:t>)</w:t>
            </w:r>
          </w:p>
        </w:tc>
        <w:tc>
          <w:tcPr>
            <w:tcW w:w="960" w:type="dxa"/>
            <w:vAlign w:val="bottom"/>
            <w:gridSpan w:val="3"/>
          </w:tcPr>
          <w:p>
            <w:pPr>
              <w:spacing w:after="0"/>
              <w:rPr>
                <w:sz w:val="20"/>
                <w:szCs w:val="20"/>
                <w:color w:val="auto"/>
              </w:rPr>
            </w:pPr>
            <w:r>
              <w:rPr>
                <w:rFonts w:ascii="Arial" w:cs="Arial" w:eastAsia="Arial" w:hAnsi="Arial"/>
                <w:sz w:val="14"/>
                <w:szCs w:val="14"/>
                <w:color w:val="auto"/>
              </w:rPr>
              <w:t xml:space="preserve">Maximum </w:t>
            </w:r>
            <w:r>
              <w:rPr>
                <w:rFonts w:ascii="Arial" w:cs="Arial" w:eastAsia="Arial" w:hAnsi="Arial"/>
                <w:sz w:val="14"/>
                <w:szCs w:val="14"/>
                <w:u w:val="single" w:color="auto"/>
                <w:color w:val="auto"/>
              </w:rPr>
              <w:t>($</w:t>
            </w: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Threshold (#)</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Target (#)</w:t>
            </w: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Maximum (#)</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Units (#)</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Units (#)</w:t>
            </w:r>
          </w:p>
        </w:tc>
        <w:tc>
          <w:tcPr>
            <w:tcW w:w="16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$/Sh</w:t>
            </w:r>
          </w:p>
        </w:tc>
        <w:tc>
          <w:tcPr>
            <w:tcW w:w="100" w:type="dxa"/>
            <w:vAlign w:val="bottom"/>
          </w:tcPr>
          <w:p>
            <w:pPr>
              <w:spacing w:after="0"/>
              <w:rPr>
                <w:sz w:val="24"/>
                <w:szCs w:val="2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Awards ($)</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7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Stephen P.</w:t>
            </w:r>
          </w:p>
        </w:tc>
        <w:tc>
          <w:tcPr>
            <w:tcW w:w="7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9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Herbert</w:t>
            </w:r>
          </w:p>
        </w:tc>
        <w:tc>
          <w:tcPr>
            <w:tcW w:w="7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jc w:val="right"/>
              <w:ind w:right="6"/>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w w:val="94"/>
              </w:rPr>
              <w:t>180,000</w:t>
            </w:r>
          </w:p>
        </w:tc>
        <w:tc>
          <w:tcPr>
            <w:tcW w:w="20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270,000</w:t>
            </w: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7/24/2015</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106,509</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159,763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7/24/2015</w:t>
            </w:r>
          </w:p>
        </w:tc>
        <w:tc>
          <w:tcPr>
            <w:tcW w:w="10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114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29,585</w:t>
            </w:r>
          </w:p>
        </w:tc>
        <w:tc>
          <w:tcPr>
            <w:tcW w:w="1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3.38</w:t>
            </w:r>
          </w:p>
        </w:tc>
        <w:tc>
          <w:tcPr>
            <w:tcW w:w="1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48,225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4"/>
                <w:szCs w:val="14"/>
                <w:color w:val="auto"/>
              </w:rPr>
              <w:t>David M.</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00" w:type="dxa"/>
            <w:vAlign w:val="bottom"/>
            <w:gridSpan w:val="3"/>
          </w:tcPr>
          <w:p>
            <w:pPr>
              <w:spacing w:after="0"/>
              <w:rPr>
                <w:sz w:val="20"/>
                <w:szCs w:val="20"/>
                <w:color w:val="auto"/>
              </w:rPr>
            </w:pPr>
            <w:r>
              <w:rPr>
                <w:rFonts w:ascii="Arial" w:cs="Arial" w:eastAsia="Arial" w:hAnsi="Arial"/>
                <w:sz w:val="14"/>
                <w:szCs w:val="14"/>
                <w:color w:val="auto"/>
              </w:rPr>
              <w:t>DeMedio</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81,000</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121,500</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7/24/2015</w:t>
            </w:r>
          </w:p>
        </w:tc>
        <w:tc>
          <w:tcPr>
            <w:tcW w:w="10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59,763</w:t>
            </w:r>
          </w:p>
        </w:tc>
        <w:tc>
          <w:tcPr>
            <w:tcW w:w="98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89,645</w:t>
            </w:r>
          </w:p>
        </w:tc>
        <w:tc>
          <w:tcPr>
            <w:tcW w:w="8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114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202,500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8/1/2015</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7,396</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Maeve</w:t>
            </w:r>
          </w:p>
        </w:tc>
        <w:tc>
          <w:tcPr>
            <w:tcW w:w="7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9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Duska</w:t>
            </w:r>
          </w:p>
        </w:tc>
        <w:tc>
          <w:tcPr>
            <w:tcW w:w="7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jc w:val="right"/>
              <w:ind w:right="6"/>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w w:val="94"/>
              </w:rPr>
              <w:t>164,000</w:t>
            </w:r>
          </w:p>
        </w:tc>
        <w:tc>
          <w:tcPr>
            <w:tcW w:w="20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205,000</w:t>
            </w: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4"/>
                <w:szCs w:val="14"/>
                <w:color w:val="auto"/>
              </w:rPr>
              <w:t>Michael</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00" w:type="dxa"/>
            <w:vAlign w:val="bottom"/>
            <w:gridSpan w:val="3"/>
          </w:tcPr>
          <w:p>
            <w:pPr>
              <w:spacing w:after="0"/>
              <w:rPr>
                <w:sz w:val="20"/>
                <w:szCs w:val="20"/>
                <w:color w:val="auto"/>
              </w:rPr>
            </w:pPr>
            <w:r>
              <w:rPr>
                <w:rFonts w:ascii="Arial" w:cs="Arial" w:eastAsia="Arial" w:hAnsi="Arial"/>
                <w:sz w:val="14"/>
                <w:szCs w:val="14"/>
                <w:color w:val="auto"/>
              </w:rPr>
              <w:t>Lawlor</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1/12/2016</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75,000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107,250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jc w:val="right"/>
              <w:ind w:right="6"/>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23,500</w:t>
            </w:r>
          </w:p>
        </w:tc>
        <w:tc>
          <w:tcPr>
            <w:tcW w:w="2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35,250</w:t>
            </w:r>
          </w:p>
        </w:tc>
        <w:tc>
          <w:tcPr>
            <w:tcW w:w="104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114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3/8/2016</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22,890</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34,335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jc w:val="right"/>
              <w:ind w:right="6"/>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w w:val="94"/>
              </w:rPr>
              <w:t>102,500</w:t>
            </w:r>
          </w:p>
        </w:tc>
        <w:tc>
          <w:tcPr>
            <w:tcW w:w="2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128,125</w:t>
            </w:r>
          </w:p>
        </w:tc>
        <w:tc>
          <w:tcPr>
            <w:tcW w:w="8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9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4"/>
                <w:szCs w:val="14"/>
                <w:color w:val="auto"/>
              </w:rPr>
              <w:t>Leland P.</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00" w:type="dxa"/>
            <w:vAlign w:val="bottom"/>
            <w:gridSpan w:val="3"/>
          </w:tcPr>
          <w:p>
            <w:pPr>
              <w:spacing w:after="0"/>
              <w:rPr>
                <w:sz w:val="20"/>
                <w:szCs w:val="20"/>
                <w:color w:val="auto"/>
              </w:rPr>
            </w:pPr>
            <w:r>
              <w:rPr>
                <w:rFonts w:ascii="Arial" w:cs="Arial" w:eastAsia="Arial" w:hAnsi="Arial"/>
                <w:sz w:val="14"/>
                <w:szCs w:val="14"/>
                <w:color w:val="auto"/>
              </w:rPr>
              <w:t>Maxwell</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57,500</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71,875</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J. Duncan</w:t>
            </w:r>
          </w:p>
        </w:tc>
        <w:tc>
          <w:tcPr>
            <w:tcW w:w="7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9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Smith</w:t>
            </w:r>
          </w:p>
        </w:tc>
        <w:tc>
          <w:tcPr>
            <w:tcW w:w="7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jc w:val="right"/>
              <w:ind w:right="6"/>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66,250</w:t>
            </w:r>
          </w:p>
        </w:tc>
        <w:tc>
          <w:tcPr>
            <w:tcW w:w="20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99,375</w:t>
            </w: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7/24/2015</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59,864</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89,797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198,750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7/24/2015</w:t>
            </w:r>
          </w:p>
        </w:tc>
        <w:tc>
          <w:tcPr>
            <w:tcW w:w="102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8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114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90,000</w:t>
            </w:r>
          </w:p>
        </w:tc>
        <w:tc>
          <w:tcPr>
            <w:tcW w:w="1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3.38</w:t>
            </w:r>
          </w:p>
        </w:tc>
        <w:tc>
          <w:tcPr>
            <w:tcW w:w="1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162,900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4"/>
                <w:szCs w:val="14"/>
                <w:color w:val="auto"/>
              </w:rPr>
              <w:t>George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800" w:type="dxa"/>
            <w:vAlign w:val="bottom"/>
            <w:gridSpan w:val="3"/>
          </w:tcPr>
          <w:p>
            <w:pPr>
              <w:spacing w:after="0"/>
              <w:rPr>
                <w:sz w:val="20"/>
                <w:szCs w:val="20"/>
                <w:color w:val="auto"/>
              </w:rPr>
            </w:pPr>
            <w:r>
              <w:rPr>
                <w:rFonts w:ascii="Arial" w:cs="Arial" w:eastAsia="Arial" w:hAnsi="Arial"/>
                <w:sz w:val="14"/>
                <w:szCs w:val="14"/>
                <w:color w:val="auto"/>
              </w:rPr>
              <w:t>Harrum</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94,500</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118,125</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target and maximum awards for Messrs. Herbert, DeMedio, Lawlor, and Smith under the 2016 STI Plan. Mr. Herbert was awarded $134,227 and Mr. Lawlor was awarded $16,349 under the 2016 STI Plan. Neither Mr. DeMedio nor Mr. Smith received an award under the 2016 STI Plan.</w:t>
      </w:r>
    </w:p>
    <w:p>
      <w:pPr>
        <w:spacing w:after="0" w:line="181" w:lineRule="exact"/>
        <w:rPr>
          <w:rFonts w:ascii="Arial" w:cs="Arial" w:eastAsia="Arial" w:hAnsi="Arial"/>
          <w:sz w:val="18"/>
          <w:szCs w:val="18"/>
          <w:color w:val="auto"/>
        </w:rPr>
      </w:pPr>
    </w:p>
    <w:p>
      <w:pPr>
        <w:ind w:left="660"/>
        <w:spacing w:after="0" w:line="342" w:lineRule="auto"/>
        <w:rPr>
          <w:rFonts w:ascii="Arial" w:cs="Arial" w:eastAsia="Arial" w:hAnsi="Arial"/>
          <w:sz w:val="18"/>
          <w:szCs w:val="18"/>
          <w:color w:val="auto"/>
        </w:rPr>
      </w:pPr>
      <w:r>
        <w:rPr>
          <w:rFonts w:ascii="Arial" w:cs="Arial" w:eastAsia="Arial" w:hAnsi="Arial"/>
          <w:sz w:val="16"/>
          <w:szCs w:val="16"/>
          <w:color w:val="auto"/>
        </w:rPr>
        <w:t>Represents target and maximum awards for Ms. Duska and Messrs. Maxwell, Lawlor and Harrum under the 2016 MIP. Mr. Maxwell was awarded $30,902, Mr. Lawlor was awarded $52,628, Ms. Duska was awarded $88,137, and Mr. Harrum was awarded $50,786, under the 2016 MIP.</w:t>
      </w:r>
    </w:p>
    <w:p>
      <w:pPr>
        <w:spacing w:after="0" w:line="123"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Mr. Lawlor’s employment agreement provides that during the 2016 fiscal year, Mr. Lawlor will participate in the 2016 MIP, the 2016 STI Plan and the 2016 LTI Stock Plan, provided that any award thereunder otherwise earned by Mr. Lawlor would be reduced by 50%.</w:t>
      </w:r>
    </w:p>
    <w:p>
      <w:pPr>
        <w:spacing w:after="0" w:line="170" w:lineRule="exact"/>
        <w:rPr>
          <w:rFonts w:ascii="Arial" w:cs="Arial" w:eastAsia="Arial" w:hAnsi="Arial"/>
          <w:sz w:val="18"/>
          <w:szCs w:val="18"/>
          <w:color w:val="auto"/>
        </w:rPr>
      </w:pPr>
    </w:p>
    <w:p>
      <w:pPr>
        <w:jc w:val="both"/>
        <w:ind w:left="660" w:hanging="328"/>
        <w:spacing w:after="0" w:line="255" w:lineRule="auto"/>
        <w:tabs>
          <w:tab w:leader="none" w:pos="6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number of shares under the target and maximum awards for Messrs. Herbert, DeMedio, Lawlor, and Smith under the 2016 LTI Stock Plan. The number of shares in the table above represents the total dollar value of the award divded by the grant date value of the shares. Based upon the financial results for the 2016 fiscal year, Mr. Herbert was awarded 63,232 shares under the plan, of which one-third will vest upon issuance, one-third on June 30, 2017, and one-third on June 30, 2018; and Mr. Lawlor was awarded 15,479 shares under the plan, of which one-third will vest upon issuance, one-third on June 30, 2017, and one-third on June 30, 2018. Neither Mr. DeMedio nor Mr. Smith received an award under the 2016 LTI Stock Plan.</w:t>
      </w:r>
    </w:p>
    <w:p>
      <w:pPr>
        <w:spacing w:after="0" w:line="193" w:lineRule="exact"/>
        <w:rPr>
          <w:rFonts w:ascii="Arial" w:cs="Arial" w:eastAsia="Arial" w:hAnsi="Arial"/>
          <w:sz w:val="18"/>
          <w:szCs w:val="18"/>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 stock award of 7,396 shares granted to Mr. DeMedio and which vested immediately.</w:t>
      </w:r>
    </w:p>
    <w:p>
      <w:pPr>
        <w:spacing w:after="0" w:line="225" w:lineRule="exact"/>
        <w:rPr>
          <w:rFonts w:ascii="Arial" w:cs="Arial" w:eastAsia="Arial" w:hAnsi="Arial"/>
          <w:sz w:val="18"/>
          <w:szCs w:val="18"/>
          <w:color w:val="auto"/>
        </w:rPr>
      </w:pPr>
    </w:p>
    <w:p>
      <w:pPr>
        <w:jc w:val="both"/>
        <w:ind w:left="660" w:hanging="328"/>
        <w:spacing w:after="0" w:line="257"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awards granted to Messrs. Herbert, Smith and Lawlor as follows: Mr. Herbert - 29,585 incentive stock options; Mr. Smith - 90,000 non-qualified stock options; and Mr. Lawlor 75,000 incentive stock options. The incentive stock options awarded to Mr. Herbert vested on August 1, 2016. The non-qualified stock options awarded to Mr. Smith were forfeited upon Mr. Smith’s resignation from employment in January 2016. The incentive stock options awarded to Mr. Lawlor vest as follows: one-third on January 12, 2017; one-third on January 12, 2018; and one-third on January 12, 2019.</w:t>
      </w:r>
    </w:p>
    <w:p>
      <w:pPr>
        <w:spacing w:after="0" w:line="188" w:lineRule="exact"/>
        <w:rPr>
          <w:rFonts w:ascii="Arial" w:cs="Arial" w:eastAsia="Arial" w:hAnsi="Arial"/>
          <w:sz w:val="18"/>
          <w:szCs w:val="18"/>
          <w:color w:val="auto"/>
        </w:rPr>
      </w:pPr>
    </w:p>
    <w:p>
      <w:pPr>
        <w:ind w:left="660" w:right="20" w:hanging="328"/>
        <w:spacing w:after="0" w:line="277" w:lineRule="auto"/>
        <w:tabs>
          <w:tab w:leader="none" w:pos="7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grant date fair value of the target award under the 2016 LTI Stock Plan or the option award, as the case may be, as determined in accordance with ASC 718.</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information regarding unexercised stock options and unvested equity awards granted to the named executive officers as of the fiscal year ended June 30, 2016:</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ind w:left="560"/>
              <w:spacing w:after="0"/>
              <w:rPr>
                <w:sz w:val="20"/>
                <w:szCs w:val="20"/>
                <w:color w:val="auto"/>
              </w:rPr>
            </w:pPr>
            <w:r>
              <w:rPr>
                <w:rFonts w:ascii="Arial" w:cs="Arial" w:eastAsia="Arial" w:hAnsi="Arial"/>
                <w:sz w:val="18"/>
                <w:szCs w:val="18"/>
                <w:color w:val="auto"/>
              </w:rPr>
              <w:t>Option Awards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6"/>
          </w:tcPr>
          <w:p>
            <w:pPr>
              <w:ind w:left="66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Number of</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4"/>
              </w:rPr>
              <w:t>Market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Shares or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Shares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Units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Units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Options(#)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Option</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Option</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Stock That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Stock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Options(#)</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Unexercisable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Expiration</w:t>
            </w: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Have Not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Have Not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Name</w:t>
            </w:r>
          </w:p>
        </w:tc>
        <w:tc>
          <w:tcPr>
            <w:tcW w:w="120" w:type="dxa"/>
            <w:vAlign w:val="bottom"/>
            <w:tcBorders>
              <w:bottom w:val="single" w:sz="8" w:color="F0FF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180" w:type="dxa"/>
            <w:vAlign w:val="bottom"/>
            <w:tcBorders>
              <w:bottom w:val="single" w:sz="8" w:color="F0FF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Price($)</w:t>
            </w:r>
          </w:p>
        </w:tc>
        <w:tc>
          <w:tcPr>
            <w:tcW w:w="180" w:type="dxa"/>
            <w:vAlign w:val="bottom"/>
            <w:tcBorders>
              <w:bottom w:val="single" w:sz="8" w:color="F0FF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80" w:type="dxa"/>
            <w:vAlign w:val="bottom"/>
            <w:tcBorders>
              <w:bottom w:val="single" w:sz="8" w:color="F0FF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Vested (#)</w:t>
            </w:r>
          </w:p>
        </w:tc>
        <w:tc>
          <w:tcPr>
            <w:tcW w:w="24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Vested($)</w:t>
            </w: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105,555</w:t>
            </w: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129,585</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9/1/2021</w:t>
            </w:r>
          </w:p>
        </w:tc>
        <w:tc>
          <w:tcPr>
            <w:tcW w:w="1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14,226(2)</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60,745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90,000</w:t>
            </w:r>
          </w:p>
        </w:tc>
        <w:tc>
          <w:tcPr>
            <w:tcW w:w="1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9/1/2021</w:t>
            </w: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J. Duncan Smith</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Maeve Duska</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8,333</w:t>
            </w:r>
          </w:p>
        </w:tc>
        <w:tc>
          <w:tcPr>
            <w:tcW w:w="1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16,667</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1/2/2022</w:t>
            </w: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Michael Lawlor</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8,333</w:t>
            </w:r>
          </w:p>
        </w:tc>
        <w:tc>
          <w:tcPr>
            <w:tcW w:w="1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16,667</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4/8/2022</w:t>
            </w: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1/12/2023</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Leland P. Maxwell</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George Harrum</w:t>
            </w:r>
          </w:p>
        </w:tc>
        <w:tc>
          <w:tcPr>
            <w:tcW w:w="1040" w:type="dxa"/>
            <w:vAlign w:val="bottom"/>
          </w:tcPr>
          <w:p>
            <w:pPr>
              <w:jc w:val="right"/>
              <w:spacing w:after="0"/>
              <w:rPr>
                <w:sz w:val="20"/>
                <w:szCs w:val="20"/>
                <w:color w:val="auto"/>
              </w:rPr>
            </w:pPr>
            <w:r>
              <w:rPr>
                <w:rFonts w:ascii="Arial" w:cs="Arial" w:eastAsia="Arial" w:hAnsi="Arial"/>
                <w:sz w:val="18"/>
                <w:szCs w:val="18"/>
                <w:color w:val="auto"/>
              </w:rPr>
              <w:t>8,334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16,666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1/2/2022</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Options vest as follows: Mr. Herbert –29,585 options on August 1, 2016, 50,000 on September 1, 2016 and 50,000 on September 1, 2017; Ms. Duska</w:t>
      </w:r>
    </w:p>
    <w:p>
      <w:pPr>
        <w:spacing w:after="0" w:line="46" w:lineRule="exact"/>
        <w:rPr>
          <w:rFonts w:ascii="Arial" w:cs="Arial" w:eastAsia="Arial" w:hAnsi="Arial"/>
          <w:sz w:val="16"/>
          <w:szCs w:val="16"/>
          <w:color w:val="auto"/>
        </w:rPr>
      </w:pPr>
    </w:p>
    <w:p>
      <w:pPr>
        <w:ind w:left="660"/>
        <w:spacing w:after="0" w:line="323" w:lineRule="auto"/>
        <w:rPr>
          <w:rFonts w:ascii="Arial" w:cs="Arial" w:eastAsia="Arial" w:hAnsi="Arial"/>
          <w:sz w:val="16"/>
          <w:szCs w:val="16"/>
          <w:color w:val="auto"/>
        </w:rPr>
      </w:pPr>
      <w:r>
        <w:rPr>
          <w:rFonts w:ascii="Arial" w:cs="Arial" w:eastAsia="Arial" w:hAnsi="Arial"/>
          <w:sz w:val="16"/>
          <w:szCs w:val="16"/>
          <w:color w:val="auto"/>
        </w:rPr>
        <w:t>– 8,333 on January 2, 2017 and 8,333 on January 2, 2018; Mr. Lawlor – 25,000 on January 12, 2017, 8,333 on April 8, 2017, 25,000 on January 12, 2018, 8,333 on April 8, 2018 and 25,000 on January 12, 2019; and Mr. Harrum – 8,333 on January 2, 2017, and 8,333 on January 2, 2018.</w:t>
      </w:r>
    </w:p>
    <w:p>
      <w:pPr>
        <w:spacing w:after="0" w:line="138" w:lineRule="exact"/>
        <w:rPr>
          <w:rFonts w:ascii="Arial" w:cs="Arial" w:eastAsia="Arial" w:hAnsi="Arial"/>
          <w:sz w:val="16"/>
          <w:szCs w:val="16"/>
          <w:color w:val="auto"/>
        </w:rPr>
      </w:pPr>
    </w:p>
    <w:p>
      <w:pPr>
        <w:ind w:left="660" w:hanging="652"/>
        <w:spacing w:after="0" w:line="277" w:lineRule="auto"/>
        <w:tabs>
          <w:tab w:leader="none" w:pos="6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shares awarded under the 2015 LTI Stock Plan. Shares vest on June 30, 2017. The closing market price on June 30, 2016, or $4.27 per share, was used in the calculation of market value.</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regarding options exercised and shares of common stock acquired upon vesting by our named executive officers during the fiscal year ended June 30, 2016:</w:t>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6"/>
          </w:tcPr>
          <w:p>
            <w:pPr>
              <w:ind w:left="400"/>
              <w:spacing w:after="0"/>
              <w:rPr>
                <w:sz w:val="20"/>
                <w:szCs w:val="20"/>
                <w:color w:val="auto"/>
              </w:rPr>
            </w:pPr>
            <w:r>
              <w:rPr>
                <w:rFonts w:ascii="Arial" w:cs="Arial" w:eastAsia="Arial" w:hAnsi="Arial"/>
                <w:sz w:val="18"/>
                <w:szCs w:val="18"/>
                <w:color w:val="auto"/>
              </w:rPr>
              <w:t>Option Awards</w:t>
            </w:r>
          </w:p>
        </w:tc>
        <w:tc>
          <w:tcPr>
            <w:tcW w:w="60" w:type="dxa"/>
            <w:vAlign w:val="bottom"/>
          </w:tcPr>
          <w:p>
            <w:pPr>
              <w:spacing w:after="0"/>
              <w:rPr>
                <w:sz w:val="20"/>
                <w:szCs w:val="20"/>
                <w:color w:val="auto"/>
              </w:rPr>
            </w:pPr>
          </w:p>
        </w:tc>
        <w:tc>
          <w:tcPr>
            <w:tcW w:w="1980" w:type="dxa"/>
            <w:vAlign w:val="bottom"/>
            <w:gridSpan w:val="6"/>
          </w:tcPr>
          <w:p>
            <w:pPr>
              <w:ind w:left="460"/>
              <w:spacing w:after="0"/>
              <w:rPr>
                <w:sz w:val="20"/>
                <w:szCs w:val="20"/>
                <w:color w:val="auto"/>
              </w:rPr>
            </w:pPr>
            <w:r>
              <w:rPr>
                <w:rFonts w:ascii="Arial" w:cs="Arial" w:eastAsia="Arial" w:hAnsi="Arial"/>
                <w:sz w:val="18"/>
                <w:szCs w:val="18"/>
                <w:color w:val="auto"/>
              </w:rPr>
              <w:t>Stock Awards</w:t>
            </w:r>
          </w:p>
        </w:tc>
      </w:tr>
      <w:tr>
        <w:trPr>
          <w:trHeight w:val="202"/>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top w:val="single" w:sz="8" w:color="auto"/>
            </w:tcBorders>
            <w:gridSpan w:val="2"/>
          </w:tcPr>
          <w:p>
            <w:pPr>
              <w:jc w:val="center"/>
              <w:ind w:right="80"/>
              <w:spacing w:after="0" w:line="201" w:lineRule="exact"/>
              <w:rPr>
                <w:sz w:val="20"/>
                <w:szCs w:val="20"/>
                <w:color w:val="auto"/>
              </w:rPr>
            </w:pPr>
            <w:r>
              <w:rPr>
                <w:rFonts w:ascii="Arial" w:cs="Arial" w:eastAsia="Arial" w:hAnsi="Arial"/>
                <w:sz w:val="18"/>
                <w:szCs w:val="18"/>
                <w:color w:val="auto"/>
                <w:w w:val="95"/>
              </w:rPr>
              <w:t>Number of</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top w:val="single" w:sz="8" w:color="auto"/>
            </w:tcBorders>
            <w:gridSpan w:val="2"/>
          </w:tcPr>
          <w:p>
            <w:pPr>
              <w:jc w:val="center"/>
              <w:ind w:right="60"/>
              <w:spacing w:after="0" w:line="201" w:lineRule="exact"/>
              <w:rPr>
                <w:sz w:val="20"/>
                <w:szCs w:val="20"/>
                <w:color w:val="auto"/>
              </w:rPr>
            </w:pPr>
            <w:r>
              <w:rPr>
                <w:rFonts w:ascii="Arial" w:cs="Arial" w:eastAsia="Arial" w:hAnsi="Arial"/>
                <w:sz w:val="18"/>
                <w:szCs w:val="18"/>
                <w:color w:val="auto"/>
                <w:w w:val="92"/>
              </w:rPr>
              <w:t>Number of</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Value</w:t>
            </w:r>
          </w:p>
        </w:tc>
        <w:tc>
          <w:tcPr>
            <w:tcW w:w="60" w:type="dxa"/>
            <w:vAlign w:val="bottom"/>
          </w:tcPr>
          <w:p>
            <w:pPr>
              <w:spacing w:after="0"/>
              <w:rPr>
                <w:sz w:val="18"/>
                <w:szCs w:val="18"/>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Value</w:t>
            </w:r>
          </w:p>
        </w:tc>
      </w:tr>
      <w:tr>
        <w:trPr>
          <w:trHeight w:val="230"/>
        </w:trPr>
        <w:tc>
          <w:tcPr>
            <w:tcW w:w="2740" w:type="dxa"/>
            <w:vAlign w:val="bottom"/>
          </w:tcPr>
          <w:p>
            <w:pPr>
              <w:spacing w:after="0"/>
              <w:rPr>
                <w:sz w:val="19"/>
                <w:szCs w:val="19"/>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1"/>
              </w:rPr>
              <w:t>Acquired on</w:t>
            </w:r>
          </w:p>
        </w:tc>
        <w:tc>
          <w:tcPr>
            <w:tcW w:w="60" w:type="dxa"/>
            <w:vAlign w:val="bottom"/>
          </w:tcPr>
          <w:p>
            <w:pPr>
              <w:spacing w:after="0"/>
              <w:rPr>
                <w:sz w:val="19"/>
                <w:szCs w:val="19"/>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color w:val="auto"/>
                <w:w w:val="96"/>
              </w:rPr>
              <w:t>Realized on</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3"/>
              </w:rPr>
              <w:t>Acquired on</w:t>
            </w:r>
          </w:p>
        </w:tc>
        <w:tc>
          <w:tcPr>
            <w:tcW w:w="80" w:type="dxa"/>
            <w:vAlign w:val="bottom"/>
          </w:tcPr>
          <w:p>
            <w:pPr>
              <w:spacing w:after="0"/>
              <w:rPr>
                <w:sz w:val="19"/>
                <w:szCs w:val="19"/>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Realized on</w:t>
            </w:r>
          </w:p>
        </w:tc>
      </w:tr>
      <w:tr>
        <w:trPr>
          <w:trHeight w:val="237"/>
        </w:trPr>
        <w:tc>
          <w:tcPr>
            <w:tcW w:w="2740" w:type="dxa"/>
            <w:vAlign w:val="bottom"/>
          </w:tcPr>
          <w:p>
            <w:pPr>
              <w:ind w:left="1160"/>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20"/>
                <w:szCs w:val="20"/>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Exercise (#)</w:t>
            </w:r>
          </w:p>
        </w:tc>
        <w:tc>
          <w:tcPr>
            <w:tcW w:w="6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w w:val="97"/>
              </w:rPr>
              <w:t xml:space="preserve">Exercise </w:t>
            </w:r>
            <w:r>
              <w:rPr>
                <w:rFonts w:ascii="Arial" w:cs="Arial" w:eastAsia="Arial" w:hAnsi="Arial"/>
                <w:sz w:val="18"/>
                <w:szCs w:val="18"/>
                <w:u w:val="single" w:color="auto"/>
                <w:color w:val="auto"/>
                <w:w w:val="97"/>
              </w:rPr>
              <w:t>($</w:t>
            </w:r>
            <w:r>
              <w:rPr>
                <w:rFonts w:ascii="Arial" w:cs="Arial" w:eastAsia="Arial" w:hAnsi="Arial"/>
                <w:sz w:val="18"/>
                <w:szCs w:val="18"/>
                <w:color w:val="auto"/>
                <w:w w:val="97"/>
              </w:rPr>
              <w:t>)</w:t>
            </w:r>
          </w:p>
        </w:tc>
        <w:tc>
          <w:tcPr>
            <w:tcW w:w="60" w:type="dxa"/>
            <w:vAlign w:val="bottom"/>
          </w:tcPr>
          <w:p>
            <w:pPr>
              <w:spacing w:after="0"/>
              <w:rPr>
                <w:sz w:val="20"/>
                <w:szCs w:val="20"/>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Vesting (#)</w:t>
            </w:r>
          </w:p>
        </w:tc>
        <w:tc>
          <w:tcPr>
            <w:tcW w:w="80" w:type="dxa"/>
            <w:vAlign w:val="bottom"/>
          </w:tcPr>
          <w:p>
            <w:pPr>
              <w:spacing w:after="0"/>
              <w:rPr>
                <w:sz w:val="20"/>
                <w:szCs w:val="20"/>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 xml:space="preserve">Vesting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w:t>
            </w:r>
          </w:p>
        </w:tc>
      </w:tr>
      <w:tr>
        <w:trPr>
          <w:trHeight w:val="216"/>
        </w:trPr>
        <w:tc>
          <w:tcPr>
            <w:tcW w:w="27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80" w:type="dxa"/>
            <w:vAlign w:val="bottom"/>
            <w:tcBorders>
              <w:top w:val="single" w:sz="8" w:color="F0FFFF"/>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26,442</w:t>
            </w:r>
          </w:p>
        </w:tc>
        <w:tc>
          <w:tcPr>
            <w:tcW w:w="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112,907</w:t>
            </w:r>
          </w:p>
        </w:tc>
        <w:tc>
          <w:tcPr>
            <w:tcW w:w="60" w:type="dxa"/>
            <w:vAlign w:val="bottom"/>
            <w:tcBorders>
              <w:top w:val="single" w:sz="8" w:color="F0FFFF"/>
            </w:tcBorders>
            <w:shd w:val="clear" w:color="auto" w:fill="F0FF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David M. DeMedio</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33,333</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37,333</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28,659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81,105</w:t>
            </w:r>
          </w:p>
        </w:tc>
      </w:tr>
      <w:tr>
        <w:trPr>
          <w:trHeight w:val="216"/>
        </w:trPr>
        <w:tc>
          <w:tcPr>
            <w:tcW w:w="2740" w:type="dxa"/>
            <w:vAlign w:val="bottom"/>
            <w:shd w:val="clear" w:color="auto" w:fill="F0FFFF"/>
          </w:tcPr>
          <w:p>
            <w:pPr>
              <w:spacing w:after="0"/>
              <w:rPr>
                <w:sz w:val="20"/>
                <w:szCs w:val="20"/>
                <w:color w:val="auto"/>
              </w:rPr>
            </w:pPr>
            <w:r>
              <w:rPr>
                <w:rFonts w:ascii="Arial" w:cs="Arial" w:eastAsia="Arial" w:hAnsi="Arial"/>
                <w:sz w:val="18"/>
                <w:szCs w:val="18"/>
                <w:color w:val="auto"/>
              </w:rPr>
              <w:t>Maeve Duska</w:t>
            </w:r>
          </w:p>
        </w:tc>
        <w:tc>
          <w:tcPr>
            <w:tcW w:w="104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Michael Lawlor</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740" w:type="dxa"/>
            <w:vAlign w:val="bottom"/>
            <w:shd w:val="clear" w:color="auto" w:fill="F0FFFF"/>
          </w:tcPr>
          <w:p>
            <w:pPr>
              <w:spacing w:after="0"/>
              <w:rPr>
                <w:sz w:val="20"/>
                <w:szCs w:val="20"/>
                <w:color w:val="auto"/>
              </w:rPr>
            </w:pPr>
            <w:r>
              <w:rPr>
                <w:rFonts w:ascii="Arial" w:cs="Arial" w:eastAsia="Arial" w:hAnsi="Arial"/>
                <w:sz w:val="18"/>
                <w:szCs w:val="18"/>
                <w:color w:val="auto"/>
              </w:rPr>
              <w:t>George Harrum</w:t>
            </w:r>
          </w:p>
        </w:tc>
        <w:tc>
          <w:tcPr>
            <w:tcW w:w="104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J. Duncan Smith</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740" w:type="dxa"/>
            <w:vAlign w:val="bottom"/>
            <w:shd w:val="clear" w:color="auto" w:fill="F0FFFF"/>
          </w:tcPr>
          <w:p>
            <w:pPr>
              <w:spacing w:after="0"/>
              <w:rPr>
                <w:sz w:val="20"/>
                <w:szCs w:val="20"/>
                <w:color w:val="auto"/>
              </w:rPr>
            </w:pPr>
            <w:r>
              <w:rPr>
                <w:rFonts w:ascii="Arial" w:cs="Arial" w:eastAsia="Arial" w:hAnsi="Arial"/>
                <w:sz w:val="18"/>
                <w:szCs w:val="18"/>
                <w:color w:val="auto"/>
              </w:rPr>
              <w:t>Leland P. Maxwell</w:t>
            </w:r>
          </w:p>
        </w:tc>
        <w:tc>
          <w:tcPr>
            <w:tcW w:w="104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Stephen P. Herbert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Herbert’s employment agreement provides that he has been appointed Chairman and is employed as the Chief Executive Officer. The agreement provided for an initial term continuing through January 1, 2013, which is automatically renewed for consecutive one year periods unless terminated by either Mr. Herbert or the Company upon at least 90 days’ notice prior to the end of the initial term or any one year extension thereof.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David M. DeMedio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Mr. DeMedio entered into a Separation Agreement pursuant to which, among other things, Mr. DeMedio resigned his employment with the Company effective October 14, 2015, and except for certain provisions relating to confidentiality and non-competition, his employment agreement with the Company was terminated. Prior thereto, Mr. DeMedio’s employment agreement provided that he was employed as the Chief Services Officer of the Company effective August 31, 2015, and as Chief Financial Officer prior thereto.</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Separation Agreement, the Company agreed to provide to Mr. DeMedio: (i) an amount of $270,000, payable in twenty-six equal consecutive payments to $10,384.62 on a bi-weekly basis; (ii) an amount of $67,500, payable in four equal quarterly payments of $16,875; (iii) a lump sum payment of the amount attributable to Mr. DeMedio unused paid time off; (iv) group medical and dental insurance coverage for one year to Mr. DeMedio and his eligible dependents at no cost to Mr. DeMedio other than the employee contribution; (v) 28,659 shares of common stock which were previously awarded to Mr. DeMedio, and which had not vested as of the date of his resignation; and (vi) 60,000 non-qualified stock options, exercisable at $1.80 per share, which were previously awarded to Mr. DeMedio, and which had not vested as of the date of his resignation.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Maeve Duska</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Ms. Duska is employed as Senior Vice President of Sales and Marketing. Ms. Duska is covered by all standard fringe and employee benefits made available to other employees of the Company, including medical and dental insurance, paid vacation and holidays, a 401(k) plan and a long-term disability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George Harrum</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Mr. Harrum’s employment agreement provides that he is employed as Senior Vice President of Operations. Mr. Harrum’s employment agreement with the Company provides for a term through June 30, 2017, and will automatically continue for consecutive one-year periods unless terminated by either party upon notice of at least 60 days prior to the end of the original term or any one year renewal period. The employment agreement provides that Mr. Harrum is eligible to earn an annual discretionary bonus under the management incentive plan in the maximum amount of 50% of his annual base salary based upon the Company’s and/or his performance. Mr. Harrum is also entitled to be covered by all standard fringe and employee benefits made available to other employees of the Company, including medical and dental insurance, paid vacation and holidays, a 401(k) plan and a long-term disability plan.</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auto"/>
        </w:rPr>
        <w:t>Michael Lawlor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Lawlor’s employment agreement provides that he is employed as Chief Services Officer effective March 8, 2016, and as Senior Vice President of Sales and Business Development prior thereto. Mr. Lawlor’s employment agreement with the Company provides for an initial term through June 30, 2017, and will automatically continue for consecutive one-year periods unless terminated by either party upon notice of at least 60 days prior to the end of the original term or any one year renewal period.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2016 fiscal year of the Company, Mr. Lawlor shall participate in the 2016 MIP as well as in the 2016 STI Plan and in the 2016 LTI Stock Plan. Notwithstanding the terms and conditions of any such plans, the amount of any award otherwise earned by Mr. Lawlor under the 2016 MIP, the 2016 STI Plan, or the 2016 LTI Stock Plan shall be reduced by an amount equal to fifty percent (50%) of the award otherwise earned by Mr. Lawlor under any such plans.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Lawlor is also entitled to be covered by all standard fringe and employee benefits made available to other employees of the Company, including medical and dental insurance, paid vacation and holidays, a 401(k) plan and a long-term disability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Leland P. Maxwell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27, 2016, the Company and Mr. Maxwell entered into a letter agreement pursuant to which he will serve as the Company’s interim Chief Financial Officer through September 30, 2016. Mr. Maxwell is eligible to participate in the 2016 MIP, and would receive a cash bonus equal to 50% of the compensation received by him from the Company during the fiscal year if the Company achieves certain annual financial goals during and for the entire fiscal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 Duncan Smith</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22, 2015, the Company and Mr. Smith entered into a letter agreement pursuant to which Mr. Smith was employed as the Company’s Chief Financial Officer commencing August 31, 2015. Effective January 22, 2016, Mr. Smith resigned from his employment with the Company. On account of such resignation, Mr. Smith forfeited non-qualified stock options to purchase up to 90,000 shares at an exercise price of $3.38 per share, which were awarded to him earlier but had not vested as of the date of his resignation.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employment agreement of Mr. Herbert includes, provisions for the payment to the executives upon termination of employment under certain conditions or if a successor to the Company’s business or assets does not agree to assume and perform his employment agreement as a condition to the consummation of a USA Transaction.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“USA Transaction” means: (i) the acquisition of fifty-one percent or more of the then outstanding voting securities entitled to vote generally in the election of directors of the Company by any person, entity or group, or (ii) the approval by the shareholders of the Company of a reorganization, merger, consolidation, liquidation, or dissolution of the Company, or the sale, transfer, lease or other disposition of all or substantially all of the assets of the Company, or (iii) a change in the composition of the Board of Directors of the Company over a period of twelve (12) months or less such that the continuing directors fail to constitute a majority of the Board.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Herbert’s employment agreement provides that if Mr. Herbert would terminate his employment with the Company for good reason, or if the Company would terminate his employment without cause, or if the Company would provide Mr. Herbert with a notice of non-renewal of his employment agreement, then the Company would pay to him a lump sum equal to two times his base salary on or before the termination of his employment and all restricted stock awards and stock options would become vested as of the date of termination.</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term “good reason,” as defined in the agreement, includes: (A) a material breach of the terms of the agreement by the Company; (B) the assignment by the Company to Mr. Herbert of duties in any way materially inconsistent with his authorities, duties, or responsibilities, or a material reduction or alteration in the nature or status of his authority, duties, or responsibilities as the Chief Executive Officer of the Company; (C) the Company reduces Mr. Herbert’s annual base salary; or (D) a material reduction by the Company in the kind or level of employee benefits to which Mr. Herbert is entitled immediately prior to such reduction with the result that his overall benefit package is significantly reduced unless such failure to continue a plan, policy, practice or arrangement pertains to all plan participants generally. As a condition to Mr. Herbert receiving any payments or benefits upon the termination of his employment for good reason, Mr. Herbert shall have executed and delivered (and not revoked) a release of any and all claims, suits, or causes of action against the Company and its affiliates in form reasonably acceptable to the Company.</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6" w:name="page97"/>
    <w:bookmarkEnd w:id="96"/>
    <w:p>
      <w:pPr>
        <w:jc w:val="both"/>
        <w:spacing w:after="0" w:line="302" w:lineRule="auto"/>
        <w:rPr>
          <w:sz w:val="20"/>
          <w:szCs w:val="20"/>
          <w:color w:val="auto"/>
        </w:rPr>
      </w:pPr>
      <w:r>
        <w:rPr>
          <w:rFonts w:ascii="Arial" w:cs="Arial" w:eastAsia="Arial" w:hAnsi="Arial"/>
          <w:sz w:val="16"/>
          <w:szCs w:val="16"/>
          <w:color w:val="auto"/>
        </w:rPr>
        <w:t>The agreement also provides that, as a condition of the consummation of a USA Transaction, the successor to the Company’s business or assets would agree to assume and perform Mr. Herbert’s employment agreement. If any such successor would not do so, Mr. Herbert’s employment would terminate on the date of consummation of the USA Transaction, and the Company would pay to Mr. Herbert a lump sum equal to two times his base salary on or before the termination of his employment and all restricted stock awards and stock options would become vested as of the date of termination.</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Mr. Herbert’s employment had been terminated as of June 30, 2016 (when the closing price per share was $4.27) (i) by him for good reason, or (ii) by the Company without cause, or (iii) if a successor to the Company’s business or assets had not agreed to assume and perform his employment agreement as a condition to the consummation of a USA Transaction, then Mr. Herbert would have been entitled to receive: (a) an aggregate cash payment of twice his annual base salary or $720 thousand; (b) an aggregate of 63,232 shares granted to him under the 2016 LTI Stock Plan, which would become automatically vested as of the date of termination, with a value of $270 thousand; (c) 14,226 shares previously granted to him under the 2015 LTI Stock Plan, which would automatically become vested as of the date of termination, with a value of $61 thousand; (d) options exercisable for 100,000 shares at $1.80 per share would automatically become vested as of the date of termination with a value of $124 thousand; and (e) options exercisable for 29,585 shares at $3.38 per share would automatically become vested as of the date of termination with a value of $26 thousand.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 Interlocks And Insider Participation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fiscal year 2016, Albin F. Moschner and Steven D. Barnhart served as members of the Compensation Committee of our Board of Directors. No member of the Compensation Committee was, during fiscal year 2016, an officer or employee of the Company or any of our subsidiaries, or was formerly an officer of the Company or any of our subsidiaries, or had any relationships requiring disclosure by us under Item 404 of Regulation S-K of the General Rules and Regulations of the Securities and Exchange Commission.</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last fiscal year, none of our executive officers served as: (i) a member of the compensation committee (or other committee of the board of directors performing equivalent functions or, in the absence of any such committee, the entire board of directors) of another entity, one of whose executive officers served on our Compensation Committee; (ii) a director of another entity, one of whose executive officers served on our Compensation Committee; or (iii) a member of the compensation committee (or other committee of the board of directors performing equivalent functions or, in the absence of any such committee, the entire board of directors) of another entity, one of whose executive officers served as a director on our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 Report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included in this Form 10-K with the Company's management. Based upon such review and the related discussions, the Compensation Committee has recommended to the Board of Directors that the Compensation Discussion and Analysis be included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Albin F. Moschner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D. Barnhart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Members of the Board of Directors who are not employees of the Company receive cash and equity compensation for serving on the Board of Directors, as determined from time to time by the Compensation Committee with subsequent approval thereof by the Board of Directors. Each member of the Board has the option, in his or her discretion, to receive cash or stock, or some combination thereof, in payment of the compensation due for his or her service on the Board.</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earned or paid in cash by the Company to non-employee Directors during the fiscal year ended June 30, 2016.</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w w:val="96"/>
              </w:rPr>
              <w:t>Fees Earned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or Paid in</w:t>
            </w:r>
          </w:p>
        </w:tc>
        <w:tc>
          <w:tcPr>
            <w:tcW w:w="20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Option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3160" w:type="dxa"/>
            <w:vAlign w:val="bottom"/>
          </w:tcPr>
          <w:p>
            <w:pPr>
              <w:ind w:left="1360"/>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5"/>
              </w:rPr>
              <w:t>Cash($</w:t>
            </w:r>
            <w:r>
              <w:rPr>
                <w:rFonts w:ascii="Arial" w:cs="Arial" w:eastAsia="Arial" w:hAnsi="Arial"/>
                <w:sz w:val="18"/>
                <w:szCs w:val="18"/>
                <w:color w:val="auto"/>
                <w:w w:val="95"/>
              </w:rPr>
              <w:t>)(1)</w:t>
            </w:r>
          </w:p>
        </w:tc>
        <w:tc>
          <w:tcPr>
            <w:tcW w:w="1140" w:type="dxa"/>
            <w:vAlign w:val="bottom"/>
            <w:gridSpan w:val="3"/>
          </w:tcPr>
          <w:p>
            <w:pPr>
              <w:spacing w:after="0"/>
              <w:rPr>
                <w:sz w:val="20"/>
                <w:szCs w:val="20"/>
                <w:color w:val="auto"/>
              </w:rPr>
            </w:pPr>
            <w:r>
              <w:rPr>
                <w:rFonts w:ascii="Arial" w:cs="Arial" w:eastAsia="Arial" w:hAnsi="Arial"/>
                <w:sz w:val="18"/>
                <w:szCs w:val="18"/>
                <w:color w:val="auto"/>
              </w:rPr>
              <w:t xml:space="preserve">Awards </w:t>
            </w:r>
            <w:r>
              <w:rPr>
                <w:rFonts w:ascii="Arial" w:cs="Arial" w:eastAsia="Arial" w:hAnsi="Arial"/>
                <w:sz w:val="18"/>
                <w:szCs w:val="18"/>
                <w:u w:val="single" w:color="auto"/>
                <w:color w:val="auto"/>
              </w:rPr>
              <w:t>($</w:t>
            </w:r>
            <w:r>
              <w:rPr>
                <w:rFonts w:ascii="Arial" w:cs="Arial" w:eastAsia="Arial" w:hAnsi="Arial"/>
                <w:sz w:val="18"/>
                <w:szCs w:val="18"/>
                <w:color w:val="auto"/>
              </w:rPr>
              <w:t>)(2)</w:t>
            </w:r>
          </w:p>
        </w:tc>
        <w:tc>
          <w:tcPr>
            <w:tcW w:w="98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 xml:space="preserve">Awards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Total($)</w:t>
            </w:r>
          </w:p>
        </w:tc>
      </w:tr>
      <w:tr>
        <w:trPr>
          <w:trHeight w:val="216"/>
        </w:trPr>
        <w:tc>
          <w:tcPr>
            <w:tcW w:w="31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Steven D. Barnhart</w:t>
            </w:r>
          </w:p>
        </w:tc>
        <w:tc>
          <w:tcPr>
            <w:tcW w:w="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72,500</w:t>
            </w:r>
          </w:p>
        </w:tc>
        <w:tc>
          <w:tcPr>
            <w:tcW w:w="1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112,500</w:t>
            </w:r>
          </w:p>
        </w:tc>
        <w:tc>
          <w:tcPr>
            <w:tcW w:w="60" w:type="dxa"/>
            <w:vAlign w:val="bottom"/>
            <w:tcBorders>
              <w:top w:val="single" w:sz="8" w:color="F0FFFF"/>
            </w:tcBorders>
            <w:shd w:val="clear" w:color="auto" w:fill="F0FF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Joel Brooks</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80,000</w:t>
            </w:r>
          </w:p>
        </w:tc>
      </w:tr>
      <w:tr>
        <w:trPr>
          <w:trHeight w:val="216"/>
        </w:trPr>
        <w:tc>
          <w:tcPr>
            <w:tcW w:w="3160" w:type="dxa"/>
            <w:vAlign w:val="bottom"/>
            <w:shd w:val="clear" w:color="auto" w:fill="F0FFFF"/>
          </w:tcPr>
          <w:p>
            <w:pPr>
              <w:spacing w:after="0"/>
              <w:rPr>
                <w:sz w:val="20"/>
                <w:szCs w:val="20"/>
                <w:color w:val="auto"/>
              </w:rPr>
            </w:pPr>
            <w:r>
              <w:rPr>
                <w:rFonts w:ascii="Arial" w:cs="Arial" w:eastAsia="Arial" w:hAnsi="Arial"/>
                <w:sz w:val="18"/>
                <w:szCs w:val="18"/>
                <w:color w:val="auto"/>
              </w:rPr>
              <w:t>Robert L. Metzger</w:t>
            </w:r>
          </w:p>
        </w:tc>
        <w:tc>
          <w:tcPr>
            <w:tcW w:w="16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6,704</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6,704</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Albin F. Moschner</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47,500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87,500</w:t>
            </w:r>
          </w:p>
        </w:tc>
      </w:tr>
      <w:tr>
        <w:trPr>
          <w:trHeight w:val="216"/>
        </w:trPr>
        <w:tc>
          <w:tcPr>
            <w:tcW w:w="3160" w:type="dxa"/>
            <w:vAlign w:val="bottom"/>
            <w:shd w:val="clear" w:color="auto" w:fill="F0FFFF"/>
          </w:tcPr>
          <w:p>
            <w:pPr>
              <w:spacing w:after="0"/>
              <w:rPr>
                <w:sz w:val="20"/>
                <w:szCs w:val="20"/>
                <w:color w:val="auto"/>
              </w:rPr>
            </w:pPr>
            <w:r>
              <w:rPr>
                <w:rFonts w:ascii="Arial" w:cs="Arial" w:eastAsia="Arial" w:hAnsi="Arial"/>
                <w:sz w:val="18"/>
                <w:szCs w:val="18"/>
                <w:color w:val="auto"/>
              </w:rPr>
              <w:t>William J. Reilly, Jr.</w:t>
            </w:r>
          </w:p>
        </w:tc>
        <w:tc>
          <w:tcPr>
            <w:tcW w:w="16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80,000</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William J. Schoch</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32,500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72,500</w:t>
            </w:r>
          </w:p>
        </w:tc>
      </w:tr>
    </w:tbl>
    <w:p>
      <w:pPr>
        <w:spacing w:after="0" w:line="187" w:lineRule="exact"/>
        <w:rPr>
          <w:sz w:val="20"/>
          <w:szCs w:val="20"/>
          <w:color w:val="auto"/>
        </w:rPr>
      </w:pPr>
    </w:p>
    <w:p>
      <w:pPr>
        <w:ind w:left="980" w:hanging="648"/>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fiscal year ended June 30, 2016, we paid the following fees: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Director: each Director received $25,000, except for Mr. Metzger who received $6,704.</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Lead Independent Director: Mr. Barnhart received $40,000.</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Audit Committee: Mr. Brooks received $15,000 as Committee Chair, Mr. Reilly received $7,500, Mr. Moschner received $7,000, and Mr. Metzger $500.</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Compensation Committee: Mr. Moschner received $15,000 as Committee Chair and Mr. Barnhart received $7,500.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Nominating and Corporate Governance Committee: Mr. Schoch received $15,000 as Committee Chair, and Mr. Reilly received $7,500.</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fiscal year ended June 30, 2016, the following directors elected to receive their fees, or a portion thereof, in the Company’s common stock in lieu of cash:</w:t>
      </w:r>
    </w:p>
    <w:p>
      <w:pPr>
        <w:spacing w:after="0" w:line="170" w:lineRule="exact"/>
        <w:rPr>
          <w:sz w:val="20"/>
          <w:szCs w:val="20"/>
          <w:color w:val="auto"/>
        </w:rPr>
      </w:pPr>
    </w:p>
    <w:p>
      <w:pPr>
        <w:ind w:left="1300" w:hanging="320"/>
        <w:spacing w:after="0" w:line="308" w:lineRule="auto"/>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Mr. Barnhart elected to receive 13,164 shares for $36,000 of fees; Mr. Metzger elected to receive 1,570 shares for $7,000 of fees; Mr. Reilly elected to receive 5,589 shares for $20,000 of fees; and Mr. Schoch elected to receive 13,154 shares for $43,000 of fees.</w:t>
      </w:r>
    </w:p>
    <w:p>
      <w:pPr>
        <w:spacing w:after="0" w:line="146" w:lineRule="exact"/>
        <w:rPr>
          <w:rFonts w:ascii="Arial" w:cs="Arial" w:eastAsia="Arial" w:hAnsi="Arial"/>
          <w:sz w:val="17"/>
          <w:szCs w:val="17"/>
          <w:color w:val="auto"/>
        </w:rPr>
      </w:pPr>
    </w:p>
    <w:p>
      <w:pPr>
        <w:ind w:left="980" w:hanging="648"/>
        <w:spacing w:after="0" w:line="342"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represent the aggregate fair value of Common Stock granted to the members of our Board of Directors during the year ended June 30, 2016. One-third of the shares vested on August 1, 2016; one-third will vest on August 1, 2017; and one-third will vest on August 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sets forth, as of August 25, 2016, the beneficial ownership of the common stock of each of the Company’s directors and executive officers, the other employees named in the Summary Compensation Table set forth above, as well as by the Company’s directors and executive officers as a group. The Company is not aware of any beneficial owner of more than five percent of the common stock. Except as otherwise indicated, the Company believes that the beneficial owners of the common stock listed below, based on information furnished by such owners, have sole investment and voting power with respect to such shares, subject to community property laws where applicable: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tbl>
      <w:tblPr>
        <w:tblLayout w:type="fixed"/>
        <w:tblInd w:w="58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Number of Shares of</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Common Stock</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Percent of</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Name and Address of Beneficial Owner(1)</w:t>
            </w:r>
          </w:p>
        </w:tc>
        <w:tc>
          <w:tcPr>
            <w:tcW w:w="214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Beneficially Owned(2)</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27"/>
        </w:trPr>
        <w:tc>
          <w:tcPr>
            <w:tcW w:w="6800" w:type="dxa"/>
            <w:vAlign w:val="bottom"/>
            <w:shd w:val="clear" w:color="auto" w:fill="000000"/>
          </w:tcPr>
          <w:p>
            <w:pPr>
              <w:spacing w:after="0"/>
              <w:rPr>
                <w:sz w:val="2"/>
                <w:szCs w:val="2"/>
                <w:color w:val="auto"/>
              </w:rPr>
            </w:pPr>
          </w:p>
        </w:tc>
        <w:tc>
          <w:tcPr>
            <w:tcW w:w="100" w:type="dxa"/>
            <w:vAlign w:val="bottom"/>
            <w:vMerge w:val="restart"/>
            <w:shd w:val="clear" w:color="auto" w:fill="F0FFFF"/>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400" w:type="dxa"/>
            <w:vAlign w:val="bottom"/>
            <w:shd w:val="clear" w:color="auto" w:fill="F0FF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Steven D. Barnhart</w:t>
            </w:r>
          </w:p>
        </w:tc>
        <w:tc>
          <w:tcPr>
            <w:tcW w:w="100" w:type="dxa"/>
            <w:vAlign w:val="bottom"/>
            <w:vMerge w:val="continue"/>
            <w:shd w:val="clear" w:color="auto" w:fill="F0FFFF"/>
          </w:tcPr>
          <w:p>
            <w:pPr>
              <w:spacing w:after="0"/>
              <w:rPr>
                <w:sz w:val="18"/>
                <w:szCs w:val="18"/>
                <w:color w:val="auto"/>
              </w:rPr>
            </w:pPr>
          </w:p>
        </w:tc>
        <w:tc>
          <w:tcPr>
            <w:tcW w:w="2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322,639(3)</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Joel Brooks</w:t>
            </w:r>
          </w:p>
        </w:tc>
        <w:tc>
          <w:tcPr>
            <w:tcW w:w="2140" w:type="dxa"/>
            <w:vAlign w:val="bottom"/>
            <w:gridSpan w:val="3"/>
          </w:tcPr>
          <w:p>
            <w:pPr>
              <w:jc w:val="right"/>
              <w:ind w:right="200"/>
              <w:spacing w:after="0"/>
              <w:rPr>
                <w:sz w:val="20"/>
                <w:szCs w:val="20"/>
                <w:color w:val="auto"/>
              </w:rPr>
            </w:pPr>
            <w:r>
              <w:rPr>
                <w:rFonts w:ascii="Arial" w:cs="Arial" w:eastAsia="Arial" w:hAnsi="Arial"/>
                <w:sz w:val="18"/>
                <w:szCs w:val="18"/>
                <w:color w:val="auto"/>
              </w:rPr>
              <w:t>69,647(3)</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214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226,475(4)</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Maeve Duska</w:t>
            </w:r>
          </w:p>
        </w:tc>
        <w:tc>
          <w:tcPr>
            <w:tcW w:w="2140" w:type="dxa"/>
            <w:vAlign w:val="bottom"/>
            <w:gridSpan w:val="3"/>
          </w:tcPr>
          <w:p>
            <w:pPr>
              <w:jc w:val="right"/>
              <w:ind w:right="200"/>
              <w:spacing w:after="0"/>
              <w:rPr>
                <w:sz w:val="20"/>
                <w:szCs w:val="20"/>
                <w:color w:val="auto"/>
              </w:rPr>
            </w:pPr>
            <w:r>
              <w:rPr>
                <w:rFonts w:ascii="Arial" w:cs="Arial" w:eastAsia="Arial" w:hAnsi="Arial"/>
                <w:sz w:val="18"/>
                <w:szCs w:val="18"/>
                <w:color w:val="auto"/>
              </w:rPr>
              <w:t>8,534(5)</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214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551,824(6)</w:t>
            </w:r>
          </w:p>
        </w:tc>
        <w:tc>
          <w:tcPr>
            <w:tcW w:w="13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Michael Lawlor</w:t>
            </w:r>
          </w:p>
        </w:tc>
        <w:tc>
          <w:tcPr>
            <w:tcW w:w="2140" w:type="dxa"/>
            <w:vAlign w:val="bottom"/>
            <w:gridSpan w:val="3"/>
          </w:tcPr>
          <w:p>
            <w:pPr>
              <w:jc w:val="right"/>
              <w:ind w:right="200"/>
              <w:spacing w:after="0"/>
              <w:rPr>
                <w:sz w:val="20"/>
                <w:szCs w:val="20"/>
                <w:color w:val="auto"/>
              </w:rPr>
            </w:pPr>
            <w:r>
              <w:rPr>
                <w:rFonts w:ascii="Arial" w:cs="Arial" w:eastAsia="Arial" w:hAnsi="Arial"/>
                <w:sz w:val="18"/>
                <w:szCs w:val="18"/>
                <w:color w:val="auto"/>
              </w:rPr>
              <w:t>43,885(7)</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Robert L. Metzger</w:t>
            </w:r>
          </w:p>
        </w:tc>
        <w:tc>
          <w:tcPr>
            <w:tcW w:w="17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11,049</w:t>
            </w:r>
          </w:p>
        </w:tc>
        <w:tc>
          <w:tcPr>
            <w:tcW w:w="40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Leland P. Maxwell</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Albin F. Moschner</w:t>
            </w:r>
          </w:p>
        </w:tc>
        <w:tc>
          <w:tcPr>
            <w:tcW w:w="214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432,455(8)</w:t>
            </w:r>
          </w:p>
        </w:tc>
        <w:tc>
          <w:tcPr>
            <w:tcW w:w="13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William J. Reilly, Jr.</w:t>
            </w:r>
          </w:p>
        </w:tc>
        <w:tc>
          <w:tcPr>
            <w:tcW w:w="2140" w:type="dxa"/>
            <w:vAlign w:val="bottom"/>
            <w:gridSpan w:val="3"/>
          </w:tcPr>
          <w:p>
            <w:pPr>
              <w:jc w:val="right"/>
              <w:ind w:right="200"/>
              <w:spacing w:after="0"/>
              <w:rPr>
                <w:sz w:val="20"/>
                <w:szCs w:val="20"/>
                <w:color w:val="auto"/>
              </w:rPr>
            </w:pPr>
            <w:r>
              <w:rPr>
                <w:rFonts w:ascii="Arial" w:cs="Arial" w:eastAsia="Arial" w:hAnsi="Arial"/>
                <w:sz w:val="18"/>
                <w:szCs w:val="18"/>
                <w:color w:val="auto"/>
              </w:rPr>
              <w:t>96,728(9)</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William J. Schoch</w:t>
            </w:r>
          </w:p>
        </w:tc>
        <w:tc>
          <w:tcPr>
            <w:tcW w:w="214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105,284(3)</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J. Duncan Smith</w:t>
            </w:r>
          </w:p>
        </w:tc>
        <w:tc>
          <w:tcPr>
            <w:tcW w:w="2140" w:type="dxa"/>
            <w:vAlign w:val="bottom"/>
            <w:gridSpan w:val="3"/>
          </w:tcPr>
          <w:p>
            <w:pPr>
              <w:jc w:val="right"/>
              <w:ind w:right="100"/>
              <w:spacing w:after="0"/>
              <w:rPr>
                <w:sz w:val="20"/>
                <w:szCs w:val="20"/>
                <w:color w:val="auto"/>
              </w:rPr>
            </w:pPr>
            <w:r>
              <w:rPr>
                <w:rFonts w:ascii="Arial" w:cs="Arial" w:eastAsia="Arial" w:hAnsi="Arial"/>
                <w:sz w:val="18"/>
                <w:szCs w:val="18"/>
                <w:color w:val="auto"/>
              </w:rPr>
              <w:t>7,500(10)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George Harrum</w:t>
            </w:r>
          </w:p>
        </w:tc>
        <w:tc>
          <w:tcPr>
            <w:tcW w:w="214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8,433(11)</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William Blair Investment Management, LLC</w:t>
            </w:r>
          </w:p>
        </w:tc>
        <w:tc>
          <w:tcPr>
            <w:tcW w:w="2140" w:type="dxa"/>
            <w:vAlign w:val="bottom"/>
            <w:gridSpan w:val="3"/>
          </w:tcPr>
          <w:p>
            <w:pPr>
              <w:jc w:val="right"/>
              <w:ind w:right="100"/>
              <w:spacing w:after="0"/>
              <w:rPr>
                <w:sz w:val="20"/>
                <w:szCs w:val="20"/>
                <w:color w:val="auto"/>
              </w:rPr>
            </w:pPr>
            <w:r>
              <w:rPr>
                <w:rFonts w:ascii="Arial" w:cs="Arial" w:eastAsia="Arial" w:hAnsi="Arial"/>
                <w:sz w:val="18"/>
                <w:szCs w:val="18"/>
                <w:color w:val="auto"/>
              </w:rPr>
              <w:t>2,175,727(12)</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All Current Directors and Executive Officers As a Group (9 Persons)</w:t>
            </w:r>
          </w:p>
        </w:tc>
        <w:tc>
          <w:tcPr>
            <w:tcW w:w="214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1,633,511(13)</w:t>
            </w:r>
          </w:p>
        </w:tc>
        <w:tc>
          <w:tcPr>
            <w:tcW w:w="13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Less than one percent (1%)</w:t>
      </w:r>
    </w:p>
    <w:p>
      <w:pPr>
        <w:spacing w:after="0" w:line="225" w:lineRule="exact"/>
        <w:rPr>
          <w:sz w:val="20"/>
          <w:szCs w:val="20"/>
          <w:color w:val="auto"/>
        </w:rPr>
      </w:pPr>
    </w:p>
    <w:p>
      <w:pPr>
        <w:jc w:val="both"/>
        <w:ind w:left="340" w:hanging="332"/>
        <w:spacing w:after="0" w:line="259" w:lineRule="auto"/>
        <w:tabs>
          <w:tab w:leader="none" w:pos="4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Securities and Exchange Commission and derives from either voting or investment power with respect to securities. Shares of Common Stock issuable upon conversion of the Series A Preferred Stock, or shares of Common Stock issuable upon exercise of warrants currently exercisable, or exercisable within sixty days of August 25, 2016, are deemed to be beneficially owned for purposes hereof.</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percentage of common stock beneficially owned is based on 38,352,980 shares outstanding as of August 25, 2016.</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13,334 shares of common stock underlying stock options.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90,000 shares underlying stock options.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8,334 shares of common stock underlying stock options.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9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62,010 shares of common stock beneficially owned by Mr. Herbert’s child, 27,440 shares of common stock beneficially owned by his spouse and 185,140 shares underlying stock options.</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8,333 shares of common stock underlying stock options.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4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1,358 shares of common stock underlying preferred stock and 13,334 shares underlying vested stock options held by the Moschner Family Trust, LLC, of which Mr. Moschner is the manager.</w:t>
      </w:r>
    </w:p>
    <w:p>
      <w:pPr>
        <w:spacing w:after="0" w:line="170" w:lineRule="exact"/>
        <w:rPr>
          <w:rFonts w:ascii="Arial" w:cs="Arial" w:eastAsia="Arial" w:hAnsi="Arial"/>
          <w:sz w:val="18"/>
          <w:szCs w:val="18"/>
          <w:color w:val="auto"/>
        </w:rPr>
      </w:pPr>
    </w:p>
    <w:p>
      <w:pPr>
        <w:ind w:left="340" w:hanging="332"/>
        <w:spacing w:after="0" w:line="277" w:lineRule="auto"/>
        <w:tabs>
          <w:tab w:leader="none" w:pos="3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100 shares of common stock beneficially owned by Mr. Reilly’s child, 97 shares underlying preferred stock and 13,334 shares underlying stock options.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the 7,500 shares of common stock are beneficially held by Mr. Smith in an IRA.</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8,333 shares underlying stock options.</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4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information is as of December 31, 2015, and is based solely upon a Schedule 13G filed with the Securities and Exchange Commission on February 12, 2016, reflecting the beneficial ownership of our Common Stock by William Blair Investment Management, LLC (“William Blair”). In accordance with the disclosures set forth in the Schedule 13G, William Blair has sole voting authority over 2,090,509 shares and sole dispositive power over 2,175,727 shares. William Blair’s address is 233 W. Adams Street, Chicago, IL 60606.</w:t>
      </w:r>
    </w:p>
    <w:p>
      <w:pPr>
        <w:spacing w:after="0" w:line="186" w:lineRule="exact"/>
        <w:rPr>
          <w:rFonts w:ascii="Arial" w:cs="Arial" w:eastAsia="Arial" w:hAnsi="Arial"/>
          <w:sz w:val="18"/>
          <w:szCs w:val="18"/>
          <w:color w:val="auto"/>
        </w:rPr>
      </w:pPr>
    </w:p>
    <w:p>
      <w:pPr>
        <w:ind w:left="400" w:hanging="392"/>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260,144 shares underlying stock options and 1,455 shares underlying Series A Preferred Stock.</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than the 7,000 shares of preferred stock beneficially owned by Mr. Moschner and 500 shares of preferred stock beneficially owned by Mr. Reilly, there were no shares of preferred stock that were beneficially owned as of August 25, 2016 by the Company’s directors or named executive officers.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policy is that all related party transactions, which are required to be disclosed under Item 404 of Regulation S-K promulgated under the Securities Act of 1933, as amended, are to be reviewed and approved by the Audit Committee for any possible conflicts of interest. This policy is evidenced in the Charter of the Audit Committee of the Board of Directors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has determined that Steven D. Barnhart, Joel Brooks, Robert L. Metzger, Albin F. Moschner, William J. Reilly, Jr., and William J. Schoch, which members constitute all of the currently serving Board of Directors other than Mr. Herbert, are independent in accordance with the applicable listing standards of The NASDAQ Stock Market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 standing Audit Committee, Nominating and Corporate Governance Committee, and Compensation Committee.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Audit Committee of the Board of Directors presently consists of Mr. Brooks (Chairman) and Mr. Metzger. The Audit Committee recommends the engagement of the Company’s independent accountants and is primarily responsible for approving the services performed by the Company’s independent accountants, for reviewing and evaluating the Company’s accounting principles, reviewing the independence of independent auditors, and for discussing with management and the independent auditor any major issues as to the adequacy of the Company’s internal controls and any special steps adopted in light of material control deficiencies. The Audit Committee operates pursuant to a charter that was last amended and restated by the Board of Directors on April 11, 2006, a copy of which is accessible on the Company’s website, </w:t>
      </w:r>
      <w:r>
        <w:rPr>
          <w:rFonts w:ascii="Arial" w:cs="Arial" w:eastAsia="Arial" w:hAnsi="Arial"/>
          <w:sz w:val="17"/>
          <w:szCs w:val="17"/>
          <w:u w:val="single" w:color="auto"/>
          <w:color w:val="auto"/>
        </w:rPr>
        <w:t>www.usatech.com</w:t>
      </w:r>
      <w:r>
        <w:rPr>
          <w:rFonts w:ascii="Arial" w:cs="Arial" w:eastAsia="Arial" w:hAnsi="Arial"/>
          <w:sz w:val="17"/>
          <w:szCs w:val="17"/>
          <w:color w:val="auto"/>
        </w:rPr>
        <w:t>.</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Compensation Committee of the Board of Directors presently consists of Mr. Moschner (Chairman) and Mr. Barnhart. The Board of Directors has determined that each of the current members of the Compensation Committee is independent in accordance with the applicable listing standards of The Nasdaq Stock Market LLC. The Committee reviews and recommends compensation and compensation changes for the executive officers of the Company and administers the Company’s stock option and restricted stock grant plans. The Compensation Committee operates pursuant to a charter that was adopted by the Board in September 2007 and amended in May 2013, a copy of which is accessible on the Company’s website, </w:t>
      </w:r>
      <w:r>
        <w:rPr>
          <w:rFonts w:ascii="Arial" w:cs="Arial" w:eastAsia="Arial" w:hAnsi="Arial"/>
          <w:sz w:val="16"/>
          <w:szCs w:val="16"/>
          <w:u w:val="single" w:color="auto"/>
          <w:color w:val="auto"/>
        </w:rPr>
        <w:t>www.usatech.com</w:t>
      </w:r>
      <w:r>
        <w:rPr>
          <w:rFonts w:ascii="Arial" w:cs="Arial" w:eastAsia="Arial" w:hAnsi="Arial"/>
          <w:sz w:val="16"/>
          <w:szCs w:val="16"/>
          <w:color w:val="auto"/>
        </w:rPr>
        <w:t>.</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Nominating and Corporate Governance Committee of the Board of Directors presently consists of Mr. Schoch (Chairman) and Mr. Reilly. The Board of Directors has determined that each of the current members of the Nominating and Corporate Governance Committee is independent in accordance with the applicable listing standards of The Nasdaq Stock Market LLC. The Committee recommends to the entire Board of Directors for selection any nominees for director. The Nominating and Corporate Committee operates pursuant to a charter that was adopted by the Board of Directors on October 26, 2012, a copy of which is accessible on the Company’s website, </w:t>
      </w:r>
      <w:r>
        <w:rPr>
          <w:rFonts w:ascii="Arial" w:cs="Arial" w:eastAsia="Arial" w:hAnsi="Arial"/>
          <w:sz w:val="18"/>
          <w:szCs w:val="18"/>
          <w:u w:val="single" w:color="auto"/>
          <w:color w:val="auto"/>
        </w:rPr>
        <w:t>www.usatech.com</w:t>
      </w:r>
      <w:r>
        <w:rPr>
          <w:rFonts w:ascii="Arial" w:cs="Arial" w:eastAsia="Arial" w:hAnsi="Arial"/>
          <w:sz w:val="18"/>
          <w:szCs w:val="18"/>
          <w:color w:val="auto"/>
        </w:rPr>
        <w: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June 30, 2016 and 2015, fees in connection with services rendered by RSM US LLP were as set forth below:</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360" w:type="dxa"/>
            <w:vAlign w:val="bottom"/>
            <w:vMerge w:val="restart"/>
          </w:tcPr>
          <w:p>
            <w:pPr>
              <w:spacing w:after="0"/>
              <w:rPr>
                <w:sz w:val="20"/>
                <w:szCs w:val="20"/>
                <w:color w:val="auto"/>
              </w:rPr>
            </w:pPr>
            <w:r>
              <w:rPr>
                <w:rFonts w:ascii="Arial" w:cs="Arial" w:eastAsia="Arial" w:hAnsi="Arial"/>
                <w:sz w:val="18"/>
                <w:szCs w:val="18"/>
                <w:color w:val="auto"/>
              </w:rPr>
              <w:t>($ in thousands)</w:t>
            </w:r>
          </w:p>
        </w:tc>
        <w:tc>
          <w:tcPr>
            <w:tcW w:w="880" w:type="dxa"/>
            <w:vAlign w:val="bottom"/>
          </w:tcPr>
          <w:p>
            <w:pPr>
              <w:jc w:val="right"/>
              <w:spacing w:after="0"/>
              <w:rPr>
                <w:sz w:val="20"/>
                <w:szCs w:val="20"/>
                <w:color w:val="auto"/>
              </w:rPr>
            </w:pPr>
            <w:r>
              <w:rPr>
                <w:rFonts w:ascii="Arial" w:cs="Arial" w:eastAsia="Arial" w:hAnsi="Arial"/>
                <w:sz w:val="18"/>
                <w:szCs w:val="18"/>
                <w:color w:val="auto"/>
              </w:rPr>
              <w:t>Fiscal</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Fiscal</w:t>
            </w:r>
          </w:p>
        </w:tc>
        <w:tc>
          <w:tcPr>
            <w:tcW w:w="0" w:type="dxa"/>
            <w:vAlign w:val="bottom"/>
          </w:tcPr>
          <w:p>
            <w:pPr>
              <w:spacing w:after="0"/>
              <w:rPr>
                <w:sz w:val="1"/>
                <w:szCs w:val="1"/>
                <w:color w:val="auto"/>
              </w:rPr>
            </w:pPr>
          </w:p>
        </w:tc>
      </w:tr>
      <w:tr>
        <w:trPr>
          <w:trHeight w:val="237"/>
        </w:trPr>
        <w:tc>
          <w:tcPr>
            <w:tcW w:w="5360" w:type="dxa"/>
            <w:vAlign w:val="bottom"/>
            <w:tcBorders>
              <w:bottom w:val="single" w:sz="8" w:color="F0FFFF"/>
            </w:tcBorders>
            <w:vMerge w:val="continue"/>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F0FFFF"/>
          </w:tcPr>
          <w:p>
            <w:pPr>
              <w:spacing w:after="0"/>
              <w:rPr>
                <w:sz w:val="20"/>
                <w:szCs w:val="20"/>
                <w:color w:val="auto"/>
              </w:rPr>
            </w:pPr>
            <w:r>
              <w:rPr>
                <w:rFonts w:ascii="Arial" w:cs="Arial" w:eastAsia="Arial" w:hAnsi="Arial"/>
                <w:sz w:val="18"/>
                <w:szCs w:val="18"/>
                <w:color w:val="auto"/>
              </w:rPr>
              <w:t>Audit Fees</w:t>
            </w:r>
          </w:p>
        </w:tc>
        <w:tc>
          <w:tcPr>
            <w:tcW w:w="880" w:type="dxa"/>
            <w:vAlign w:val="bottom"/>
            <w:shd w:val="clear" w:color="auto" w:fill="F0FFFF"/>
          </w:tcPr>
          <w:p>
            <w:pPr>
              <w:jc w:val="right"/>
              <w:ind w:right="69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616</w:t>
            </w:r>
          </w:p>
        </w:tc>
        <w:tc>
          <w:tcPr>
            <w:tcW w:w="14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274</w:t>
            </w: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Audit-Related Fees</w:t>
            </w: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F0FFFF"/>
          </w:tcPr>
          <w:p>
            <w:pPr>
              <w:spacing w:after="0"/>
              <w:rPr>
                <w:sz w:val="20"/>
                <w:szCs w:val="20"/>
                <w:color w:val="auto"/>
              </w:rPr>
            </w:pPr>
            <w:r>
              <w:rPr>
                <w:rFonts w:ascii="Arial" w:cs="Arial" w:eastAsia="Arial" w:hAnsi="Arial"/>
                <w:sz w:val="18"/>
                <w:szCs w:val="18"/>
                <w:color w:val="auto"/>
              </w:rPr>
              <w:t>Tax Fees</w:t>
            </w:r>
          </w:p>
        </w:tc>
        <w:tc>
          <w:tcPr>
            <w:tcW w:w="880" w:type="dxa"/>
            <w:vAlign w:val="bottom"/>
            <w:shd w:val="clear" w:color="auto" w:fill="F0FFFF"/>
          </w:tcPr>
          <w:p>
            <w:pPr>
              <w:spacing w:after="0"/>
              <w:rPr>
                <w:sz w:val="18"/>
                <w:szCs w:val="18"/>
                <w:color w:val="auto"/>
              </w:rPr>
            </w:pPr>
          </w:p>
        </w:tc>
        <w:tc>
          <w:tcPr>
            <w:tcW w:w="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6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All Other Fees</w:t>
            </w:r>
          </w:p>
        </w:tc>
        <w:tc>
          <w:tcPr>
            <w:tcW w:w="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3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F0FFFF"/>
          </w:tcPr>
          <w:p>
            <w:pPr>
              <w:jc w:val="right"/>
              <w:ind w:right="6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307</w:t>
            </w:r>
          </w:p>
        </w:tc>
        <w:tc>
          <w:tcPr>
            <w:tcW w:w="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Audit fees consisted of fees for the audit of our annual financial statements, review of quarterly financial statements and the audit of internal control over financial reporting, as well as services normally provided in connection with statutory and regulatory filings or engagements, consents and assistance with and reviews of Company documents filed with the Securities and Exchange Commission. Audit fees increased in fiscal year 2016 mainly due to the audit of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Audit related fees were primarily incurred in connection with our equity offerings, and fees in connection with attending the annual shareholders meeting.</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 fees related to the review of our analysis of the timing and extent to which the Company can utilize future tax deductions in any year, which may be limited by provisions of the Internal Revenue Code regarding changes in ownership of corporations (i.e. IRS Code Section 382).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Committee’s policy is to pre-approve all audit and permissible non-audit services provided by the independent registered public accounting firm on a case-by-case basis.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w:t>
            </w:r>
          </w:p>
        </w:tc>
        <w:tc>
          <w:tcPr>
            <w:tcW w:w="1042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Number</w:t>
            </w:r>
          </w:p>
        </w:tc>
        <w:tc>
          <w:tcPr>
            <w:tcW w:w="10420" w:type="dxa"/>
            <w:vAlign w:val="bottom"/>
          </w:tcPr>
          <w:p>
            <w:pPr>
              <w:ind w:left="380"/>
              <w:spacing w:after="0"/>
              <w:rPr>
                <w:sz w:val="20"/>
                <w:szCs w:val="20"/>
                <w:color w:val="auto"/>
              </w:rPr>
            </w:pPr>
            <w:r>
              <w:rPr>
                <w:rFonts w:ascii="Arial" w:cs="Arial" w:eastAsia="Arial" w:hAnsi="Arial"/>
                <w:sz w:val="18"/>
                <w:szCs w:val="18"/>
                <w:color w:val="auto"/>
              </w:rPr>
              <w:t>Description</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10420" w:type="dxa"/>
            <w:vAlign w:val="bottom"/>
          </w:tcPr>
          <w:p>
            <w:pPr>
              <w:ind w:left="380"/>
              <w:spacing w:after="0"/>
              <w:rPr>
                <w:sz w:val="20"/>
                <w:szCs w:val="20"/>
                <w:color w:val="auto"/>
              </w:rPr>
            </w:pPr>
            <w:r>
              <w:rPr>
                <w:rFonts w:ascii="Arial" w:cs="Arial" w:eastAsia="Arial" w:hAnsi="Arial"/>
                <w:sz w:val="18"/>
                <w:szCs w:val="18"/>
                <w:color w:val="auto"/>
                <w:w w:val="93"/>
              </w:rPr>
              <w:t>Amended and Restated Articles of Incorporation of the Company filed January 26, 2004 (Incorporated by reference to Exhibit 3.1.20 to</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Form 10-QSB filed on February 12, 2004).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380"/>
              <w:spacing w:after="0"/>
              <w:rPr>
                <w:sz w:val="20"/>
                <w:szCs w:val="20"/>
                <w:color w:val="auto"/>
              </w:rPr>
            </w:pPr>
            <w:r>
              <w:rPr>
                <w:rFonts w:ascii="Arial" w:cs="Arial" w:eastAsia="Arial" w:hAnsi="Arial"/>
                <w:sz w:val="18"/>
                <w:szCs w:val="18"/>
                <w:color w:val="auto"/>
                <w:w w:val="92"/>
              </w:rPr>
              <w:t>First Amendment to Amended and Restated Articles of Incorporation of the Company filed on March 17, 2005 (Incorporated by reference</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to Exhibit 3.1.1 to Form S-1 Registration Statement No. 333-124078).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380"/>
              <w:spacing w:after="0"/>
              <w:rPr>
                <w:sz w:val="20"/>
                <w:szCs w:val="20"/>
                <w:color w:val="auto"/>
              </w:rPr>
            </w:pPr>
            <w:r>
              <w:rPr>
                <w:rFonts w:ascii="Arial" w:cs="Arial" w:eastAsia="Arial" w:hAnsi="Arial"/>
                <w:sz w:val="18"/>
                <w:szCs w:val="18"/>
                <w:color w:val="auto"/>
                <w:w w:val="94"/>
              </w:rPr>
              <w:t>Second Amendment to Amended and Restated Articles of Incorporation of the Company filed on December 13, 2005 (Incorporated by</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reference to Exhibit 3.1.2 to Form S-1 Registration Statement No. 333-130992).</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3.1.3</w:t>
            </w:r>
          </w:p>
        </w:tc>
        <w:tc>
          <w:tcPr>
            <w:tcW w:w="10420" w:type="dxa"/>
            <w:vAlign w:val="bottom"/>
          </w:tcPr>
          <w:p>
            <w:pPr>
              <w:ind w:left="380"/>
              <w:spacing w:after="0"/>
              <w:rPr>
                <w:sz w:val="20"/>
                <w:szCs w:val="20"/>
                <w:color w:val="auto"/>
              </w:rPr>
            </w:pPr>
            <w:r>
              <w:rPr>
                <w:rFonts w:ascii="Arial" w:cs="Arial" w:eastAsia="Arial" w:hAnsi="Arial"/>
                <w:sz w:val="18"/>
                <w:szCs w:val="18"/>
                <w:color w:val="auto"/>
                <w:w w:val="97"/>
              </w:rPr>
              <w:t>Third Amendment to Amended and Restated Articles of Incorporation of the Company filed on February 7, 2006 (Incorporated by</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reference to Exhibit 3.1.3 to Form 10-K filed on September 30,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3.1.4</w:t>
            </w:r>
          </w:p>
        </w:tc>
        <w:tc>
          <w:tcPr>
            <w:tcW w:w="10420" w:type="dxa"/>
            <w:vAlign w:val="bottom"/>
          </w:tcPr>
          <w:p>
            <w:pPr>
              <w:ind w:left="380"/>
              <w:spacing w:after="0"/>
              <w:rPr>
                <w:sz w:val="20"/>
                <w:szCs w:val="20"/>
                <w:color w:val="auto"/>
              </w:rPr>
            </w:pPr>
            <w:r>
              <w:rPr>
                <w:rFonts w:ascii="Arial" w:cs="Arial" w:eastAsia="Arial" w:hAnsi="Arial"/>
                <w:sz w:val="18"/>
                <w:szCs w:val="18"/>
                <w:color w:val="auto"/>
                <w:w w:val="91"/>
              </w:rPr>
              <w:t>Fourth Amendment to Amended and Restated Articles of Incorporation of the Company filed on July 25, 2007. (Incorporated by reference</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to Exhibit 3.1.3 to Form 10-K filed September 23,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3.1.5</w:t>
            </w:r>
          </w:p>
        </w:tc>
        <w:tc>
          <w:tcPr>
            <w:tcW w:w="10420" w:type="dxa"/>
            <w:vAlign w:val="bottom"/>
          </w:tcPr>
          <w:p>
            <w:pPr>
              <w:ind w:left="380"/>
              <w:spacing w:after="0"/>
              <w:rPr>
                <w:sz w:val="20"/>
                <w:szCs w:val="20"/>
                <w:color w:val="auto"/>
              </w:rPr>
            </w:pPr>
            <w:r>
              <w:rPr>
                <w:rFonts w:ascii="Arial" w:cs="Arial" w:eastAsia="Arial" w:hAnsi="Arial"/>
                <w:sz w:val="18"/>
                <w:szCs w:val="18"/>
                <w:color w:val="auto"/>
                <w:w w:val="92"/>
              </w:rPr>
              <w:t>Fifth Amendment to Amended and Restated Articles of Incorporation of the Company filed on March 6, 2008. (Incorporated by reference</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to Exhibit 3.1.4 to Form 10-K filed September 23, 2008).</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10420" w:type="dxa"/>
            <w:vAlign w:val="bottom"/>
          </w:tcPr>
          <w:p>
            <w:pPr>
              <w:ind w:left="380"/>
              <w:spacing w:after="0"/>
              <w:rPr>
                <w:sz w:val="20"/>
                <w:szCs w:val="20"/>
                <w:color w:val="auto"/>
              </w:rPr>
            </w:pPr>
            <w:r>
              <w:rPr>
                <w:rFonts w:ascii="Arial" w:cs="Arial" w:eastAsia="Arial" w:hAnsi="Arial"/>
                <w:sz w:val="18"/>
                <w:szCs w:val="18"/>
                <w:color w:val="auto"/>
                <w:w w:val="91"/>
              </w:rPr>
              <w:t>Amended and Restated By-Laws of the Company dated as of April 24, 2014 (Incorporated by reference to Exhibit 3(i) to Form8-K filed on</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April 30, 2014).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10420" w:type="dxa"/>
            <w:vAlign w:val="bottom"/>
          </w:tcPr>
          <w:p>
            <w:pPr>
              <w:ind w:left="380"/>
              <w:spacing w:after="0"/>
              <w:rPr>
                <w:sz w:val="20"/>
                <w:szCs w:val="20"/>
                <w:color w:val="auto"/>
              </w:rPr>
            </w:pPr>
            <w:r>
              <w:rPr>
                <w:rFonts w:ascii="Arial" w:cs="Arial" w:eastAsia="Arial" w:hAnsi="Arial"/>
                <w:sz w:val="18"/>
                <w:szCs w:val="18"/>
                <w:color w:val="auto"/>
                <w:w w:val="94"/>
              </w:rPr>
              <w:t>Warrant dated January 1, 2013 in favor of Avidbank Holdings, Inc. (Incorporated by reference to Exhibit 4.1 to Form 8-K filed on April</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19, 2013).</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10420" w:type="dxa"/>
            <w:vAlign w:val="bottom"/>
          </w:tcPr>
          <w:p>
            <w:pPr>
              <w:ind w:left="380"/>
              <w:spacing w:after="0"/>
              <w:rPr>
                <w:sz w:val="20"/>
                <w:szCs w:val="20"/>
                <w:color w:val="auto"/>
              </w:rPr>
            </w:pPr>
            <w:r>
              <w:rPr>
                <w:rFonts w:ascii="Arial" w:cs="Arial" w:eastAsia="Arial" w:hAnsi="Arial"/>
                <w:sz w:val="18"/>
                <w:szCs w:val="18"/>
                <w:color w:val="auto"/>
              </w:rPr>
              <w:t>Warrant dated March 29, 2016 in favor of Heritage Bank of Commerce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0420" w:type="dxa"/>
            <w:vAlign w:val="bottom"/>
          </w:tcPr>
          <w:p>
            <w:pPr>
              <w:ind w:left="380"/>
              <w:spacing w:after="0"/>
              <w:rPr>
                <w:sz w:val="20"/>
                <w:szCs w:val="20"/>
                <w:color w:val="auto"/>
              </w:rPr>
            </w:pPr>
            <w:r>
              <w:rPr>
                <w:rFonts w:ascii="Arial" w:cs="Arial" w:eastAsia="Arial" w:hAnsi="Arial"/>
                <w:sz w:val="18"/>
                <w:szCs w:val="18"/>
                <w:color w:val="auto"/>
                <w:w w:val="94"/>
              </w:rPr>
              <w:t>Form of Indemnification Agreement between the Company and each of its officers and Directors (Incorporated by reference to Exhibit</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10.1 to Form 10-Q filed May 14, 2007).</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10420" w:type="dxa"/>
            <w:vAlign w:val="bottom"/>
          </w:tcPr>
          <w:p>
            <w:pPr>
              <w:ind w:left="380"/>
              <w:spacing w:after="0"/>
              <w:rPr>
                <w:sz w:val="20"/>
                <w:szCs w:val="20"/>
                <w:color w:val="auto"/>
              </w:rPr>
            </w:pPr>
            <w:r>
              <w:rPr>
                <w:rFonts w:ascii="Arial" w:cs="Arial" w:eastAsia="Arial" w:hAnsi="Arial"/>
                <w:sz w:val="18"/>
                <w:szCs w:val="18"/>
                <w:color w:val="auto"/>
                <w:w w:val="91"/>
              </w:rPr>
              <w:t>USA Technologies, Inc. 2013 Stock Incentive Plan (Incorporated by reference to Exhibit 10.6 to Form 10-K filed on September 30, 2013).</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10420" w:type="dxa"/>
            <w:vAlign w:val="bottom"/>
          </w:tcPr>
          <w:p>
            <w:pPr>
              <w:ind w:left="380"/>
              <w:spacing w:after="0"/>
              <w:rPr>
                <w:sz w:val="20"/>
                <w:szCs w:val="20"/>
                <w:color w:val="auto"/>
              </w:rPr>
            </w:pPr>
            <w:r>
              <w:rPr>
                <w:rFonts w:ascii="Arial" w:cs="Arial" w:eastAsia="Arial" w:hAnsi="Arial"/>
                <w:sz w:val="18"/>
                <w:szCs w:val="18"/>
                <w:color w:val="auto"/>
                <w:w w:val="93"/>
              </w:rPr>
              <w:t>USA Technologies, Inc. 2014 Stock Option Incentive Plan (Incorporated by reference to Appendix A to the Company’s Definitive Proxy</w:t>
            </w:r>
          </w:p>
        </w:tc>
      </w:tr>
      <w:tr>
        <w:trPr>
          <w:trHeight w:val="230"/>
        </w:trPr>
        <w:tc>
          <w:tcPr>
            <w:tcW w:w="10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Statement on form DEF 14A filed on May 15, 2014).</w:t>
            </w:r>
          </w:p>
        </w:tc>
      </w:tr>
      <w:tr>
        <w:trPr>
          <w:trHeight w:val="675"/>
        </w:trPr>
        <w:tc>
          <w:tcPr>
            <w:tcW w:w="1000" w:type="dxa"/>
            <w:vAlign w:val="bottom"/>
            <w:tcBorders>
              <w:bottom w:val="single" w:sz="8" w:color="DCDCDC"/>
            </w:tcBorders>
          </w:tcPr>
          <w:p>
            <w:pPr>
              <w:spacing w:after="0"/>
              <w:rPr>
                <w:sz w:val="24"/>
                <w:szCs w:val="24"/>
                <w:color w:val="auto"/>
              </w:rPr>
            </w:pPr>
          </w:p>
        </w:tc>
        <w:tc>
          <w:tcPr>
            <w:tcW w:w="10420" w:type="dxa"/>
            <w:vAlign w:val="bottom"/>
            <w:tcBorders>
              <w:bottom w:val="single" w:sz="8" w:color="DCDCDC"/>
            </w:tcBorders>
          </w:tcPr>
          <w:p>
            <w:pPr>
              <w:ind w:left="4640"/>
              <w:spacing w:after="0"/>
              <w:rPr>
                <w:sz w:val="20"/>
                <w:szCs w:val="20"/>
                <w:color w:val="auto"/>
              </w:rPr>
            </w:pPr>
            <w:r>
              <w:rPr>
                <w:rFonts w:ascii="Arial" w:cs="Arial" w:eastAsia="Arial" w:hAnsi="Arial"/>
                <w:sz w:val="22"/>
                <w:szCs w:val="22"/>
                <w:color w:val="auto"/>
              </w:rPr>
              <w:t>61</w:t>
            </w:r>
          </w:p>
        </w:tc>
      </w:tr>
    </w:tbl>
    <w:p>
      <w:pPr>
        <w:sectPr>
          <w:pgSz w:w="11900" w:h="16838" w:orient="portrait"/>
          <w:cols w:equalWidth="0" w:num="1">
            <w:col w:w="11420"/>
          </w:cols>
          <w:pgMar w:left="240" w:top="905" w:right="2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Amended and Restated Employment and Non-Competition Agreement between the Company and Stephen P. Herbert dated November 30,</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2011. (Incorporated by reference to Exhibit 10.1 to Form 8-K filed December 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Employment and Non-Competition Agreement dated June 7, 2010 between the Company and Michael Lawlor (Incorporated by reference</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to Exhibit 10.22 to Form 10-K filed on September 30,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First Amendment to Employment and Non-competition Agreement dated April 27, 2012 between the Company and Michael Lawlor</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(Incorporated by reference to Exhibit 10.23 to Form 10-K filed on September 30,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Letter agreement dated January 27, 2016, by and between the Company and Leland P. Maxwell (Incorporated by reference to Exhibit 10.2</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to Form 8-K filed January 28, 2016)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Employment and Non-Competition Agreement between the Company and David M. DeMedio dated April 12, 2005 (Incorporated by</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reference to Exhibit 10.22 to Form S-1 Registration Statement No. 333-124078).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First Amendment to Employment and Non-Competition Agreement between the Company and David M. DeMedio dated May 11, 2006</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(Incorporated by reference to Exhibit 10.3 to Form 10-Q filed on May 15,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Second Amendment to Employment and Non-Competition Agreement dated March 13, 2007, between the Company and David M.</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DeMedio (Incorporated by reference to Exhibit 10.34 to Form S-1 filed April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Third Amendment to Employment and Non-Competition Agreement between the Company and David M. DeMedio dated September 22,</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2008. (Incorporated by reference to Exhibit 10.29 to Form 10-K filed September 24,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Letter from the Company to David M. DeMedio dated September 24, 2009. (Incorporated by reference to Exhibit 10.32 to Form 10-K filed</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September 25, 2009).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Fifth Amendment to Employment and Non-Competition Agreement dated as of July 1, 2011 between the Company and David M.</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DeMedio. (Incorporated by reference to Exhibit 10.31 to Form 10-K filed September 27,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Sixth Amendment to Employment and Non-Competition Agreement dated September 27, 2011 between the Company and David M.</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DeMedio. (Incorporated by reference to Exhibit 10.32 to Form 10-K filed September 27,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Seventh Amendment to Employment and Non-Competition Agreement dated as of November 7, 2013 between the Company and David</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M. DeMedio. (Incorporated by reference to Exhibit 10.1 to Form 10-Q filed November 13,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Separation Agreement and Release dated as of October 19, 2015 by and between the Company and David M. DeMedio (Incorporated by</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reference to Exhibit 10.1 to Form 8-K filed October 20, 2015)</w:t>
            </w:r>
          </w:p>
        </w:tc>
      </w:tr>
      <w:tr>
        <w:trPr>
          <w:trHeight w:val="675"/>
        </w:trPr>
        <w:tc>
          <w:tcPr>
            <w:tcW w:w="900" w:type="dxa"/>
            <w:vAlign w:val="bottom"/>
            <w:tcBorders>
              <w:bottom w:val="single" w:sz="8" w:color="DCDCDC"/>
            </w:tcBorders>
          </w:tcPr>
          <w:p>
            <w:pPr>
              <w:spacing w:after="0"/>
              <w:rPr>
                <w:sz w:val="24"/>
                <w:szCs w:val="24"/>
                <w:color w:val="auto"/>
              </w:rPr>
            </w:pPr>
          </w:p>
        </w:tc>
        <w:tc>
          <w:tcPr>
            <w:tcW w:w="10520" w:type="dxa"/>
            <w:vAlign w:val="bottom"/>
            <w:tcBorders>
              <w:bottom w:val="single" w:sz="8" w:color="DCDCDC"/>
            </w:tcBorders>
          </w:tcPr>
          <w:p>
            <w:pPr>
              <w:ind w:left="4740"/>
              <w:spacing w:after="0"/>
              <w:rPr>
                <w:sz w:val="20"/>
                <w:szCs w:val="20"/>
                <w:color w:val="auto"/>
              </w:rPr>
            </w:pPr>
            <w:r>
              <w:rPr>
                <w:rFonts w:ascii="Arial" w:cs="Arial" w:eastAsia="Arial" w:hAnsi="Arial"/>
                <w:sz w:val="22"/>
                <w:szCs w:val="22"/>
                <w:color w:val="auto"/>
              </w:rPr>
              <w:t>62</w:t>
            </w:r>
          </w:p>
        </w:tc>
      </w:tr>
    </w:tbl>
    <w:p>
      <w:pPr>
        <w:sectPr>
          <w:pgSz w:w="11900" w:h="16838" w:orient="portrait"/>
          <w:cols w:equalWidth="0" w:num="1">
            <w:col w:w="11420"/>
          </w:cols>
          <w:pgMar w:left="240" w:top="908" w:right="2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10.17</w:t>
            </w:r>
          </w:p>
        </w:tc>
        <w:tc>
          <w:tcPr>
            <w:tcW w:w="10440" w:type="dxa"/>
            <w:vAlign w:val="bottom"/>
          </w:tcPr>
          <w:p>
            <w:pPr>
              <w:ind w:left="400"/>
              <w:spacing w:after="0"/>
              <w:rPr>
                <w:sz w:val="20"/>
                <w:szCs w:val="20"/>
                <w:color w:val="auto"/>
              </w:rPr>
            </w:pPr>
            <w:r>
              <w:rPr>
                <w:rFonts w:ascii="Arial" w:cs="Arial" w:eastAsia="Arial" w:hAnsi="Arial"/>
                <w:sz w:val="18"/>
                <w:szCs w:val="18"/>
                <w:color w:val="auto"/>
                <w:w w:val="92"/>
              </w:rPr>
              <w:t>Letter Agreement dated July 22, 2015, by and between the Company and J. Duncan Smith (Incorporated by reference to Exhibit 10.1 to</w:t>
            </w:r>
          </w:p>
        </w:tc>
      </w:tr>
      <w:tr>
        <w:trPr>
          <w:trHeight w:val="230"/>
        </w:trPr>
        <w:tc>
          <w:tcPr>
            <w:tcW w:w="98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Form 8-K filed August 4, 2015).</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10.18</w:t>
            </w:r>
          </w:p>
        </w:tc>
        <w:tc>
          <w:tcPr>
            <w:tcW w:w="10440" w:type="dxa"/>
            <w:vAlign w:val="bottom"/>
          </w:tcPr>
          <w:p>
            <w:pPr>
              <w:ind w:left="400"/>
              <w:spacing w:after="0"/>
              <w:rPr>
                <w:sz w:val="20"/>
                <w:szCs w:val="20"/>
                <w:color w:val="auto"/>
              </w:rPr>
            </w:pPr>
            <w:r>
              <w:rPr>
                <w:rFonts w:ascii="Arial" w:cs="Arial" w:eastAsia="Arial" w:hAnsi="Arial"/>
                <w:sz w:val="18"/>
                <w:szCs w:val="18"/>
                <w:color w:val="auto"/>
                <w:w w:val="93"/>
              </w:rPr>
              <w:t>Separation Agreement and Release dated as of January 22, 2016 by and between the Company and J. Duncan Smith (Incorporated by</w:t>
            </w:r>
          </w:p>
        </w:tc>
      </w:tr>
      <w:tr>
        <w:trPr>
          <w:trHeight w:val="230"/>
        </w:trPr>
        <w:tc>
          <w:tcPr>
            <w:tcW w:w="98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reference to Exhibit 10.1 to Form 8-K filed January 28, 2016)</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10.19**</w:t>
            </w:r>
          </w:p>
        </w:tc>
        <w:tc>
          <w:tcPr>
            <w:tcW w:w="10440" w:type="dxa"/>
            <w:vAlign w:val="bottom"/>
          </w:tcPr>
          <w:p>
            <w:pPr>
              <w:ind w:left="400"/>
              <w:spacing w:after="0"/>
              <w:rPr>
                <w:sz w:val="20"/>
                <w:szCs w:val="20"/>
                <w:color w:val="auto"/>
              </w:rPr>
            </w:pPr>
            <w:r>
              <w:rPr>
                <w:rFonts w:ascii="Arial" w:cs="Arial" w:eastAsia="Arial" w:hAnsi="Arial"/>
                <w:sz w:val="18"/>
                <w:szCs w:val="18"/>
                <w:color w:val="auto"/>
                <w:w w:val="91"/>
              </w:rPr>
              <w:t>Second Amendment Employment and Non-Competition Agreement dated as of April 29, 2016 by and between the Company and Michael</w:t>
            </w:r>
          </w:p>
        </w:tc>
      </w:tr>
      <w:tr>
        <w:trPr>
          <w:trHeight w:val="230"/>
        </w:trPr>
        <w:tc>
          <w:tcPr>
            <w:tcW w:w="98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K. Lawlor</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10.20</w:t>
            </w:r>
          </w:p>
        </w:tc>
        <w:tc>
          <w:tcPr>
            <w:tcW w:w="10440" w:type="dxa"/>
            <w:vAlign w:val="bottom"/>
          </w:tcPr>
          <w:p>
            <w:pPr>
              <w:ind w:left="400"/>
              <w:spacing w:after="0"/>
              <w:rPr>
                <w:sz w:val="20"/>
                <w:szCs w:val="20"/>
                <w:color w:val="auto"/>
              </w:rPr>
            </w:pPr>
            <w:r>
              <w:rPr>
                <w:rFonts w:ascii="Arial" w:cs="Arial" w:eastAsia="Arial" w:hAnsi="Arial"/>
                <w:sz w:val="18"/>
                <w:szCs w:val="18"/>
                <w:color w:val="auto"/>
                <w:w w:val="93"/>
              </w:rPr>
              <w:t>Master Lease Agreement by and between the Company and Varilease Finance, Inc. as of June 26, 2014 (Incorporated by reference to</w:t>
            </w:r>
          </w:p>
        </w:tc>
      </w:tr>
      <w:tr>
        <w:trPr>
          <w:trHeight w:val="230"/>
        </w:trPr>
        <w:tc>
          <w:tcPr>
            <w:tcW w:w="98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Exhibit 10.31 to Form 10-K filed on September 29, 2014).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10.21</w:t>
            </w:r>
          </w:p>
        </w:tc>
        <w:tc>
          <w:tcPr>
            <w:tcW w:w="10440" w:type="dxa"/>
            <w:vAlign w:val="bottom"/>
          </w:tcPr>
          <w:p>
            <w:pPr>
              <w:ind w:left="400"/>
              <w:spacing w:after="0"/>
              <w:rPr>
                <w:sz w:val="20"/>
                <w:szCs w:val="20"/>
                <w:color w:val="auto"/>
              </w:rPr>
            </w:pPr>
            <w:r>
              <w:rPr>
                <w:rFonts w:ascii="Arial" w:cs="Arial" w:eastAsia="Arial" w:hAnsi="Arial"/>
                <w:sz w:val="18"/>
                <w:szCs w:val="18"/>
                <w:color w:val="auto"/>
                <w:w w:val="98"/>
              </w:rPr>
              <w:t>Sale Leaseback Agreement and Schedule No. 1 by and between the Company and Varilease Finance, Inc. as of June 26, 2014</w:t>
            </w:r>
          </w:p>
        </w:tc>
      </w:tr>
      <w:tr>
        <w:trPr>
          <w:trHeight w:val="230"/>
        </w:trPr>
        <w:tc>
          <w:tcPr>
            <w:tcW w:w="98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(Incorporated by reference to Exhibit 10.32 to Form 10-K filed on September 29, 2014).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10440" w:type="dxa"/>
            <w:vAlign w:val="bottom"/>
          </w:tcPr>
          <w:p>
            <w:pPr>
              <w:ind w:left="400"/>
              <w:spacing w:after="0"/>
              <w:rPr>
                <w:sz w:val="20"/>
                <w:szCs w:val="20"/>
                <w:color w:val="auto"/>
              </w:rPr>
            </w:pPr>
            <w:r>
              <w:rPr>
                <w:rFonts w:ascii="Arial" w:cs="Arial" w:eastAsia="Arial" w:hAnsi="Arial"/>
                <w:sz w:val="18"/>
                <w:szCs w:val="18"/>
                <w:color w:val="auto"/>
                <w:w w:val="98"/>
              </w:rPr>
              <w:t>Sale Leaseback Agreement and Schedule No. 2 by and between the Company and Varilease Finance, Inc. as of June 26, 2014</w:t>
            </w:r>
          </w:p>
        </w:tc>
      </w:tr>
      <w:tr>
        <w:trPr>
          <w:trHeight w:val="230"/>
        </w:trPr>
        <w:tc>
          <w:tcPr>
            <w:tcW w:w="98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(Incorporated by reference to Exhibit 10.33 to Form 10-K filed on September 29, 2014).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10.23</w:t>
            </w:r>
          </w:p>
        </w:tc>
        <w:tc>
          <w:tcPr>
            <w:tcW w:w="10440" w:type="dxa"/>
            <w:vAlign w:val="bottom"/>
          </w:tcPr>
          <w:p>
            <w:pPr>
              <w:ind w:left="400"/>
              <w:spacing w:after="0"/>
              <w:rPr>
                <w:sz w:val="20"/>
                <w:szCs w:val="20"/>
                <w:color w:val="auto"/>
              </w:rPr>
            </w:pPr>
            <w:r>
              <w:rPr>
                <w:rFonts w:ascii="Arial" w:cs="Arial" w:eastAsia="Arial" w:hAnsi="Arial"/>
                <w:sz w:val="18"/>
                <w:szCs w:val="18"/>
                <w:color w:val="auto"/>
                <w:w w:val="98"/>
              </w:rPr>
              <w:t>Sale Leaseback Agreement and Schedule No. 3 by and between the Company and Varilease Finance, Inc. as of June 26, 2014</w:t>
            </w:r>
          </w:p>
        </w:tc>
      </w:tr>
      <w:tr>
        <w:trPr>
          <w:trHeight w:val="230"/>
        </w:trPr>
        <w:tc>
          <w:tcPr>
            <w:tcW w:w="98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(Incorporated by reference to Exhibit 10.34 to Form 10-K filed on September 29, 2014).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10.24</w:t>
            </w:r>
          </w:p>
        </w:tc>
        <w:tc>
          <w:tcPr>
            <w:tcW w:w="10440" w:type="dxa"/>
            <w:vAlign w:val="bottom"/>
          </w:tcPr>
          <w:p>
            <w:pPr>
              <w:ind w:left="400"/>
              <w:spacing w:after="0"/>
              <w:rPr>
                <w:sz w:val="20"/>
                <w:szCs w:val="20"/>
                <w:color w:val="auto"/>
              </w:rPr>
            </w:pPr>
            <w:r>
              <w:rPr>
                <w:rFonts w:ascii="Arial" w:cs="Arial" w:eastAsia="Arial" w:hAnsi="Arial"/>
                <w:sz w:val="18"/>
                <w:szCs w:val="18"/>
                <w:color w:val="auto"/>
                <w:w w:val="98"/>
              </w:rPr>
              <w:t>Sale Leaseback Agreement and Schedule No. 4 by and between the Company and Varilease Finance, Inc. as of June 26, 2014</w:t>
            </w:r>
          </w:p>
        </w:tc>
      </w:tr>
      <w:tr>
        <w:trPr>
          <w:trHeight w:val="230"/>
        </w:trPr>
        <w:tc>
          <w:tcPr>
            <w:tcW w:w="98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(Incorporated by reference to Exhibit 10.35 to Form 10-K filed on September 29, 2014).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10.25</w:t>
            </w:r>
          </w:p>
        </w:tc>
        <w:tc>
          <w:tcPr>
            <w:tcW w:w="10440" w:type="dxa"/>
            <w:vAlign w:val="bottom"/>
          </w:tcPr>
          <w:p>
            <w:pPr>
              <w:ind w:left="400"/>
              <w:spacing w:after="0"/>
              <w:rPr>
                <w:sz w:val="20"/>
                <w:szCs w:val="20"/>
                <w:color w:val="auto"/>
              </w:rPr>
            </w:pPr>
            <w:r>
              <w:rPr>
                <w:rFonts w:ascii="Arial" w:cs="Arial" w:eastAsia="Arial" w:hAnsi="Arial"/>
                <w:sz w:val="18"/>
                <w:szCs w:val="18"/>
                <w:color w:val="auto"/>
                <w:w w:val="98"/>
              </w:rPr>
              <w:t>Sale Leaseback Agreement and Schedule No. 5 by and between the Company and Varilease Finance, Inc. as of June 26, 2014</w:t>
            </w:r>
          </w:p>
        </w:tc>
      </w:tr>
      <w:tr>
        <w:trPr>
          <w:trHeight w:val="230"/>
        </w:trPr>
        <w:tc>
          <w:tcPr>
            <w:tcW w:w="98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(Incorporated by reference to Exhibit 10.36 to Form 10-K filed on September 29, 2014).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10.26</w:t>
            </w:r>
          </w:p>
        </w:tc>
        <w:tc>
          <w:tcPr>
            <w:tcW w:w="10440" w:type="dxa"/>
            <w:vAlign w:val="bottom"/>
          </w:tcPr>
          <w:p>
            <w:pPr>
              <w:ind w:left="400"/>
              <w:spacing w:after="0"/>
              <w:rPr>
                <w:sz w:val="20"/>
                <w:szCs w:val="20"/>
                <w:color w:val="auto"/>
              </w:rPr>
            </w:pPr>
            <w:r>
              <w:rPr>
                <w:rFonts w:ascii="Arial" w:cs="Arial" w:eastAsia="Arial" w:hAnsi="Arial"/>
                <w:sz w:val="18"/>
                <w:szCs w:val="18"/>
                <w:color w:val="auto"/>
                <w:w w:val="98"/>
              </w:rPr>
              <w:t>Sale Leaseback Agreement and Schedule No. 6 by and between the Company and Varilease Finance, Inc. as of June 26, 2014</w:t>
            </w:r>
          </w:p>
        </w:tc>
      </w:tr>
      <w:tr>
        <w:trPr>
          <w:trHeight w:val="230"/>
        </w:trPr>
        <w:tc>
          <w:tcPr>
            <w:tcW w:w="98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(Incorporated by reference to Exhibit 10.37 to Form 10-K filed on September 29, 2014).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10.27</w:t>
            </w:r>
          </w:p>
        </w:tc>
        <w:tc>
          <w:tcPr>
            <w:tcW w:w="10440" w:type="dxa"/>
            <w:vAlign w:val="bottom"/>
          </w:tcPr>
          <w:p>
            <w:pPr>
              <w:ind w:left="400"/>
              <w:spacing w:after="0"/>
              <w:rPr>
                <w:sz w:val="20"/>
                <w:szCs w:val="20"/>
                <w:color w:val="auto"/>
              </w:rPr>
            </w:pPr>
            <w:r>
              <w:rPr>
                <w:rFonts w:ascii="Arial" w:cs="Arial" w:eastAsia="Arial" w:hAnsi="Arial"/>
                <w:sz w:val="18"/>
                <w:szCs w:val="18"/>
                <w:color w:val="auto"/>
                <w:w w:val="90"/>
              </w:rPr>
              <w:t>Amendment No. 1 to Schedule No. 1 to Sale Leaseback Agreement by and between the Company and Varilease Finance, Inc. as of July 9,</w:t>
            </w:r>
          </w:p>
        </w:tc>
      </w:tr>
      <w:tr>
        <w:trPr>
          <w:trHeight w:val="230"/>
        </w:trPr>
        <w:tc>
          <w:tcPr>
            <w:tcW w:w="98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2014 (Incorporated by reference to Exhibit 10.38 to Form 10-K filed on September 29, 2014).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10.28</w:t>
            </w:r>
          </w:p>
        </w:tc>
        <w:tc>
          <w:tcPr>
            <w:tcW w:w="10440" w:type="dxa"/>
            <w:vAlign w:val="bottom"/>
          </w:tcPr>
          <w:p>
            <w:pPr>
              <w:ind w:left="400"/>
              <w:spacing w:after="0"/>
              <w:rPr>
                <w:sz w:val="20"/>
                <w:szCs w:val="20"/>
                <w:color w:val="auto"/>
              </w:rPr>
            </w:pPr>
            <w:r>
              <w:rPr>
                <w:rFonts w:ascii="Arial" w:cs="Arial" w:eastAsia="Arial" w:hAnsi="Arial"/>
                <w:sz w:val="18"/>
                <w:szCs w:val="18"/>
                <w:color w:val="auto"/>
                <w:w w:val="90"/>
              </w:rPr>
              <w:t>Amendment No. 1 to Schedule No. 2 to Sale Leaseback Agreement by and between the Company and Varilease Finance, Inc. as of July 9,</w:t>
            </w:r>
          </w:p>
        </w:tc>
      </w:tr>
      <w:tr>
        <w:trPr>
          <w:trHeight w:val="230"/>
        </w:trPr>
        <w:tc>
          <w:tcPr>
            <w:tcW w:w="98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2014 (Incorporated by reference to Exhibit 10.39 to Form 10-K filed on September 29, 2014).</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10.29</w:t>
            </w:r>
          </w:p>
        </w:tc>
        <w:tc>
          <w:tcPr>
            <w:tcW w:w="10440" w:type="dxa"/>
            <w:vAlign w:val="bottom"/>
          </w:tcPr>
          <w:p>
            <w:pPr>
              <w:ind w:left="400"/>
              <w:spacing w:after="0"/>
              <w:rPr>
                <w:sz w:val="20"/>
                <w:szCs w:val="20"/>
                <w:color w:val="auto"/>
              </w:rPr>
            </w:pPr>
            <w:r>
              <w:rPr>
                <w:rFonts w:ascii="Arial" w:cs="Arial" w:eastAsia="Arial" w:hAnsi="Arial"/>
                <w:sz w:val="18"/>
                <w:szCs w:val="18"/>
                <w:color w:val="auto"/>
                <w:w w:val="92"/>
              </w:rPr>
              <w:t>Amendment No. 1 to Schedule No. 3 to Sale Leaseback Agreement by and between the Company and Varilease Finance, Inc. as of July</w:t>
            </w:r>
          </w:p>
        </w:tc>
      </w:tr>
      <w:tr>
        <w:trPr>
          <w:trHeight w:val="230"/>
        </w:trPr>
        <w:tc>
          <w:tcPr>
            <w:tcW w:w="98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25, 2014 (Incorporated by reference to Exhibit 10.40 to Form 10-K filed on September 29, 2014).</w:t>
            </w:r>
          </w:p>
        </w:tc>
      </w:tr>
      <w:tr>
        <w:trPr>
          <w:trHeight w:val="675"/>
        </w:trPr>
        <w:tc>
          <w:tcPr>
            <w:tcW w:w="980" w:type="dxa"/>
            <w:vAlign w:val="bottom"/>
            <w:tcBorders>
              <w:bottom w:val="single" w:sz="8" w:color="DCDCDC"/>
            </w:tcBorders>
          </w:tcPr>
          <w:p>
            <w:pPr>
              <w:spacing w:after="0"/>
              <w:rPr>
                <w:sz w:val="24"/>
                <w:szCs w:val="24"/>
                <w:color w:val="auto"/>
              </w:rPr>
            </w:pPr>
          </w:p>
        </w:tc>
        <w:tc>
          <w:tcPr>
            <w:tcW w:w="10440" w:type="dxa"/>
            <w:vAlign w:val="bottom"/>
            <w:tcBorders>
              <w:bottom w:val="single" w:sz="8" w:color="DCDCDC"/>
            </w:tcBorders>
          </w:tcPr>
          <w:p>
            <w:pPr>
              <w:ind w:left="4660"/>
              <w:spacing w:after="0"/>
              <w:rPr>
                <w:sz w:val="20"/>
                <w:szCs w:val="20"/>
                <w:color w:val="auto"/>
              </w:rPr>
            </w:pPr>
            <w:r>
              <w:rPr>
                <w:rFonts w:ascii="Arial" w:cs="Arial" w:eastAsia="Arial" w:hAnsi="Arial"/>
                <w:sz w:val="22"/>
                <w:szCs w:val="22"/>
                <w:color w:val="auto"/>
              </w:rPr>
              <w:t>63</w:t>
            </w:r>
          </w:p>
        </w:tc>
      </w:tr>
    </w:tbl>
    <w:p>
      <w:pPr>
        <w:sectPr>
          <w:pgSz w:w="11900" w:h="16838" w:orient="portrait"/>
          <w:cols w:equalWidth="0" w:num="1">
            <w:col w:w="11420"/>
          </w:cols>
          <w:pgMar w:left="240" w:top="908" w:right="2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10.30</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Amendment No. 1 to Schedule No. 4 to Sale Leaseback Agreement by and between the Company and Varilease Finance, Inc. as of July</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29, 2014 (Incorporated by reference to Exhibit 10.41 to Form 10-K filed on September 29, 2014).</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10.31</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Amendment No. 1 to Schedule No. 5 to Sale Leaseback Agreement by and between the Company and Varilease Finance, Inc. as of July</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30, 2014 (Incorporated by reference to Exhibit 10.42 to Form 10-K filed on September 29, 2014).</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10.32</w:t>
            </w: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Amendment No. 1 to Schedule No. 6 to Sale Leaseback Agreement by and between the Company and Varilease Finance, Inc. as of August</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1, 2014 (Incorporated by reference to Exhibit 10.43 to Form 10-K filed on September 29, 2014).</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10.33</w:t>
            </w: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Visa Incentive Agreement between the Company and Visa U.S.A. Inc., dated as of November 14, 2014 (Portions of this exhibit were</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redacted pursuant to a confidential treatment request) (Incorporated by reference to Exhibit 10.1 to Form 10-Q filed February 17, 2015).</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10.34</w:t>
            </w: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Mastercard Acceptance Agreement by and between the Company and Mastercard International Incorporated (Incorporated by reference to</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Exhibit 10.2 to Form 10-Q filed May 15, 2015) (Portions of this exhibit were redacted pursuant to a confidential treatment request).</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10.35</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First Amendment to Mastercard Acceptance Agreement by and between the Company and Mastercard International Incorporated dated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April 27, 2015 (Incorporated by reference to Exhibit 10.45 to Form 10-K filed September 30, 2015) (Portions of this exhibit were redacted</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pursuant to a confidential treatment request).</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10.36</w:t>
            </w:r>
          </w:p>
        </w:tc>
        <w:tc>
          <w:tcPr>
            <w:tcW w:w="10520" w:type="dxa"/>
            <w:vAlign w:val="bottom"/>
          </w:tcPr>
          <w:p>
            <w:pPr>
              <w:ind w:left="480"/>
              <w:spacing w:after="0"/>
              <w:rPr>
                <w:sz w:val="20"/>
                <w:szCs w:val="20"/>
                <w:color w:val="auto"/>
              </w:rPr>
            </w:pPr>
            <w:r>
              <w:rPr>
                <w:rFonts w:ascii="Arial" w:cs="Arial" w:eastAsia="Arial" w:hAnsi="Arial"/>
                <w:sz w:val="18"/>
                <w:szCs w:val="18"/>
                <w:color w:val="auto"/>
                <w:w w:val="98"/>
              </w:rPr>
              <w:t>Third Party Payment Processor Agreement dated April 24, 2015 by and among the Company, JPMorgan Chase Bank, N.A. and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Paymentech, LLC (Incorporated by reference to Exhibit 10.46 to Form 10-K filed September 30, 2015) (Portions of this exhibit were</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redacted pursuant to a confidential treatment request).</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10.37</w:t>
            </w:r>
          </w:p>
        </w:tc>
        <w:tc>
          <w:tcPr>
            <w:tcW w:w="10520" w:type="dxa"/>
            <w:vAlign w:val="bottom"/>
          </w:tcPr>
          <w:p>
            <w:pPr>
              <w:ind w:left="480"/>
              <w:spacing w:after="0"/>
              <w:rPr>
                <w:sz w:val="20"/>
                <w:szCs w:val="20"/>
                <w:color w:val="auto"/>
              </w:rPr>
            </w:pPr>
            <w:r>
              <w:rPr>
                <w:rFonts w:ascii="Arial" w:cs="Arial" w:eastAsia="Arial" w:hAnsi="Arial"/>
                <w:sz w:val="18"/>
                <w:szCs w:val="18"/>
                <w:color w:val="auto"/>
                <w:w w:val="94"/>
              </w:rPr>
              <w:t>Loan and Security Agreement dated March 29, 2016 by and between the Company and Heritage Bank of Commerce (Portions of this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exhibit were redacted pursuant to a confidential treatment request) (Incorporated by reference to Exhibit 10.1 to Form 10-Q filed May 12,</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2016).</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10.38</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Intellectual Property Security Agreement dated March 29, 2016 by and between the Company and Heritage Bank of Commerce (Portions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of this exhibit were redacted pursuant to a confidential treatment request) (Incorporated by reference to Exhibit 10.2 to Form 10-Q filed</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May 12, 2016).</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10.39</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Asset Purchase Agreement dated January 15, 2016 by and between the Company and VendScreen, Inc. (Portions of this exhibit were</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redacted pursuant to a confidential treatment request) (Incorporated by reference to Exhibit 2.1 to Form 10-Q filed May 12, 2016).</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10.40</w:t>
            </w: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Fifteenth Amendment to Loan and Security Agreement dated as of January 15, 2016 by and between the Company and Avidbank</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Corporate Finance, a division of Avidbank. (Incorporated by reference to Exhibit 10.3 to Form 10-Q filed May 12, 2016)</w:t>
            </w:r>
          </w:p>
        </w:tc>
      </w:tr>
      <w:tr>
        <w:trPr>
          <w:trHeight w:val="675"/>
        </w:trPr>
        <w:tc>
          <w:tcPr>
            <w:tcW w:w="900" w:type="dxa"/>
            <w:vAlign w:val="bottom"/>
            <w:tcBorders>
              <w:bottom w:val="single" w:sz="8" w:color="DCDCDC"/>
            </w:tcBorders>
          </w:tcPr>
          <w:p>
            <w:pPr>
              <w:spacing w:after="0"/>
              <w:rPr>
                <w:sz w:val="24"/>
                <w:szCs w:val="24"/>
                <w:color w:val="auto"/>
              </w:rPr>
            </w:pPr>
          </w:p>
        </w:tc>
        <w:tc>
          <w:tcPr>
            <w:tcW w:w="10520" w:type="dxa"/>
            <w:vAlign w:val="bottom"/>
            <w:tcBorders>
              <w:bottom w:val="single" w:sz="8" w:color="DCDCDC"/>
            </w:tcBorders>
          </w:tcPr>
          <w:p>
            <w:pPr>
              <w:ind w:left="4740"/>
              <w:spacing w:after="0"/>
              <w:rPr>
                <w:sz w:val="20"/>
                <w:szCs w:val="20"/>
                <w:color w:val="auto"/>
              </w:rPr>
            </w:pPr>
            <w:r>
              <w:rPr>
                <w:rFonts w:ascii="Arial" w:cs="Arial" w:eastAsia="Arial" w:hAnsi="Arial"/>
                <w:sz w:val="22"/>
                <w:szCs w:val="22"/>
                <w:color w:val="auto"/>
              </w:rPr>
              <w:t>64</w:t>
            </w:r>
          </w:p>
        </w:tc>
      </w:tr>
    </w:tbl>
    <w:p>
      <w:pPr>
        <w:sectPr>
          <w:pgSz w:w="11900" w:h="16838" w:orient="portrait"/>
          <w:cols w:equalWidth="0" w:num="1">
            <w:col w:w="11420"/>
          </w:cols>
          <w:pgMar w:left="240" w:top="908" w:right="2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21</w:t>
            </w:r>
          </w:p>
        </w:tc>
        <w:tc>
          <w:tcPr>
            <w:tcW w:w="10480" w:type="dxa"/>
            <w:vAlign w:val="bottom"/>
          </w:tcPr>
          <w:p>
            <w:pPr>
              <w:ind w:left="440"/>
              <w:spacing w:after="0"/>
              <w:rPr>
                <w:sz w:val="20"/>
                <w:szCs w:val="20"/>
                <w:color w:val="auto"/>
              </w:rPr>
            </w:pPr>
            <w:r>
              <w:rPr>
                <w:rFonts w:ascii="Arial" w:cs="Arial" w:eastAsia="Arial" w:hAnsi="Arial"/>
                <w:sz w:val="18"/>
                <w:szCs w:val="18"/>
                <w:color w:val="auto"/>
              </w:rPr>
              <w:t>List of significant subsidiaries of the Company (Incorporated by reference to Exhibit 21 to Form S-1 filed on March 16, 2010).</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10480" w:type="dxa"/>
            <w:vAlign w:val="bottom"/>
          </w:tcPr>
          <w:p>
            <w:pPr>
              <w:ind w:left="440"/>
              <w:spacing w:after="0"/>
              <w:rPr>
                <w:sz w:val="20"/>
                <w:szCs w:val="20"/>
                <w:color w:val="auto"/>
              </w:rPr>
            </w:pPr>
            <w:r>
              <w:rPr>
                <w:rFonts w:ascii="Arial" w:cs="Arial" w:eastAsia="Arial" w:hAnsi="Arial"/>
                <w:sz w:val="18"/>
                <w:szCs w:val="18"/>
                <w:color w:val="auto"/>
              </w:rPr>
              <w:t>Consent of RSM US LLP, Independent Registered Public Accounting Firm.</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440"/>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440"/>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10480" w:type="dxa"/>
            <w:vAlign w:val="bottom"/>
          </w:tcPr>
          <w:p>
            <w:pPr>
              <w:ind w:left="440"/>
              <w:spacing w:after="0"/>
              <w:rPr>
                <w:sz w:val="20"/>
                <w:szCs w:val="20"/>
                <w:color w:val="auto"/>
              </w:rPr>
            </w:pPr>
            <w:r>
              <w:rPr>
                <w:rFonts w:ascii="Arial" w:cs="Arial" w:eastAsia="Arial" w:hAnsi="Arial"/>
                <w:sz w:val="18"/>
                <w:szCs w:val="18"/>
                <w:color w:val="auto"/>
                <w:w w:val="91"/>
              </w:rPr>
              <w:t>Certifications by the Chief Executive Officer and Chief Financial Officer pursuant to 18 USC Section 1350, as adopted pursuant to Section</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906 of the Sarbanes-Oxley Act of 2002.</w:t>
            </w:r>
          </w:p>
        </w:tc>
      </w:tr>
    </w:tbl>
    <w:p>
      <w:pPr>
        <w:spacing w:after="0" w:line="202" w:lineRule="exact"/>
        <w:rPr>
          <w:sz w:val="20"/>
          <w:szCs w:val="20"/>
          <w:color w:val="auto"/>
        </w:rPr>
      </w:pPr>
    </w:p>
    <w:p>
      <w:pPr>
        <w:ind w:left="1380" w:hanging="1372"/>
        <w:spacing w:after="0"/>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JUNE 30, 2016,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in thousands)</w:t>
            </w:r>
          </w:p>
        </w:tc>
        <w:tc>
          <w:tcPr>
            <w:tcW w:w="1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1"/>
              </w:rPr>
              <w:t>Deductions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4"/>
              </w:rPr>
              <w:t>uncollectible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86"/>
              </w:rPr>
              <w:t>Balance at</w:t>
            </w:r>
          </w:p>
        </w:tc>
        <w:tc>
          <w:tcPr>
            <w:tcW w:w="30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color w:val="auto"/>
                <w:w w:val="97"/>
              </w:rPr>
              <w:t>Additions</w:t>
            </w: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receivables</w:t>
            </w:r>
          </w:p>
        </w:tc>
        <w:tc>
          <w:tcPr>
            <w:tcW w:w="30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color w:val="auto"/>
                <w:w w:val="89"/>
              </w:rPr>
              <w:t>Balance</w:t>
            </w:r>
          </w:p>
        </w:tc>
      </w:tr>
      <w:tr>
        <w:trPr>
          <w:trHeight w:val="230"/>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92"/>
              </w:rPr>
              <w:t>beginning</w:t>
            </w:r>
          </w:p>
        </w:tc>
        <w:tc>
          <w:tcPr>
            <w:tcW w:w="300" w:type="dxa"/>
            <w:vAlign w:val="bottom"/>
          </w:tcPr>
          <w:p>
            <w:pPr>
              <w:spacing w:after="0"/>
              <w:rPr>
                <w:sz w:val="19"/>
                <w:szCs w:val="19"/>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color w:val="auto"/>
                <w:w w:val="89"/>
              </w:rPr>
              <w:t>charged to</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3"/>
              </w:rPr>
              <w:t>written off, net</w:t>
            </w:r>
          </w:p>
        </w:tc>
        <w:tc>
          <w:tcPr>
            <w:tcW w:w="300" w:type="dxa"/>
            <w:vAlign w:val="bottom"/>
          </w:tcPr>
          <w:p>
            <w:pPr>
              <w:spacing w:after="0"/>
              <w:rPr>
                <w:sz w:val="19"/>
                <w:szCs w:val="19"/>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color w:val="auto"/>
                <w:w w:val="83"/>
              </w:rPr>
              <w:t>at end</w:t>
            </w:r>
          </w:p>
        </w:tc>
      </w:tr>
      <w:tr>
        <w:trPr>
          <w:trHeight w:val="237"/>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ACCOUNTS RECEIVABLE</w:t>
            </w:r>
          </w:p>
        </w:tc>
        <w:tc>
          <w:tcPr>
            <w:tcW w:w="19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4"/>
              </w:rPr>
              <w:t>of period</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6"/>
              </w:rPr>
              <w:t>earnings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of recoveries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4"/>
              </w:rPr>
              <w:t>of period</w:t>
            </w:r>
          </w:p>
        </w:tc>
      </w:tr>
      <w:tr>
        <w:trPr>
          <w:trHeight w:val="237"/>
        </w:trPr>
        <w:tc>
          <w:tcPr>
            <w:tcW w:w="386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June 30, 2016</w:t>
            </w:r>
          </w:p>
        </w:tc>
        <w:tc>
          <w:tcPr>
            <w:tcW w:w="1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1,309</w:t>
            </w:r>
          </w:p>
        </w:tc>
        <w:tc>
          <w:tcPr>
            <w:tcW w:w="3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1,576</w:t>
            </w:r>
          </w:p>
        </w:tc>
        <w:tc>
          <w:tcPr>
            <w:tcW w:w="2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71</w:t>
            </w:r>
          </w:p>
        </w:tc>
        <w:tc>
          <w:tcPr>
            <w:tcW w:w="3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2,814</w:t>
            </w:r>
          </w:p>
        </w:tc>
      </w:tr>
      <w:tr>
        <w:trPr>
          <w:trHeight w:val="237"/>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30, 2015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1,309</w:t>
            </w:r>
          </w:p>
        </w:tc>
      </w:tr>
      <w:tr>
        <w:trPr>
          <w:trHeight w:val="237"/>
        </w:trPr>
        <w:tc>
          <w:tcPr>
            <w:tcW w:w="386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June 30, 2014</w:t>
            </w:r>
          </w:p>
        </w:tc>
        <w:tc>
          <w:tcPr>
            <w:tcW w:w="1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49</w:t>
            </w:r>
          </w:p>
        </w:tc>
        <w:tc>
          <w:tcPr>
            <w:tcW w:w="3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63</w:t>
            </w:r>
          </w:p>
        </w:tc>
      </w:tr>
      <w:tr>
        <w:trPr>
          <w:trHeight w:val="418"/>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86"/>
              </w:rPr>
              <w:t>Balance at</w:t>
            </w:r>
          </w:p>
        </w:tc>
        <w:tc>
          <w:tcPr>
            <w:tcW w:w="300" w:type="dxa"/>
            <w:vAlign w:val="bottom"/>
          </w:tcPr>
          <w:p>
            <w:pPr>
              <w:spacing w:after="0"/>
              <w:rPr>
                <w:sz w:val="24"/>
                <w:szCs w:val="24"/>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color w:val="auto"/>
                <w:w w:val="97"/>
              </w:rPr>
              <w:t>Additions</w:t>
            </w:r>
          </w:p>
        </w:tc>
        <w:tc>
          <w:tcPr>
            <w:tcW w:w="200" w:type="dxa"/>
            <w:vAlign w:val="bottom"/>
          </w:tcPr>
          <w:p>
            <w:pPr>
              <w:spacing w:after="0"/>
              <w:rPr>
                <w:sz w:val="24"/>
                <w:szCs w:val="24"/>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Deductions,</w:t>
            </w:r>
          </w:p>
        </w:tc>
        <w:tc>
          <w:tcPr>
            <w:tcW w:w="300" w:type="dxa"/>
            <w:vAlign w:val="bottom"/>
          </w:tcPr>
          <w:p>
            <w:pPr>
              <w:spacing w:after="0"/>
              <w:rPr>
                <w:sz w:val="24"/>
                <w:szCs w:val="24"/>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color w:val="auto"/>
                <w:w w:val="89"/>
              </w:rPr>
              <w:t>Balance</w:t>
            </w:r>
          </w:p>
        </w:tc>
      </w:tr>
      <w:tr>
        <w:trPr>
          <w:trHeight w:val="230"/>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92"/>
              </w:rPr>
              <w:t>beginning</w:t>
            </w:r>
          </w:p>
        </w:tc>
        <w:tc>
          <w:tcPr>
            <w:tcW w:w="300" w:type="dxa"/>
            <w:vAlign w:val="bottom"/>
          </w:tcPr>
          <w:p>
            <w:pPr>
              <w:spacing w:after="0"/>
              <w:rPr>
                <w:sz w:val="19"/>
                <w:szCs w:val="19"/>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color w:val="auto"/>
                <w:w w:val="89"/>
              </w:rPr>
              <w:t>charged to</w:t>
            </w:r>
          </w:p>
        </w:tc>
        <w:tc>
          <w:tcPr>
            <w:tcW w:w="20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87"/>
              </w:rPr>
              <w:t>Shrinkage and</w:t>
            </w:r>
          </w:p>
        </w:tc>
        <w:tc>
          <w:tcPr>
            <w:tcW w:w="300" w:type="dxa"/>
            <w:vAlign w:val="bottom"/>
          </w:tcPr>
          <w:p>
            <w:pPr>
              <w:spacing w:after="0"/>
              <w:rPr>
                <w:sz w:val="19"/>
                <w:szCs w:val="19"/>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color w:val="auto"/>
                <w:w w:val="83"/>
              </w:rPr>
              <w:t>at end</w:t>
            </w:r>
          </w:p>
        </w:tc>
      </w:tr>
      <w:tr>
        <w:trPr>
          <w:trHeight w:val="237"/>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INVENTORY</w:t>
            </w:r>
          </w:p>
        </w:tc>
        <w:tc>
          <w:tcPr>
            <w:tcW w:w="19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4"/>
              </w:rPr>
              <w:t>of period</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6"/>
              </w:rPr>
              <w:t>earnings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5"/>
              </w:rPr>
              <w:t>obsolescence</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4"/>
              </w:rPr>
              <w:t>of period</w:t>
            </w:r>
          </w:p>
        </w:tc>
      </w:tr>
      <w:tr>
        <w:trPr>
          <w:trHeight w:val="237"/>
        </w:trPr>
        <w:tc>
          <w:tcPr>
            <w:tcW w:w="386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June 30, 2016</w:t>
            </w:r>
          </w:p>
        </w:tc>
        <w:tc>
          <w:tcPr>
            <w:tcW w:w="1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944</w:t>
            </w:r>
          </w:p>
        </w:tc>
        <w:tc>
          <w:tcPr>
            <w:tcW w:w="3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943</w:t>
            </w:r>
          </w:p>
        </w:tc>
        <w:tc>
          <w:tcPr>
            <w:tcW w:w="2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590</w:t>
            </w:r>
          </w:p>
        </w:tc>
        <w:tc>
          <w:tcPr>
            <w:tcW w:w="3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1,297</w:t>
            </w:r>
          </w:p>
        </w:tc>
      </w:tr>
      <w:tr>
        <w:trPr>
          <w:trHeight w:val="237"/>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30, 2015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944</w:t>
            </w:r>
          </w:p>
        </w:tc>
      </w:tr>
      <w:tr>
        <w:trPr>
          <w:trHeight w:val="237"/>
        </w:trPr>
        <w:tc>
          <w:tcPr>
            <w:tcW w:w="386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June 30, 2014</w:t>
            </w:r>
          </w:p>
        </w:tc>
        <w:tc>
          <w:tcPr>
            <w:tcW w:w="1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727</w:t>
            </w:r>
          </w:p>
        </w:tc>
        <w:tc>
          <w:tcPr>
            <w:tcW w:w="3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164</w:t>
            </w:r>
          </w:p>
        </w:tc>
        <w:tc>
          <w:tcPr>
            <w:tcW w:w="2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765</w:t>
            </w: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P. Herbert,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Chief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SIGNATURES</w:t>
            </w:r>
          </w:p>
        </w:tc>
        <w:tc>
          <w:tcPr>
            <w:tcW w:w="220" w:type="dxa"/>
            <w:vAlign w:val="bottom"/>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3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410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Stephen P. Herbert</w:t>
            </w:r>
          </w:p>
        </w:tc>
        <w:tc>
          <w:tcPr>
            <w:tcW w:w="220" w:type="dxa"/>
            <w:vAlign w:val="bottom"/>
          </w:tcPr>
          <w:p>
            <w:pPr>
              <w:spacing w:after="0"/>
              <w:rPr>
                <w:sz w:val="17"/>
                <w:szCs w:val="17"/>
                <w:color w:val="auto"/>
              </w:rPr>
            </w:pPr>
          </w:p>
        </w:tc>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and Chief Executive Officer</w:t>
            </w:r>
          </w:p>
        </w:tc>
        <w:tc>
          <w:tcPr>
            <w:tcW w:w="4100" w:type="dxa"/>
            <w:vAlign w:val="bottom"/>
          </w:tcPr>
          <w:p>
            <w:pPr>
              <w:spacing w:after="0"/>
              <w:rPr>
                <w:sz w:val="17"/>
                <w:szCs w:val="17"/>
                <w:color w:val="auto"/>
              </w:rPr>
            </w:pPr>
          </w:p>
        </w:tc>
      </w:tr>
      <w:tr>
        <w:trPr>
          <w:trHeight w:val="230"/>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4100" w:type="dxa"/>
            <w:vAlign w:val="bottom"/>
          </w:tcPr>
          <w:p>
            <w:pPr>
              <w:spacing w:after="0"/>
              <w:rPr>
                <w:sz w:val="20"/>
                <w:szCs w:val="20"/>
                <w:color w:val="auto"/>
              </w:rPr>
            </w:pPr>
          </w:p>
        </w:tc>
      </w:tr>
      <w:tr>
        <w:trPr>
          <w:trHeight w:val="43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Interim Chief Financial Officer</w:t>
            </w:r>
          </w:p>
        </w:tc>
        <w:tc>
          <w:tcPr>
            <w:tcW w:w="410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Leland P. Maxwell, CPA</w:t>
            </w:r>
          </w:p>
        </w:tc>
        <w:tc>
          <w:tcPr>
            <w:tcW w:w="220" w:type="dxa"/>
            <w:vAlign w:val="bottom"/>
          </w:tcPr>
          <w:p>
            <w:pPr>
              <w:spacing w:after="0"/>
              <w:rPr>
                <w:sz w:val="20"/>
                <w:szCs w:val="20"/>
                <w:color w:val="auto"/>
              </w:rPr>
            </w:pPr>
          </w:p>
        </w:tc>
        <w:tc>
          <w:tcPr>
            <w:tcW w:w="3660" w:type="dxa"/>
            <w:vAlign w:val="bottom"/>
            <w:gridSpan w:val="2"/>
          </w:tcPr>
          <w:p>
            <w:pPr>
              <w:spacing w:after="0" w:line="203" w:lineRule="exact"/>
              <w:rPr>
                <w:sz w:val="20"/>
                <w:szCs w:val="20"/>
                <w:color w:val="auto"/>
              </w:rPr>
            </w:pPr>
            <w:r>
              <w:rPr>
                <w:rFonts w:ascii="Arial" w:cs="Arial" w:eastAsia="Arial" w:hAnsi="Arial"/>
                <w:sz w:val="18"/>
                <w:szCs w:val="18"/>
                <w:color w:val="auto"/>
              </w:rPr>
              <w:t>(Principal Accounting Officer)</w:t>
            </w:r>
          </w:p>
        </w:tc>
        <w:tc>
          <w:tcPr>
            <w:tcW w:w="410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D. Barnhart</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10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Steven D. Barnhart</w:t>
            </w: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Brooks</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10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Joel Brooks</w:t>
            </w: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3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 Metzger</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10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Robert L. Metzger</w:t>
            </w: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Albin F. Moschner</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10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Albin F. Moschner</w:t>
            </w: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Reilly, Jr.</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10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William J. Reilly, Jr.</w:t>
            </w: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Schoch</w:t>
            </w:r>
          </w:p>
        </w:tc>
        <w:tc>
          <w:tcPr>
            <w:tcW w:w="2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100" w:type="dxa"/>
            <w:vAlign w:val="bottom"/>
          </w:tcPr>
          <w:p>
            <w:pPr>
              <w:spacing w:after="0"/>
              <w:rPr>
                <w:sz w:val="20"/>
                <w:szCs w:val="20"/>
                <w:color w:val="auto"/>
              </w:rPr>
            </w:pPr>
            <w:r>
              <w:rPr>
                <w:rFonts w:ascii="Arial" w:cs="Arial" w:eastAsia="Arial" w:hAnsi="Arial"/>
                <w:sz w:val="18"/>
                <w:szCs w:val="18"/>
                <w:color w:val="auto"/>
              </w:rPr>
              <w:t>September 13, 2016</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William J. Schoch</w:t>
            </w: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bl>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 w:name="page109"/>
    <w:bookmarkEnd w:id="108"/>
    <w:p>
      <w:pPr>
        <w:ind w:left="105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4.2</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WARRANTS AND THE COMMON STOCK ISSUABLE UPON THE EXERCISE HEREOF HAVE NOT BEEN REGISTERED UNDER THE SECURITIES ACT OF 1933, AS AMENDED, OR ANY STATE SECURITIES LAW. THESE WARRANTS AND THE COMMON STOCK ISSUABLE UPON THE EXERCISE HEREOF MAY NOT BE SOLD, OFFERED FOR SALE, PLEDGED OR HYPOTHECATED IN THE ABSENCE OF A REGISTRATION STATEMENT IN EFFECT UNDER SUCH ACT AND SUCH LAWS WITH RESPECT TO THESE WARRANTS AND THE COMMON STOCK ISSUABLE UPON THE EXERCISE HEREOF, OR AN OPINION OF COUNSEL SATISFACTORY TO THE COMPANY THAT SUCH REGISTRATION IS NOT REQUIRED.</w:t>
      </w:r>
    </w:p>
    <w:p>
      <w:pPr>
        <w:spacing w:after="0" w:line="19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WARRANT CERTIFICATE NO.H-01</w:t>
      </w:r>
      <w:r>
        <w:rPr>
          <w:sz w:val="20"/>
          <w:szCs w:val="20"/>
          <w:color w:val="auto"/>
        </w:rPr>
        <w:tab/>
      </w:r>
      <w:r>
        <w:rPr>
          <w:rFonts w:ascii="Arial" w:cs="Arial" w:eastAsia="Arial" w:hAnsi="Arial"/>
          <w:sz w:val="17"/>
          <w:szCs w:val="17"/>
          <w:color w:val="auto"/>
        </w:rPr>
        <w:t>23,978 COMMON STOCK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USA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COMMON STOCK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(These Warrants will be void if not exercised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the Termination Date specified below.)</w:t>
      </w:r>
    </w:p>
    <w:p>
      <w:pPr>
        <w:spacing w:after="0" w:line="211" w:lineRule="exact"/>
        <w:rPr>
          <w:sz w:val="20"/>
          <w:szCs w:val="20"/>
          <w:color w:val="auto"/>
        </w:rPr>
      </w:pPr>
    </w:p>
    <w:p>
      <w:pPr>
        <w:jc w:val="both"/>
        <w:ind w:firstLine="1305"/>
        <w:spacing w:after="0" w:line="302" w:lineRule="auto"/>
        <w:tabs>
          <w:tab w:leader="none" w:pos="1477"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Warrants</w:t>
      </w:r>
      <w:r>
        <w:rPr>
          <w:rFonts w:ascii="Arial" w:cs="Arial" w:eastAsia="Arial" w:hAnsi="Arial"/>
          <w:sz w:val="16"/>
          <w:szCs w:val="16"/>
          <w:color w:val="auto"/>
        </w:rPr>
        <w:t>. Subject to the terms and conditions hereof, this certifies that HERITAGE BANK OF COMMERCE, or any subsequent holder hereof (the “Holder”), is the owner of 23,978 warrants (the "Warrants") of USA Technologies, Inc., a Pennsylvania corporation (the "Company"). Each Warrant entitles the Holder to purchase from the Company at any time prior to 5:00 p.m. on March 29, 2021 (the "Termination Date"), one fully paid and non-assessable share of the Company's common stock, without par value (the "Common Stock"), subject to adjustment as provided in Section 6 hereof.</w:t>
      </w:r>
    </w:p>
    <w:p>
      <w:pPr>
        <w:spacing w:after="0" w:line="154" w:lineRule="exact"/>
        <w:rPr>
          <w:rFonts w:ascii="Arial" w:cs="Arial" w:eastAsia="Arial" w:hAnsi="Arial"/>
          <w:sz w:val="16"/>
          <w:szCs w:val="16"/>
          <w:color w:val="auto"/>
        </w:rPr>
      </w:pPr>
    </w:p>
    <w:p>
      <w:pPr>
        <w:jc w:val="both"/>
        <w:ind w:firstLine="1305"/>
        <w:spacing w:after="0" w:line="302" w:lineRule="auto"/>
        <w:tabs>
          <w:tab w:leader="none" w:pos="1477"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Warrant Price</w:t>
      </w:r>
      <w:r>
        <w:rPr>
          <w:rFonts w:ascii="Arial" w:cs="Arial" w:eastAsia="Arial" w:hAnsi="Arial"/>
          <w:sz w:val="16"/>
          <w:szCs w:val="16"/>
          <w:color w:val="auto"/>
        </w:rPr>
        <w:t>. The Warrants shall be exercised by delivery to the Company (prior to the Termination Date) of the Warrant price for each share of Common Stock being purchased hereunder (the "Warrant Price"), this Certificate, and the completed Election To Purchase Form which is attached hereto. The Warrant Price shall be $5.00 per share of Common Stock. The Warrant Price shall be subject to adjustment as provided in Section 6 hereof. The Warrant Price is payable either in cash or by certified check, bank draft or wire transfer of immediately available funds to the order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09" w:name="page110"/>
    <w:bookmarkEnd w:id="109"/>
    <w:p>
      <w:pPr>
        <w:spacing w:after="0" w:line="277" w:lineRule="auto"/>
        <w:rPr>
          <w:sz w:val="20"/>
          <w:szCs w:val="20"/>
          <w:color w:val="auto"/>
        </w:rPr>
      </w:pPr>
      <w:r>
        <w:rPr>
          <w:rFonts w:ascii="Arial" w:cs="Arial" w:eastAsia="Arial" w:hAnsi="Arial"/>
          <w:sz w:val="18"/>
          <w:szCs w:val="18"/>
          <w:color w:val="auto"/>
        </w:rPr>
        <w:t>In lieu of purchasing the shares of Common Stock as set forth above, Holder may from time to time elect to receive upon exercise the “net number” of shares of Common Stock determined according to the following formula: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color w:val="auto"/>
              </w:rPr>
              <w:t>Net Number =</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 x B) – (A x C)</w:t>
            </w:r>
          </w:p>
        </w:tc>
      </w:tr>
      <w:tr>
        <w:trPr>
          <w:trHeight w:val="237"/>
        </w:trPr>
        <w:tc>
          <w:tcPr>
            <w:tcW w:w="16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B</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 The total number of Warrants then being exercised.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 The average VWAP for the 30 trading days immediately prior to the date of exercise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 The Warrant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hereof, the following terms shall have the following meanings: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“Business Day” means any day except Saturday, Sunday and any day which shall be a federal legal holiday in the United States or a day on which banking institutions are authorized or required by law or other government action to close.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“VWAP” means the daily dollar volume-weighted average price for a share of Common Stock during the period beginning at 9:30:00 a.m. New York time, and ending at 4:00:00 p.m., New York time, as reported by Bloomberg Financial Markets through its “Historical Price Table Screen “HP” with “Market Weighted Ave” function selected, or, if no such dollar volume-weighted average price is reported by Bloomberg Financial Markets, the average of the highest closing bid price and the lowest closing ask price of any of the market makers for such security as reported in the “pink sheets” by OTC Markets Inc. (formerly Pink Sheets LLC).</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“Primary Market” means any of (a) the American Stock Exchange, (b) New York Stock Exchange, (c) Nasdaq Global Select Market, (d) the Nasdaq Global Market or (e) the Nasdaq Capital Market.</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“Trading Day” means a day on which the shares of Common Stock are quoted on the OTCBB or quoted or traded on such Primary Market on which the shares of Common Stock are then quoted or listed, provided, that in the event the shares of Common Stock are not listed or quoted, then Trading Day shall mean a Business Day.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0" w:name="page111"/>
    <w:bookmarkEnd w:id="110"/>
    <w:p>
      <w:pPr>
        <w:jc w:val="both"/>
        <w:ind w:left="-20" w:firstLine="1305"/>
        <w:spacing w:after="0" w:line="302" w:lineRule="auto"/>
        <w:tabs>
          <w:tab w:leader="none" w:pos="145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 Holder may exercise this Warrant at any time prior to the Termination Date for up to the number of Shares set forth above by delivering this Warrant and a duly executed Notice of Exercise in substantially the form attached hereto as Appendix A to the principal office of the Company, and payment of the Warrant Price as aforesaid. Promptly after Holder exercises this Warrant, the Company shall deliver to Holder a certificate for the Shares acquired and, if this Warrant has not been fully exercised or converted and has not expired, a new Warrant representing the Shares not so acquired.</w:t>
      </w:r>
    </w:p>
    <w:p>
      <w:pPr>
        <w:spacing w:after="0" w:line="154" w:lineRule="exact"/>
        <w:rPr>
          <w:rFonts w:ascii="Arial" w:cs="Arial" w:eastAsia="Arial" w:hAnsi="Arial"/>
          <w:sz w:val="16"/>
          <w:szCs w:val="16"/>
          <w:color w:val="auto"/>
        </w:rPr>
      </w:pPr>
    </w:p>
    <w:p>
      <w:pPr>
        <w:jc w:val="both"/>
        <w:ind w:left="-20" w:firstLine="1305"/>
        <w:spacing w:after="0" w:line="264" w:lineRule="auto"/>
        <w:tabs>
          <w:tab w:leader="none" w:pos="145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All of the Warrants must be exercised in accordance with the terms hereof prior to the Termination Date. At and after the Termination Date any and all unexercised rights hereunder shall become null and void and all such unexercised Warrants shall without any action on behalf of the Company become null and void.</w:t>
      </w:r>
    </w:p>
    <w:p>
      <w:pPr>
        <w:spacing w:after="0" w:line="181" w:lineRule="exact"/>
        <w:rPr>
          <w:rFonts w:ascii="Arial" w:cs="Arial" w:eastAsia="Arial" w:hAnsi="Arial"/>
          <w:sz w:val="18"/>
          <w:szCs w:val="18"/>
          <w:color w:val="auto"/>
        </w:rPr>
      </w:pPr>
    </w:p>
    <w:p>
      <w:pPr>
        <w:jc w:val="both"/>
        <w:ind w:left="-20" w:firstLine="1305"/>
        <w:spacing w:after="0" w:line="279" w:lineRule="auto"/>
        <w:tabs>
          <w:tab w:leader="none" w:pos="148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Lost, Mutilated Certificate</w:t>
      </w:r>
      <w:r>
        <w:rPr>
          <w:rFonts w:ascii="Arial" w:cs="Arial" w:eastAsia="Arial" w:hAnsi="Arial"/>
          <w:sz w:val="17"/>
          <w:szCs w:val="17"/>
          <w:color w:val="auto"/>
        </w:rPr>
        <w:t>. In case this Common Stock Warrant Certificate shall become mutilated, lost, stolen or destroyed, the Company shall issue in exchange and substitution for and upon cancellation of the mutilated certificate, or in lieu of and in substitution for the lost, stolen, or destroyed Certificate, a new Certificate of like tenor and representing an equivalent right or interest, but only upon receipt of evidence satisfactory to the Company of such loss, theft or destruction of such certificate and indemnity, if requested, also satisfactory to the Company.</w:t>
      </w:r>
    </w:p>
    <w:p>
      <w:pPr>
        <w:spacing w:after="0" w:line="171" w:lineRule="exact"/>
        <w:rPr>
          <w:rFonts w:ascii="Arial" w:cs="Arial" w:eastAsia="Arial" w:hAnsi="Arial"/>
          <w:sz w:val="17"/>
          <w:szCs w:val="17"/>
          <w:color w:val="auto"/>
        </w:rPr>
      </w:pPr>
    </w:p>
    <w:p>
      <w:pPr>
        <w:ind w:left="-20" w:right="20" w:firstLine="1305"/>
        <w:spacing w:after="0" w:line="277" w:lineRule="auto"/>
        <w:tabs>
          <w:tab w:leader="none" w:pos="145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Subject and pursuant to the provisions of this Section 6, the Warrant Price and number of shares of Common Stock subject to the Warrants shall be subject to adjustment from time to time only as set forth hereinafter:</w:t>
      </w:r>
    </w:p>
    <w:p>
      <w:pPr>
        <w:spacing w:after="0" w:line="170" w:lineRule="exact"/>
        <w:rPr>
          <w:rFonts w:ascii="Arial" w:cs="Arial" w:eastAsia="Arial" w:hAnsi="Arial"/>
          <w:sz w:val="18"/>
          <w:szCs w:val="18"/>
          <w:color w:val="auto"/>
        </w:rPr>
      </w:pPr>
    </w:p>
    <w:p>
      <w:pPr>
        <w:jc w:val="both"/>
        <w:ind w:left="-20" w:firstLine="1953"/>
        <w:spacing w:after="0" w:line="264" w:lineRule="auto"/>
        <w:tabs>
          <w:tab w:leader="none" w:pos="2139"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case the Company shall declare a Common Stock dividend on the Common Stock, then the Warrant Price shall be proportionately decreased as of the close of business on the date of record of said Common Stock dividend in proportion to such increase of outstanding shares of Common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1" w:name="page112"/>
    <w:bookmarkEnd w:id="111"/>
    <w:p>
      <w:pPr>
        <w:jc w:val="both"/>
        <w:ind w:firstLine="1945"/>
        <w:spacing w:after="0" w:line="255" w:lineRule="auto"/>
        <w:rPr>
          <w:sz w:val="20"/>
          <w:szCs w:val="20"/>
          <w:color w:val="auto"/>
        </w:rPr>
      </w:pPr>
      <w:r>
        <w:rPr>
          <w:rFonts w:ascii="Arial" w:cs="Arial" w:eastAsia="Arial" w:hAnsi="Arial"/>
          <w:sz w:val="18"/>
          <w:szCs w:val="18"/>
          <w:color w:val="auto"/>
        </w:rPr>
        <w:t>b. If the Company shall at any time subdivide its outstanding Common Stock by recapitalization, reclassification or split-up thereof, the Warrant Price immediately prior to such subdivision shall be proportionately decreased, and, if the Company shall at any time combine the outstanding shares of Common Stock by recapitalization, reclassification, or combination thereof, the Warrant Price immediately prior to such combination shall be proportionately increased. Any such adjustment to the Warrant Price shall become effective at the close of business on the record date for such subdivision or combination. The Warrant Price shall be proportionately increased or decreased, as the case may be, in proportion to such increase or decrease, as the case may be, of outstanding shares of Common Stock.</w:t>
      </w:r>
    </w:p>
    <w:p>
      <w:pPr>
        <w:spacing w:after="0" w:line="193"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6"/>
          <w:szCs w:val="16"/>
          <w:color w:val="auto"/>
        </w:rPr>
        <w:t>c. Upon any adjustment of the Warrant Price as hereinabove provided, the number of shares of Common Stock issuable upon exercise of the Warrants remaining unexercised immediately prior to any such adjustment, shall be changed to the number of shares determined by dividing</w:t>
      </w:r>
    </w:p>
    <w:p>
      <w:pPr>
        <w:jc w:val="both"/>
        <w:ind w:firstLine="8"/>
        <w:spacing w:after="0" w:line="254" w:lineRule="auto"/>
        <w:tabs>
          <w:tab w:leader="none" w:pos="2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appropriate Warrant Price payable for the purchase of all shares of Common Stock issuable upon exercise of all of the Warrants remaining unexercised immediately prior to such adjustment by (ii) the Warrant Price per share of Common Stock in effect immediately after such adjustment. Pursuant to this formula, the total sum payable to the Company upon the exercise of the Warrants remaining unexercised immediately prior to such adjustment shall remain constant.</w:t>
      </w:r>
    </w:p>
    <w:p>
      <w:pPr>
        <w:spacing w:after="0" w:line="189" w:lineRule="exact"/>
        <w:rPr>
          <w:rFonts w:ascii="Arial" w:cs="Arial" w:eastAsia="Arial" w:hAnsi="Arial"/>
          <w:sz w:val="18"/>
          <w:szCs w:val="18"/>
          <w:color w:val="auto"/>
        </w:rPr>
      </w:pPr>
    </w:p>
    <w:p>
      <w:pPr>
        <w:jc w:val="both"/>
        <w:ind w:firstLine="1953"/>
        <w:spacing w:after="0" w:line="270" w:lineRule="auto"/>
        <w:tabs>
          <w:tab w:leader="none" w:pos="2632" w:val="left"/>
        </w:tabs>
        <w:numPr>
          <w:ilvl w:val="1"/>
          <w:numId w:val="40"/>
        </w:numPr>
        <w:rPr>
          <w:rFonts w:ascii="Arial" w:cs="Arial" w:eastAsia="Arial" w:hAnsi="Arial"/>
          <w:sz w:val="17"/>
          <w:szCs w:val="17"/>
          <w:color w:val="auto"/>
        </w:rPr>
      </w:pPr>
      <w:r>
        <w:rPr>
          <w:rFonts w:ascii="Arial" w:cs="Arial" w:eastAsia="Arial" w:hAnsi="Arial"/>
          <w:sz w:val="17"/>
          <w:szCs w:val="17"/>
          <w:color w:val="auto"/>
        </w:rPr>
        <w:t>(i) If any capital reorganization or reclassification of the capital stock of the Company, or any Change of Control (as defined in sub-section (iii) hereafter), shall be effected in such a way that holders of Common Stock shall be entitled to receive stock, securities, cash, property, or assets with respect to or in exchange for Common Stock, and provided no election is made by the Board of Directors of the Company pursuant to subsection (ii) hereof (applicable to a Business Combination as defined below), then, as a condition of such reorganization, reclassification, or Change of Control, the Company or such successor or purchasing corporation, person, or entity, as the case may be, shall agree that the Holder shall have the right thereafter and until the Termination Date to exercise such Warrants for the kind and amount of stock, securities, cash, property, or assets receivable upon such reorganization, reclassification, or Change of Control by a holder of the number of shares of Common Stock for the purchase of which such Warrants might have been exercised immediately prior to such reorganization, reclassification, or Change of Control, subject to such subsequent adjustments which shall be equivalent or nearly equivalent as may be practicable to the adjustments provided for in this Section 6.</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jc w:val="both"/>
        <w:ind w:firstLine="2601"/>
        <w:spacing w:after="0" w:line="271" w:lineRule="auto"/>
        <w:tabs>
          <w:tab w:leader="none" w:pos="30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Notwithstanding subsection (i) hereof and in lieu thereof, the Board of Directors of the Company may elect by written notice to the Holder, to require such Holder to exercise all of the Warrants remaining unexercised prior to any Business Combination (as defined in subparagraph (b) of subsection (iii) below). If the Holder shall not exercise all or any part of the Warrants remaining unexercised prior to such Business Combination, such unexercised Warrants shall automatically become null and void upon the occurrence of any such Business Combination, and of no further force and effect. The Common Stock issued pursuant to any such exercise shall be deemed to be issued and outstanding immediately prior to any such Business Combination, and shall be entitled to be treated as any other issued and outstanding share of Common Stock in connection with such Business Combination. If an election is not made by the Board of Directors of the Company pursuant to this subsection (ii) in connection with any Business Combination, then the provisions of subsection (i) hereof shall apply to such Business Combination.</w:t>
      </w:r>
    </w:p>
    <w:p>
      <w:pPr>
        <w:spacing w:after="0" w:line="178" w:lineRule="exact"/>
        <w:rPr>
          <w:rFonts w:ascii="Arial" w:cs="Arial" w:eastAsia="Arial" w:hAnsi="Arial"/>
          <w:sz w:val="17"/>
          <w:szCs w:val="17"/>
          <w:color w:val="auto"/>
        </w:rPr>
      </w:pPr>
    </w:p>
    <w:p>
      <w:pPr>
        <w:ind w:left="3020" w:hanging="419"/>
        <w:spacing w:after="0"/>
        <w:tabs>
          <w:tab w:leader="none" w:pos="30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 "Change of Control" of the Company shall be deemed to have occurred upon the happening of any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 events:</w:t>
      </w:r>
    </w:p>
    <w:p>
      <w:pPr>
        <w:spacing w:after="0" w:line="210" w:lineRule="exact"/>
        <w:rPr>
          <w:rFonts w:ascii="Arial" w:cs="Arial" w:eastAsia="Arial" w:hAnsi="Arial"/>
          <w:sz w:val="17"/>
          <w:szCs w:val="17"/>
          <w:color w:val="auto"/>
        </w:rPr>
      </w:pPr>
    </w:p>
    <w:p>
      <w:pPr>
        <w:jc w:val="both"/>
        <w:ind w:left="660" w:firstLine="645"/>
        <w:spacing w:after="0" w:line="255" w:lineRule="auto"/>
        <w:tabs>
          <w:tab w:leader="none" w:pos="15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acquisition by any person, entity or group required to file (or which would be required to file if the Company had been subject to such provisions) a Schedule 13D or Schedule 14d-1 promulgated under the Securities Exchange Act of 1934, as amended (“Exchange Act”), or any acquisition by any person entitled to file (or which would be entitled to file if the Company had been subject to such provisions) a Form 13G under the Exchange Act with respect to such acquisition of beneficial ownership (within the meaning of Rule 13d-3 promulgated under the Exchange Act) of 51% or more of the Company's then outstanding voting securities entitled to vote generally in the election of Directors (the "Outstanding Shares"); 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jc w:val="both"/>
        <w:ind w:left="660" w:firstLine="645"/>
        <w:spacing w:after="0" w:line="259" w:lineRule="auto"/>
        <w:tabs>
          <w:tab w:leader="none" w:pos="15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(x) the consummation of a merger, reorganization, or consolidation of the Company with any other entity, whether or not the Company is the surviving entity in such transaction, (y) the approval by the shareholders of a plan or proposal for the liquidation or dissolution of the Company, or (z) the sale, transfer, lease or other disposition of all or substantially all of the assets of the Company (hereinafter, a "Business Combination").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Notwithstanding subsection (b) above, and other than in connection with a liquidation or dissolution of the Company referred to in subsection (b)(y) above, a Business Combination described in subsection (b) above shall not constitute a Change of Control if, following such Business Combination: (A) all or substantially all of the individuals and entities who were the beneficial owners of the Outstanding Shares immediately prior to such Business Combination beneficially own, directly or indirectly, more than 51% of the Outstanding Shares of the entity resulting from such Business Combination (including without limitation, an entity which, as a result of such transactions, owns the Company or all or substantially all of the Company's assets either directly or through one or more subsidiaries), and (B) no person owns, directly or indirectly, 49% or more of the Outstanding Shares of the entity resulting from such Business Combination except to the extent that such ownership existed prior to the Business Combination.</w:t>
      </w:r>
    </w:p>
    <w:p>
      <w:pPr>
        <w:spacing w:after="0" w:line="178"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e. Whenever the Warrant Price and number of shares of Common Stock subject to this Warrant is adjusted as herein provided, the Company shall promptly mail to the Holder a statement signed by an officer of the Company setting forth the adjusted Warrant Price and the number of shares of Common Stock subject to this Warrant, determined as so provided.</w:t>
      </w:r>
    </w:p>
    <w:p>
      <w:pPr>
        <w:spacing w:after="0" w:line="181"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f. This form of Certificate need not be changed because of any adjustment which is required pursuant to this Section 6. However, the Company may at any time in its sole discretion (which shall be conclusive) make any change in the form of this Certificate that the Company may deem appropriate and that does not affect the substance hereof; and any Certificate thereafter issued, whether in exchange or substitution for this Certificate or otherwise, may be in the form as so changed.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 w:name="page115"/>
    <w:bookmarkEnd w:id="114"/>
    <w:p>
      <w:pPr>
        <w:jc w:val="both"/>
        <w:ind w:left="-20" w:firstLine="1305"/>
        <w:spacing w:after="0" w:line="259" w:lineRule="auto"/>
        <w:tabs>
          <w:tab w:leader="none" w:pos="147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Reservation</w:t>
      </w:r>
      <w:r>
        <w:rPr>
          <w:rFonts w:ascii="Arial" w:cs="Arial" w:eastAsia="Arial" w:hAnsi="Arial"/>
          <w:sz w:val="18"/>
          <w:szCs w:val="18"/>
          <w:color w:val="auto"/>
        </w:rPr>
        <w:t>. There has been reserved, and the Company shall at all times keep reserved out of the authorized and unissued shares of Common Stock, a number of shares of Common Stock sufficient to provide for the exercise of the right of purchase represented by the Warrants. The Company agrees that all shares of Common Stock issued upon exercise of the Warrants shall be, at the time of delivery of the Certificates for such Common Stock, validly issued and outstanding, fully paid and non-assessable.</w:t>
      </w:r>
    </w:p>
    <w:p>
      <w:pPr>
        <w:spacing w:after="0" w:line="186" w:lineRule="exact"/>
        <w:rPr>
          <w:rFonts w:ascii="Arial" w:cs="Arial" w:eastAsia="Arial" w:hAnsi="Arial"/>
          <w:sz w:val="18"/>
          <w:szCs w:val="18"/>
          <w:color w:val="auto"/>
        </w:rPr>
      </w:pPr>
    </w:p>
    <w:p>
      <w:pPr>
        <w:ind w:left="-20" w:firstLine="1305"/>
        <w:spacing w:after="0" w:line="277" w:lineRule="auto"/>
        <w:tabs>
          <w:tab w:leader="none" w:pos="145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The Company shall not issue any fractional shares of Common Stock pursuant to any exercise of any Warrant and shall pay cash to Holder in lieu of any such fractional shares.</w:t>
      </w:r>
    </w:p>
    <w:p>
      <w:pPr>
        <w:spacing w:after="0" w:line="170" w:lineRule="exact"/>
        <w:rPr>
          <w:rFonts w:ascii="Arial" w:cs="Arial" w:eastAsia="Arial" w:hAnsi="Arial"/>
          <w:sz w:val="18"/>
          <w:szCs w:val="18"/>
          <w:color w:val="auto"/>
        </w:rPr>
      </w:pPr>
    </w:p>
    <w:p>
      <w:pPr>
        <w:ind w:left="-20" w:firstLine="1305"/>
        <w:spacing w:after="0" w:line="277" w:lineRule="auto"/>
        <w:tabs>
          <w:tab w:leader="none" w:pos="145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 Right</w:t>
      </w:r>
      <w:r>
        <w:rPr>
          <w:rFonts w:ascii="Arial" w:cs="Arial" w:eastAsia="Arial" w:hAnsi="Arial"/>
          <w:sz w:val="18"/>
          <w:szCs w:val="18"/>
          <w:color w:val="auto"/>
        </w:rPr>
        <w:t>. Holder shall not be entitled to any of the rights of a shareholder of the Company prior to the date of issuance of the Common Stock by the Company pursuant to an exercise of any Warrant.</w:t>
      </w:r>
    </w:p>
    <w:p>
      <w:pPr>
        <w:spacing w:after="0" w:line="170" w:lineRule="exact"/>
        <w:rPr>
          <w:rFonts w:ascii="Arial" w:cs="Arial" w:eastAsia="Arial" w:hAnsi="Arial"/>
          <w:sz w:val="18"/>
          <w:szCs w:val="18"/>
          <w:color w:val="auto"/>
        </w:rPr>
      </w:pPr>
    </w:p>
    <w:p>
      <w:pPr>
        <w:jc w:val="both"/>
        <w:ind w:left="-20" w:firstLine="1305"/>
        <w:spacing w:after="0" w:line="257" w:lineRule="auto"/>
        <w:tabs>
          <w:tab w:leader="none" w:pos="154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As a condition to the issuance of any Common Stock pursuant to the Warrants, the holder of such Common Stock shall execute and deliver such representations, warranties, and covenants, that may be required by applicable federal and state securities law, or that the Company determines is reasonably necessary in connection with the issuance of such Common Stock. In addition, the certificates representing the Common Stock shall contain such legends, or restrictive legends, or stop transfer instructions, as shall be required by applicable Federal or state securities laws, or as shall be reasonably required by the Company or its transfer agent.</w:t>
      </w:r>
    </w:p>
    <w:p>
      <w:pPr>
        <w:spacing w:after="0" w:line="188" w:lineRule="exact"/>
        <w:rPr>
          <w:rFonts w:ascii="Arial" w:cs="Arial" w:eastAsia="Arial" w:hAnsi="Arial"/>
          <w:sz w:val="18"/>
          <w:szCs w:val="18"/>
          <w:color w:val="auto"/>
        </w:rPr>
      </w:pPr>
    </w:p>
    <w:p>
      <w:pPr>
        <w:jc w:val="both"/>
        <w:ind w:left="-20" w:right="20" w:firstLine="1305"/>
        <w:spacing w:after="0" w:line="259"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Subject to compliance with applicable securities laws, the Warrants represented by this Certificate and this Certificate shall inure to the benefit of and be exercisable by Holder’s heirs, personal representatives, successors and assigns, and shall be fully assignable and transferable by Holder at any time and from time to time, including by will, intestacy or otherwise. Any such assignee or transferee shall be entitled to all the benefits hereof and shall be the holder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15" w:name="page116"/>
    <w:bookmarkEnd w:id="115"/>
    <w:p>
      <w:pPr>
        <w:jc w:val="both"/>
        <w:ind w:left="-20" w:firstLine="1305"/>
        <w:spacing w:after="0" w:line="259" w:lineRule="auto"/>
        <w:tabs>
          <w:tab w:leader="none" w:pos="158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Applicable Law and Venue</w:t>
      </w:r>
      <w:r>
        <w:rPr>
          <w:rFonts w:ascii="Arial" w:cs="Arial" w:eastAsia="Arial" w:hAnsi="Arial"/>
          <w:sz w:val="18"/>
          <w:szCs w:val="18"/>
          <w:color w:val="auto"/>
        </w:rPr>
        <w:t>. The Warrants and this Certificate shall be deemed to be a contract made under the laws of the Commonwealth of Pennsylvania and for all purposes shall be construed in accordance with the laws thereof regardless of its choice of law rules. Any legal suit, action, or proceeding whatsoever arising out of or in any way connected with this Warrant shall be commenced, filed, instituted, and brought solely and exclusively in the state or federal courts of the Commonwealth of Pennsylvania.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6" w:name="page117"/>
    <w:bookmarkEnd w:id="116"/>
    <w:p>
      <w:pPr>
        <w:ind w:left="1300"/>
        <w:spacing w:after="0"/>
        <w:rPr>
          <w:sz w:val="20"/>
          <w:szCs w:val="20"/>
          <w:color w:val="auto"/>
        </w:rPr>
      </w:pPr>
      <w:r>
        <w:rPr>
          <w:rFonts w:ascii="Arial" w:cs="Arial" w:eastAsia="Arial" w:hAnsi="Arial"/>
          <w:sz w:val="16"/>
          <w:szCs w:val="16"/>
          <w:color w:val="auto"/>
        </w:rPr>
        <w:t>IN WITNESS WHEREOF, USA TECHNOLOGIES, INC., has executed and delivered this Warrant Certificate as of the date written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USA TECHNOLOGIES,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Dated: March 29, 2016</w:t>
            </w: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/s/ Stephen P. Herbert</w:t>
            </w: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3680" w:type="dxa"/>
            <w:vAlign w:val="bottom"/>
            <w:tcBorders>
              <w:bottom w:val="single" w:sz="8" w:color="DCDCDC"/>
            </w:tcBorders>
          </w:tcPr>
          <w:p>
            <w:pPr>
              <w:spacing w:after="0"/>
              <w:rPr>
                <w:sz w:val="24"/>
                <w:szCs w:val="24"/>
                <w:color w:val="auto"/>
              </w:rPr>
            </w:pPr>
          </w:p>
        </w:tc>
        <w:tc>
          <w:tcPr>
            <w:tcW w:w="2500" w:type="dxa"/>
            <w:vAlign w:val="bottom"/>
            <w:tcBorders>
              <w:bottom w:val="single" w:sz="8" w:color="DCDCDC"/>
            </w:tcBorders>
          </w:tcPr>
          <w:p>
            <w:pPr>
              <w:jc w:val="right"/>
              <w:ind w:right="330"/>
              <w:spacing w:after="0"/>
              <w:rPr>
                <w:sz w:val="20"/>
                <w:szCs w:val="20"/>
                <w:color w:val="auto"/>
              </w:rPr>
            </w:pPr>
            <w:r>
              <w:rPr>
                <w:rFonts w:ascii="Arial" w:cs="Arial" w:eastAsia="Arial" w:hAnsi="Arial"/>
                <w:sz w:val="18"/>
                <w:szCs w:val="18"/>
                <w:color w:val="auto"/>
              </w:rPr>
              <w:t>9</w:t>
            </w:r>
          </w:p>
        </w:tc>
        <w:tc>
          <w:tcPr>
            <w:tcW w:w="52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Appendix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Deerfield Lane, Suite 140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Malvern, PA 19355</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Attn:</w:t>
        <w:tab/>
        <w:t>Stephen P. Herbert,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ELECTION TO PURCHASE</w:t>
      </w:r>
    </w:p>
    <w:p>
      <w:pPr>
        <w:spacing w:after="0" w:line="229"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The undersigned hereby irrevocably elects to exercise the right of purchase represented by the attached Warrant Certificate No._ of the Company. The undersigned desires to purchase </w:t>
      </w:r>
      <w:r>
        <w:rPr>
          <w:rFonts w:ascii="Arial" w:cs="Arial" w:eastAsia="Arial" w:hAnsi="Arial"/>
          <w:sz w:val="17"/>
          <w:szCs w:val="17"/>
          <w:u w:val="single" w:color="auto"/>
          <w:color w:val="auto"/>
        </w:rPr>
        <w:t>___</w:t>
      </w:r>
      <w:r>
        <w:rPr>
          <w:rFonts w:ascii="Arial" w:cs="Arial" w:eastAsia="Arial" w:hAnsi="Arial"/>
          <w:sz w:val="17"/>
          <w:szCs w:val="17"/>
          <w:color w:val="auto"/>
        </w:rPr>
        <w:t xml:space="preserve"> shares of Common Stock provided for therein and tenders herewith full payment of the Warrant Price for the shares of Common Stock being purchased, all in accordance with the Certificate. The undersigned requests that a Certificate representing such shares of Common Stock shall be issued to and registered in the name of, and delivered to, the undersigned at the address set forth in the attached certificate. If said number of shares of Common Stock shall not be all the shares purchasable under the Certificate, then a new Common Stock Warrant Certificate for the balance remaining of the shares of Common Stock purchasable shall be issued to and registered in the name of, and delivered to, the undersigned at the address set forth in the attached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6928485</wp:posOffset>
            </wp:positionH>
            <wp:positionV relativeFrom="paragraph">
              <wp:posOffset>-863600</wp:posOffset>
            </wp:positionV>
            <wp:extent cx="368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5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____________, 200_</w:t>
      </w:r>
      <w:r>
        <w:rPr>
          <w:sz w:val="20"/>
          <w:szCs w:val="20"/>
          <w:color w:val="auto"/>
        </w:rPr>
        <w:tab/>
      </w: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EMPLOYMENT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NON-COMPETITION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Second Amendment to Employment and Non-Competition Agreement is made this 29 day of April 2016, by and between MICHAEL 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LAWLOR ("Lawlor"), and USA TECHNOLOGIES, INC., a Pennsylvania corporation ("USA").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Background</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USA and Lawlor entered into an Employment and Non-Competition Agreement dated April 7, 2010, as amended by the First Amendment thereto dated April 27, 2012 (collectively, the "Agreement"). As more fully set forth herein, the parties desire to amend the Agreement in certain respects.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covenants set forth herein, and intending to be legally bound hereby, the parties agree as follows:</w:t>
      </w:r>
    </w:p>
    <w:p>
      <w:pPr>
        <w:spacing w:after="0" w:line="237" w:lineRule="exact"/>
        <w:rPr>
          <w:sz w:val="20"/>
          <w:szCs w:val="20"/>
          <w:color w:val="auto"/>
        </w:rPr>
      </w:pPr>
    </w:p>
    <w:p>
      <w:pPr>
        <w:ind w:left="840" w:hanging="184"/>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sz w:val="20"/>
          <w:szCs w:val="20"/>
          <w:color w:val="auto"/>
        </w:rPr>
      </w:pPr>
    </w:p>
    <w:p>
      <w:pPr>
        <w:ind w:left="1340" w:hanging="684"/>
        <w:spacing w:after="0"/>
        <w:tabs>
          <w:tab w:leader="none" w:pos="1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Subparagraph (a) of Section 1. </w:t>
      </w:r>
      <w:r>
        <w:rPr>
          <w:rFonts w:ascii="Arial" w:cs="Arial" w:eastAsia="Arial" w:hAnsi="Arial"/>
          <w:sz w:val="16"/>
          <w:szCs w:val="16"/>
          <w:u w:val="single" w:color="auto"/>
          <w:color w:val="auto"/>
        </w:rPr>
        <w:t>Employment</w:t>
      </w:r>
      <w:r>
        <w:rPr>
          <w:rFonts w:ascii="Arial" w:cs="Arial" w:eastAsia="Arial" w:hAnsi="Arial"/>
          <w:sz w:val="16"/>
          <w:szCs w:val="16"/>
          <w:color w:val="auto"/>
        </w:rPr>
        <w:t xml:space="preserve"> of the Agreement is hereby deleted and the following new subparagraph (a) is substituted in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11" w:lineRule="exact"/>
        <w:rPr>
          <w:sz w:val="20"/>
          <w:szCs w:val="20"/>
          <w:color w:val="auto"/>
        </w:rPr>
      </w:pPr>
    </w:p>
    <w:p>
      <w:pPr>
        <w:jc w:val="both"/>
        <w:ind w:left="660" w:right="640" w:hanging="4"/>
        <w:spacing w:after="0" w:line="257" w:lineRule="auto"/>
        <w:tabs>
          <w:tab w:leader="none" w:pos="1422"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USA shall employ Lawlor as Chief Services Officer commencing on March 8, 2016 and continuing through June 30, 2017 (the “Employment Period”), and Lawlor accepts such employment. Unless terminated by either party hereto upon at least 60-days’ notice prior to the end of the original Employment Period ending June 30, 2017, or prior to the end of any one-year extension of the Employment Period, the Employment Period shall not be terminated and shall automatically continue in full force and effect for consecutive one-year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19" w:name="page120"/>
    <w:bookmarkEnd w:id="119"/>
    <w:p>
      <w:pPr>
        <w:ind w:left="-20" w:firstLine="656"/>
        <w:spacing w:after="0" w:line="277" w:lineRule="auto"/>
        <w:tabs>
          <w:tab w:leader="none" w:pos="13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Subparagraph (a) of Section 2. </w:t>
      </w: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xml:space="preserve"> of the Agreement is hereby deleted and the following new subparagraph (a) is substituted in its place:</w:t>
      </w:r>
    </w:p>
    <w:p>
      <w:pPr>
        <w:spacing w:after="0" w:line="170" w:lineRule="exact"/>
        <w:rPr>
          <w:sz w:val="20"/>
          <w:szCs w:val="20"/>
          <w:color w:val="auto"/>
        </w:rPr>
      </w:pPr>
    </w:p>
    <w:p>
      <w:pPr>
        <w:jc w:val="both"/>
        <w:ind w:left="640" w:right="640" w:hanging="4"/>
        <w:spacing w:after="0" w:line="264" w:lineRule="auto"/>
        <w:tabs>
          <w:tab w:leader="none" w:pos="14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consideration of his services rendered, USA shall pay to Lawlor, effective as of January 1, 2016, an annual base salary of $235,000.00 per year during the Employment Period, subject to any withholding required by law. Lawlor’s base salary may be increased from time to time in the discretion of the Board of Directors of USA.</w:t>
      </w:r>
    </w:p>
    <w:p>
      <w:pPr>
        <w:spacing w:after="0" w:line="181" w:lineRule="exact"/>
        <w:rPr>
          <w:sz w:val="20"/>
          <w:szCs w:val="20"/>
          <w:color w:val="auto"/>
        </w:rPr>
      </w:pPr>
    </w:p>
    <w:p>
      <w:pPr>
        <w:ind w:left="-20" w:firstLine="656"/>
        <w:spacing w:after="0" w:line="277" w:lineRule="auto"/>
        <w:tabs>
          <w:tab w:leader="none" w:pos="1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Subparagraph (b) of Section 2. </w:t>
      </w: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xml:space="preserve"> of the Agreement is hereby deleted and the following new subparagraph (b) is substituted in its place:</w:t>
      </w:r>
    </w:p>
    <w:p>
      <w:pPr>
        <w:spacing w:after="0" w:line="170" w:lineRule="exact"/>
        <w:rPr>
          <w:sz w:val="20"/>
          <w:szCs w:val="20"/>
          <w:color w:val="auto"/>
        </w:rPr>
      </w:pPr>
    </w:p>
    <w:p>
      <w:pPr>
        <w:jc w:val="both"/>
        <w:ind w:left="640" w:right="660" w:hanging="4"/>
        <w:spacing w:after="0" w:line="264" w:lineRule="auto"/>
        <w:tabs>
          <w:tab w:leader="none" w:pos="1397"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addition to the base salary provided for in subparagraph (a), Lawlor shall be eligible to receive such bonus or bonuses as the Board of Directors of USA may, in their discretion, pay or award to Lawlor from time to time based upon his performance and/or the performance of USA. All awards in this regard may be made in cash or in common stock of USA.</w:t>
      </w:r>
    </w:p>
    <w:p>
      <w:pPr>
        <w:spacing w:after="0" w:line="181" w:lineRule="exact"/>
        <w:rPr>
          <w:sz w:val="20"/>
          <w:szCs w:val="20"/>
          <w:color w:val="auto"/>
        </w:rPr>
      </w:pPr>
    </w:p>
    <w:p>
      <w:pPr>
        <w:jc w:val="both"/>
        <w:ind w:left="640" w:right="640"/>
        <w:spacing w:after="0" w:line="289" w:lineRule="auto"/>
        <w:rPr>
          <w:sz w:val="20"/>
          <w:szCs w:val="20"/>
          <w:color w:val="auto"/>
        </w:rPr>
      </w:pPr>
      <w:r>
        <w:rPr>
          <w:rFonts w:ascii="Arial" w:cs="Arial" w:eastAsia="Arial" w:hAnsi="Arial"/>
          <w:sz w:val="16"/>
          <w:szCs w:val="16"/>
          <w:color w:val="auto"/>
        </w:rPr>
        <w:t>During the 2016 fiscal year of the USA, Lawlor shall participate in Lawlor’s existing management incentive plan (“2016 MIP”) as well as in the Fiscal Year 2016 Short-Term Incentive Plan (the “2016 STI Plan”) and in the Fiscal Year 2016 Long-Term Stock Incentive Plan (the “2016 LTI Stock Plan”) established for the executive officers of the Company. The target bonuses and awards for Lawlor under the 2016 STI Plan and the 2016 LTI Stock Plan were approved by the Board of Directors and are referenced in the Form 8-K filed by the Company with the Securities and Exchange Commission on March 14, 2016. The bonus to be earned by Lawlor under the 2016 MIP shall be based upon his annual base salary in effect as of July 1, 2015, and the bonus or award to be earned by Lawlor under the 2016 STI Plan or the 2016 LTI Stock Plan shall be based upon his annual base salary in effect as of January 1, 2016. Notwithstanding the terms and conditions of any such plans, the amount of any bonus or award otherwise earned by Lawlor under the 2016 MIP, the 2016 STI Plan, or the 2016 LTI Stock Plan shall be reduced by an amount equal to fifty percent (50%) of the bonus or award otherwise earned by Lawlor under any such plans.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0" w:name="page121"/>
    <w:bookmarkEnd w:id="120"/>
    <w:p>
      <w:pPr>
        <w:ind w:left="1300" w:hanging="66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Subparagraphs (d) and (e) of Section 2. </w:t>
      </w: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xml:space="preserve"> of the Agreement are hereby deleted.</w:t>
      </w:r>
    </w:p>
    <w:p>
      <w:pPr>
        <w:spacing w:after="0" w:line="225" w:lineRule="exact"/>
        <w:rPr>
          <w:sz w:val="20"/>
          <w:szCs w:val="20"/>
          <w:color w:val="auto"/>
        </w:rPr>
      </w:pPr>
    </w:p>
    <w:p>
      <w:pPr>
        <w:ind w:left="-20" w:firstLine="656"/>
        <w:spacing w:after="0" w:line="277" w:lineRule="auto"/>
        <w:tabs>
          <w:tab w:leader="none" w:pos="83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Except as otherwise specifically set forth in Paragraph 1, the Agreement shall not be amended or modified in any respect whatsoever and shall continue in full force and effect.</w:t>
      </w:r>
    </w:p>
    <w:p>
      <w:pPr>
        <w:spacing w:after="0" w:line="170" w:lineRule="exact"/>
        <w:rPr>
          <w:rFonts w:ascii="Arial" w:cs="Arial" w:eastAsia="Arial" w:hAnsi="Arial"/>
          <w:sz w:val="18"/>
          <w:szCs w:val="18"/>
          <w:color w:val="auto"/>
        </w:rPr>
      </w:pPr>
    </w:p>
    <w:p>
      <w:pPr>
        <w:ind w:left="820" w:hanging="184"/>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Effective Time</w:t>
      </w:r>
      <w:r>
        <w:rPr>
          <w:rFonts w:ascii="Arial" w:cs="Arial" w:eastAsia="Arial" w:hAnsi="Arial"/>
          <w:sz w:val="18"/>
          <w:szCs w:val="18"/>
          <w:color w:val="auto"/>
        </w:rPr>
        <w:t>. The amendments to the Agreement made in Paragraph 1 hereof shall be effective from and after the date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color w:val="auto"/>
        </w:rPr>
        <w:t>IN WITNESS WHEREOF, the parties hereto have executed this Second Amendment as of the day and year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8"/>
          <w:szCs w:val="18"/>
          <w:color w:val="auto"/>
        </w:rPr>
        <w:t>By:</w:t>
        <w:tab/>
        <w:t>/s/ Stephen P. Herbert</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Michael K. Lawlor</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MICHAEL K. LAWLOR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72637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23.1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(No. 333-199009 and 333-198049) on Form S-8 of USA Technologies, Inc. of our report dated September 13, 2016, relating to the consolidated financial statement and schedule of USA Technologies, Inc. which report expresses an unqualified opinion which appears in this Annual Report on Form 10-K for the year ended June 30, 2016.</w:t>
      </w:r>
    </w:p>
    <w:p>
      <w:pPr>
        <w:spacing w:after="0" w:line="16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Our report dated September 13, 2016, on the effectiveness of internal control over financial reporting as of June 30, 2016, expressed an opinion that USA Technologies, Inc. had not maintained effective internal control over financial reporting as of June 30, 2016, based on criteria established in </w:t>
      </w:r>
      <w:r>
        <w:rPr>
          <w:rFonts w:ascii="Arial" w:cs="Arial" w:eastAsia="Arial" w:hAnsi="Arial"/>
          <w:sz w:val="16"/>
          <w:szCs w:val="16"/>
          <w:i w:val="1"/>
          <w:iCs w:val="1"/>
          <w:color w:val="auto"/>
        </w:rPr>
        <w:t>Internal Control</w:t>
      </w:r>
    </w:p>
    <w:p>
      <w:pPr>
        <w:ind w:right="180"/>
        <w:spacing w:after="0" w:line="261" w:lineRule="auto"/>
        <w:rPr>
          <w:sz w:val="20"/>
          <w:szCs w:val="20"/>
          <w:color w:val="auto"/>
        </w:rPr>
      </w:pPr>
      <w:r>
        <w:rPr>
          <w:rFonts w:ascii="Arial" w:cs="Arial" w:eastAsia="Arial" w:hAnsi="Arial"/>
          <w:sz w:val="18"/>
          <w:szCs w:val="18"/>
          <w:i w:val="1"/>
          <w:iCs w:val="1"/>
          <w:color w:val="auto"/>
        </w:rPr>
        <w:t xml:space="preserve">— Integrated Framework </w:t>
      </w:r>
      <w:r>
        <w:rPr>
          <w:rFonts w:ascii="Arial" w:cs="Arial" w:eastAsia="Arial" w:hAnsi="Arial"/>
          <w:sz w:val="18"/>
          <w:szCs w:val="18"/>
          <w:color w:val="auto"/>
        </w:rPr>
        <w:t>issued by the Committee of Sponsoring Organizations of the Treadway Commission in 2013 which appears in this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 for the year ended June 30, 2016.</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25"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8"/>
        <w:spacing w:after="0" w:line="277" w:lineRule="auto"/>
        <w:tabs>
          <w:tab w:leader="none" w:pos="1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4" w:name="page125"/>
    <w:bookmarkEnd w:id="124"/>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September 13, 2016</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1140" w:type="dxa"/>
            <w:vAlign w:val="bottom"/>
          </w:tcPr>
          <w:p>
            <w:pPr>
              <w:spacing w:after="0"/>
              <w:rPr>
                <w:sz w:val="20"/>
                <w:szCs w:val="20"/>
                <w:color w:val="auto"/>
              </w:rPr>
            </w:pPr>
          </w:p>
        </w:tc>
      </w:tr>
      <w:tr>
        <w:trPr>
          <w:trHeight w:val="195"/>
        </w:trPr>
        <w:tc>
          <w:tcPr>
            <w:tcW w:w="686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c>
          <w:tcPr>
            <w:tcW w:w="1140" w:type="dxa"/>
            <w:vAlign w:val="bottom"/>
          </w:tcPr>
          <w:p>
            <w:pPr>
              <w:spacing w:after="0"/>
              <w:rPr>
                <w:sz w:val="16"/>
                <w:szCs w:val="16"/>
                <w:color w:val="auto"/>
              </w:rPr>
            </w:pPr>
          </w:p>
        </w:tc>
      </w:tr>
      <w:tr>
        <w:trPr>
          <w:trHeight w:val="230"/>
        </w:trPr>
        <w:tc>
          <w:tcPr>
            <w:tcW w:w="68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40" w:type="dxa"/>
            <w:vAlign w:val="bottom"/>
          </w:tcPr>
          <w:p>
            <w:pPr>
              <w:spacing w:after="0"/>
              <w:rPr>
                <w:sz w:val="20"/>
                <w:szCs w:val="20"/>
                <w:color w:val="auto"/>
              </w:rPr>
            </w:pPr>
          </w:p>
        </w:tc>
      </w:tr>
      <w:tr>
        <w:trPr>
          <w:trHeight w:val="675"/>
        </w:trPr>
        <w:tc>
          <w:tcPr>
            <w:tcW w:w="6860" w:type="dxa"/>
            <w:vAlign w:val="bottom"/>
            <w:tcBorders>
              <w:bottom w:val="single" w:sz="8" w:color="DCDCDC"/>
            </w:tcBorders>
          </w:tcPr>
          <w:p>
            <w:pPr>
              <w:spacing w:after="0"/>
              <w:rPr>
                <w:sz w:val="24"/>
                <w:szCs w:val="24"/>
                <w:color w:val="auto"/>
              </w:rPr>
            </w:pPr>
          </w:p>
        </w:tc>
        <w:tc>
          <w:tcPr>
            <w:tcW w:w="34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Leland P. Maxwell, certify that:</w:t>
      </w:r>
    </w:p>
    <w:p>
      <w:pPr>
        <w:spacing w:after="0" w:line="225"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8"/>
        <w:spacing w:after="0" w:line="277" w:lineRule="auto"/>
        <w:tabs>
          <w:tab w:leader="none" w:pos="18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6" w:name="page127"/>
    <w:bookmarkEnd w:id="126"/>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September 13, 2016</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c>
          <w:tcPr>
            <w:tcW w:w="1140" w:type="dxa"/>
            <w:vAlign w:val="bottom"/>
          </w:tcPr>
          <w:p>
            <w:pPr>
              <w:spacing w:after="0"/>
              <w:rPr>
                <w:sz w:val="20"/>
                <w:szCs w:val="20"/>
                <w:color w:val="auto"/>
              </w:rPr>
            </w:pPr>
          </w:p>
        </w:tc>
      </w:tr>
      <w:tr>
        <w:trPr>
          <w:trHeight w:val="195"/>
        </w:trPr>
        <w:tc>
          <w:tcPr>
            <w:tcW w:w="686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Leland P. Maxwell,</w:t>
            </w:r>
          </w:p>
        </w:tc>
        <w:tc>
          <w:tcPr>
            <w:tcW w:w="1140" w:type="dxa"/>
            <w:vAlign w:val="bottom"/>
          </w:tcPr>
          <w:p>
            <w:pPr>
              <w:spacing w:after="0"/>
              <w:rPr>
                <w:sz w:val="16"/>
                <w:szCs w:val="16"/>
                <w:color w:val="auto"/>
              </w:rPr>
            </w:pPr>
          </w:p>
        </w:tc>
      </w:tr>
      <w:tr>
        <w:trPr>
          <w:trHeight w:val="230"/>
        </w:trPr>
        <w:tc>
          <w:tcPr>
            <w:tcW w:w="68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Interim Chief Financial Officer</w:t>
            </w:r>
          </w:p>
        </w:tc>
        <w:tc>
          <w:tcPr>
            <w:tcW w:w="1140" w:type="dxa"/>
            <w:vAlign w:val="bottom"/>
          </w:tcPr>
          <w:p>
            <w:pPr>
              <w:spacing w:after="0"/>
              <w:rPr>
                <w:sz w:val="20"/>
                <w:szCs w:val="20"/>
                <w:color w:val="auto"/>
              </w:rPr>
            </w:pPr>
          </w:p>
        </w:tc>
      </w:tr>
      <w:tr>
        <w:trPr>
          <w:trHeight w:val="675"/>
        </w:trPr>
        <w:tc>
          <w:tcPr>
            <w:tcW w:w="6860" w:type="dxa"/>
            <w:vAlign w:val="bottom"/>
            <w:tcBorders>
              <w:bottom w:val="single" w:sz="8" w:color="DCDCDC"/>
            </w:tcBorders>
          </w:tcPr>
          <w:p>
            <w:pPr>
              <w:spacing w:after="0"/>
              <w:rPr>
                <w:sz w:val="24"/>
                <w:szCs w:val="24"/>
                <w:color w:val="auto"/>
              </w:rPr>
            </w:pPr>
          </w:p>
        </w:tc>
        <w:tc>
          <w:tcPr>
            <w:tcW w:w="34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CERTIFICATIONS OF CHIEF EXECUTIVE OFFICER PURSUANT TO SECTION 906 OF THE SARBANES-OXLEY ACT OF 2002 (18 U.S.C. SECTION 1350)</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accompanying Annual Report of USA Technologies, Inc., a Pennsylvania corporation (the “Company”), on Form 10-K for the period ended June 30, 2016 (the “Report”), I, Stephen P. Herbert, Chief Executive Officer of the Company, hereby certify, pursuant to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September 13, 2016</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1140" w:type="dxa"/>
            <w:vAlign w:val="bottom"/>
          </w:tcPr>
          <w:p>
            <w:pPr>
              <w:spacing w:after="0"/>
              <w:rPr>
                <w:sz w:val="20"/>
                <w:szCs w:val="20"/>
                <w:color w:val="auto"/>
              </w:rPr>
            </w:pPr>
          </w:p>
        </w:tc>
      </w:tr>
      <w:tr>
        <w:trPr>
          <w:trHeight w:val="195"/>
        </w:trPr>
        <w:tc>
          <w:tcPr>
            <w:tcW w:w="686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c>
          <w:tcPr>
            <w:tcW w:w="1140" w:type="dxa"/>
            <w:vAlign w:val="bottom"/>
          </w:tcPr>
          <w:p>
            <w:pPr>
              <w:spacing w:after="0"/>
              <w:rPr>
                <w:sz w:val="16"/>
                <w:szCs w:val="16"/>
                <w:color w:val="auto"/>
              </w:rPr>
            </w:pPr>
          </w:p>
        </w:tc>
      </w:tr>
      <w:tr>
        <w:trPr>
          <w:trHeight w:val="230"/>
        </w:trPr>
        <w:tc>
          <w:tcPr>
            <w:tcW w:w="68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40" w:type="dxa"/>
            <w:vAlign w:val="bottom"/>
          </w:tcPr>
          <w:p>
            <w:pPr>
              <w:spacing w:after="0"/>
              <w:rPr>
                <w:sz w:val="20"/>
                <w:szCs w:val="20"/>
                <w:color w:val="auto"/>
              </w:rPr>
            </w:pPr>
          </w:p>
        </w:tc>
      </w:tr>
      <w:tr>
        <w:trPr>
          <w:trHeight w:val="689"/>
        </w:trPr>
        <w:tc>
          <w:tcPr>
            <w:tcW w:w="6860" w:type="dxa"/>
            <w:vAlign w:val="bottom"/>
            <w:tcBorders>
              <w:bottom w:val="single" w:sz="8" w:color="DCDCDC"/>
            </w:tcBorders>
          </w:tcPr>
          <w:p>
            <w:pPr>
              <w:spacing w:after="0"/>
              <w:rPr>
                <w:sz w:val="24"/>
                <w:szCs w:val="24"/>
                <w:color w:val="auto"/>
              </w:rPr>
            </w:pPr>
          </w:p>
        </w:tc>
        <w:tc>
          <w:tcPr>
            <w:tcW w:w="34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499"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CERTIFICATIONS OF CHIEF FINANCIAL OFFICER PURSUANT TO SECTION 906 OF THE SARBANES OXLEY ACT OF 2002 (18 U.S.C. SECTION 1350)</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accompanying Annual Report of USA Technologies, Inc., a Pennsylvania corporation (the “Company”), on Form 10-K for the period ended June 30, 2016 (the “Report”), I, Leland P. Maxwell , Interim Chief Financial Officer of the Company, hereby certify, pursuant to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September 13, 2016</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Leland P. Maxwell</w:t>
            </w:r>
          </w:p>
        </w:tc>
        <w:tc>
          <w:tcPr>
            <w:tcW w:w="1140" w:type="dxa"/>
            <w:vAlign w:val="bottom"/>
          </w:tcPr>
          <w:p>
            <w:pPr>
              <w:spacing w:after="0"/>
              <w:rPr>
                <w:sz w:val="20"/>
                <w:szCs w:val="20"/>
                <w:color w:val="auto"/>
              </w:rPr>
            </w:pPr>
          </w:p>
        </w:tc>
      </w:tr>
      <w:tr>
        <w:trPr>
          <w:trHeight w:val="195"/>
        </w:trPr>
        <w:tc>
          <w:tcPr>
            <w:tcW w:w="686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Leland P. Maxwell,</w:t>
            </w:r>
          </w:p>
        </w:tc>
        <w:tc>
          <w:tcPr>
            <w:tcW w:w="1140" w:type="dxa"/>
            <w:vAlign w:val="bottom"/>
          </w:tcPr>
          <w:p>
            <w:pPr>
              <w:spacing w:after="0"/>
              <w:rPr>
                <w:sz w:val="16"/>
                <w:szCs w:val="16"/>
                <w:color w:val="auto"/>
              </w:rPr>
            </w:pPr>
          </w:p>
        </w:tc>
      </w:tr>
      <w:tr>
        <w:trPr>
          <w:trHeight w:val="230"/>
        </w:trPr>
        <w:tc>
          <w:tcPr>
            <w:tcW w:w="68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Interim Chief Financial Officer</w:t>
            </w:r>
          </w:p>
        </w:tc>
        <w:tc>
          <w:tcPr>
            <w:tcW w:w="1140" w:type="dxa"/>
            <w:vAlign w:val="bottom"/>
          </w:tcPr>
          <w:p>
            <w:pPr>
              <w:spacing w:after="0"/>
              <w:rPr>
                <w:sz w:val="20"/>
                <w:szCs w:val="20"/>
                <w:color w:val="auto"/>
              </w:rPr>
            </w:pPr>
          </w:p>
        </w:tc>
      </w:tr>
      <w:tr>
        <w:trPr>
          <w:trHeight w:val="689"/>
        </w:trPr>
        <w:tc>
          <w:tcPr>
            <w:tcW w:w="6860" w:type="dxa"/>
            <w:vAlign w:val="bottom"/>
            <w:tcBorders>
              <w:bottom w:val="single" w:sz="8" w:color="DCDCDC"/>
            </w:tcBorders>
          </w:tcPr>
          <w:p>
            <w:pPr>
              <w:spacing w:after="0"/>
              <w:rPr>
                <w:sz w:val="24"/>
                <w:szCs w:val="24"/>
                <w:color w:val="auto"/>
              </w:rPr>
            </w:pPr>
          </w:p>
        </w:tc>
        <w:tc>
          <w:tcPr>
            <w:tcW w:w="34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4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606"/>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7"/>
    </w:lvl>
    <w:lvl w:ilvl="1">
      <w:lvlJc w:val="left"/>
      <w:lvlText w:val="·"/>
      <w:numFmt w:val="bullet"/>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amp;"/>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lvl w:ilvl="1">
      <w:lvlJc w:val="left"/>
      <w:lvlText w:val="●"/>
      <w:numFmt w:val="bullet"/>
      <w:start w:val="1"/>
    </w:lvl>
  </w:abstractNum>
  <w:abstractNum w:abstractNumId="34">
    <w:nsid w:val="7644A45C"/>
    <w:multiLevelType w:val="hybridMultilevel"/>
    <w:lvl w:ilvl="0">
      <w:lvlJc w:val="left"/>
      <w:lvlText w:val="(%1)"/>
      <w:numFmt w:val="decimal"/>
      <w:start w:val="1"/>
    </w:lvl>
    <w:lvl w:ilvl="1">
      <w:lvlJc w:val="left"/>
      <w:lvlText w:val="●"/>
      <w:numFmt w:val="bullet"/>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3"/>
    </w:lvl>
    <w:lvl w:ilvl="1">
      <w:lvlJc w:val="left"/>
      <w:lvlText w:val="%2."/>
      <w:numFmt w:val="lowerLetter"/>
      <w:start w:val="1"/>
    </w:lvl>
  </w:abstractNum>
  <w:abstractNum w:abstractNumId="39">
    <w:nsid w:val="3DC240FB"/>
    <w:multiLevelType w:val="hybridMultilevel"/>
    <w:lvl w:ilvl="0">
      <w:lvlJc w:val="left"/>
      <w:lvlText w:val="(%1)"/>
      <w:numFmt w:val="lowerRoman"/>
      <w:start w:val="1"/>
    </w:lvl>
    <w:lvl w:ilvl="1">
      <w:lvlJc w:val="left"/>
      <w:lvlText w:val="%2."/>
      <w:numFmt w:val="lowerLetter"/>
      <w:start w:val="4"/>
    </w:lvl>
  </w:abstractNum>
  <w:abstractNum w:abstractNumId="40">
    <w:nsid w:val="1BA026FA"/>
    <w:multiLevelType w:val="hybridMultilevel"/>
    <w:lvl w:ilvl="0">
      <w:lvlJc w:val="left"/>
      <w:lvlText w:val="%1"/>
      <w:numFmt w:val="lowerLetter"/>
      <w:start w:val="1"/>
    </w:lvl>
    <w:lvl w:ilvl="1">
      <w:lvlJc w:val="left"/>
      <w:lvlText w:val="(%2)"/>
      <w:numFmt w:val="lowerRoman"/>
      <w:start w:val="2"/>
    </w:lvl>
  </w:abstractNum>
  <w:abstractNum w:abstractNumId="41">
    <w:nsid w:val="79A1DEAA"/>
    <w:multiLevelType w:val="hybridMultilevel"/>
    <w:lvl w:ilvl="0">
      <w:lvlJc w:val="left"/>
      <w:lvlText w:val="(%1)"/>
      <w:numFmt w:val="lowerLetter"/>
      <w:start w:val="1"/>
    </w:lvl>
    <w:lvl w:ilvl="1">
      <w:lvlJc w:val="left"/>
      <w:lvlText w:val="%2"/>
      <w:numFmt w:val="lowerRoman"/>
      <w:start w:val="1"/>
    </w:lvl>
  </w:abstractNum>
  <w:abstractNum w:abstractNumId="42">
    <w:nsid w:val="75C6C33A"/>
    <w:multiLevelType w:val="hybridMultilevel"/>
    <w:lvl w:ilvl="0">
      <w:lvlJc w:val="left"/>
      <w:lvlText w:val="(%1)"/>
      <w:numFmt w:val="lowerLetter"/>
      <w:start w:val="2"/>
    </w:lvl>
  </w:abstractNum>
  <w:abstractNum w:abstractNumId="43">
    <w:nsid w:val="12E685FB"/>
    <w:multiLevelType w:val="hybridMultilevel"/>
    <w:lvl w:ilvl="0">
      <w:lvlJc w:val="left"/>
      <w:lvlText w:val="%1."/>
      <w:numFmt w:val="decimal"/>
      <w:start w:val="7"/>
    </w:lvl>
  </w:abstractNum>
  <w:abstractNum w:abstractNumId="44">
    <w:nsid w:val="70C6A529"/>
    <w:multiLevelType w:val="hybridMultilevel"/>
    <w:lvl w:ilvl="0">
      <w:lvlJc w:val="left"/>
      <w:lvlText w:val="%1."/>
      <w:numFmt w:val="decimal"/>
      <w:start w:val="12"/>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upperLetter"/>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upperLetter"/>
      <w:start w:val="2"/>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upperLetter"/>
      <w:start w:val="3"/>
    </w:lvl>
  </w:abstractNum>
  <w:abstractNum w:abstractNumId="51">
    <w:nsid w:val="39386575"/>
    <w:multiLevelType w:val="hybridMultilevel"/>
    <w:lvl w:ilvl="0">
      <w:lvlJc w:val="left"/>
      <w:lvlText w:val="(%1)"/>
      <w:numFmt w:val="lowerLetter"/>
      <w:start w:val="2"/>
    </w:lvl>
  </w:abstractNum>
  <w:abstractNum w:abstractNumId="52">
    <w:nsid w:val="1CF10FD8"/>
    <w:multiLevelType w:val="hybridMultilevel"/>
    <w:lvl w:ilvl="0">
      <w:lvlJc w:val="left"/>
      <w:lvlText w:val="%1."/>
      <w:numFmt w:val="upperLetter"/>
      <w:start w:val="4"/>
    </w:lvl>
  </w:abstractNum>
  <w:abstractNum w:abstractNumId="53">
    <w:nsid w:val="180115BE"/>
    <w:multiLevelType w:val="hybridMultilevel"/>
    <w:lvl w:ilvl="0">
      <w:lvlJc w:val="left"/>
      <w:lvlText w:val="%1."/>
      <w:numFmt w:val="decimal"/>
      <w:start w:val="2"/>
    </w:lvl>
  </w:abstractNum>
  <w:abstractNum w:abstractNumId="54">
    <w:nsid w:val="235BA861"/>
    <w:multiLevelType w:val="hybridMultilevel"/>
    <w:lvl w:ilvl="0">
      <w:lvlJc w:val="left"/>
      <w:lvlText w:val="\emdash "/>
      <w:numFmt w:val="bullet"/>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5"/>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5"/>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2019-12-29T09:25:41Z</dcterms:created>
  <dcterms:modified xsi:type="dcterms:W3CDTF">2019-12-29T09:25:41Z</dcterms:modified>
</cp:coreProperties>
</file>