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8"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27"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12"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43180</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1"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3"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20" w:type="dxa"/>
            <w:vAlign w:val="bottom"/>
            <w:gridSpan w:val="5"/>
          </w:tcPr>
          <w:p>
            <w:pPr>
              <w:jc w:val="center"/>
              <w:ind w:left="410"/>
              <w:spacing w:after="0"/>
              <w:rPr>
                <w:sz w:val="20"/>
                <w:szCs w:val="20"/>
                <w:color w:val="auto"/>
              </w:rPr>
            </w:pPr>
            <w:r>
              <w:rPr>
                <w:rFonts w:ascii="Arial" w:cs="Arial" w:eastAsia="Arial" w:hAnsi="Arial"/>
                <w:sz w:val="18"/>
                <w:szCs w:val="18"/>
                <w:b w:val="1"/>
                <w:bCs w:val="1"/>
                <w:color w:val="auto"/>
                <w:w w:val="89"/>
              </w:rPr>
              <w:t>23-2679963</w:t>
            </w:r>
          </w:p>
        </w:tc>
      </w:tr>
      <w:tr>
        <w:trPr>
          <w:trHeight w:val="20"/>
        </w:trPr>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6460" w:type="dxa"/>
            <w:vAlign w:val="bottom"/>
            <w:gridSpan w:val="11"/>
          </w:tcPr>
          <w:p>
            <w:pPr>
              <w:jc w:val="center"/>
              <w:ind w:right="15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120" w:type="dxa"/>
            <w:vAlign w:val="bottom"/>
            <w:gridSpan w:val="5"/>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310"/>
        </w:trPr>
        <w:tc>
          <w:tcPr>
            <w:tcW w:w="1500" w:type="dxa"/>
            <w:vAlign w:val="bottom"/>
          </w:tcPr>
          <w:p>
            <w:pPr>
              <w:spacing w:after="0"/>
              <w:rPr>
                <w:sz w:val="20"/>
                <w:szCs w:val="20"/>
                <w:color w:val="auto"/>
              </w:rPr>
            </w:pPr>
            <w:r>
              <w:rPr>
                <w:rFonts w:ascii="Arial" w:cs="Arial" w:eastAsia="Arial" w:hAnsi="Arial"/>
                <w:sz w:val="18"/>
                <w:szCs w:val="18"/>
                <w:b w:val="1"/>
                <w:bCs w:val="1"/>
                <w:color w:val="auto"/>
                <w:w w:val="90"/>
              </w:rPr>
              <w:t>100 Deerfield Lane,</w:t>
            </w:r>
          </w:p>
        </w:tc>
        <w:tc>
          <w:tcPr>
            <w:tcW w:w="3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Suite 300,</w:t>
            </w: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rPr>
              <w:t>Malvern,</w:t>
            </w:r>
          </w:p>
        </w:tc>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rPr>
              <w:t>Pennsylvania</w:t>
            </w:r>
          </w:p>
        </w:tc>
        <w:tc>
          <w:tcPr>
            <w:tcW w:w="2240" w:type="dxa"/>
            <w:vAlign w:val="bottom"/>
            <w:gridSpan w:val="4"/>
          </w:tcPr>
          <w:p>
            <w:pPr>
              <w:jc w:val="center"/>
              <w:ind w:left="1290"/>
              <w:spacing w:after="0"/>
              <w:rPr>
                <w:sz w:val="20"/>
                <w:szCs w:val="20"/>
                <w:color w:val="auto"/>
              </w:rPr>
            </w:pPr>
            <w:r>
              <w:rPr>
                <w:rFonts w:ascii="Arial" w:cs="Arial" w:eastAsia="Arial" w:hAnsi="Arial"/>
                <w:sz w:val="18"/>
                <w:szCs w:val="18"/>
                <w:b w:val="1"/>
                <w:bCs w:val="1"/>
                <w:color w:val="auto"/>
                <w:w w:val="91"/>
              </w:rPr>
              <w:t>19355</w:t>
            </w:r>
          </w:p>
        </w:tc>
        <w:tc>
          <w:tcPr>
            <w:tcW w:w="8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50"/>
        </w:trPr>
        <w:tc>
          <w:tcPr>
            <w:tcW w:w="3940" w:type="dxa"/>
            <w:vAlign w:val="bottom"/>
            <w:gridSpan w:val="8"/>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288"/>
        </w:trPr>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(610) 989-0340</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6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w w:val="98"/>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1"/>
              </w:rPr>
              <w:t>Title of Each Class</w:t>
            </w:r>
          </w:p>
        </w:tc>
        <w:tc>
          <w:tcPr>
            <w:tcW w:w="26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2"/>
              </w:rPr>
              <w:t>Trading Symbol</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06"/>
        </w:trPr>
        <w:tc>
          <w:tcPr>
            <w:tcW w:w="4180" w:type="dxa"/>
            <w:vAlign w:val="bottom"/>
          </w:tcPr>
          <w:p>
            <w:pPr>
              <w:jc w:val="center"/>
              <w:ind w:left="319"/>
              <w:spacing w:after="0"/>
              <w:rPr>
                <w:sz w:val="20"/>
                <w:szCs w:val="20"/>
                <w:color w:val="auto"/>
              </w:rPr>
            </w:pPr>
            <w:r>
              <w:rPr>
                <w:rFonts w:ascii="Arial" w:cs="Arial" w:eastAsia="Arial" w:hAnsi="Arial"/>
                <w:sz w:val="16"/>
                <w:szCs w:val="16"/>
                <w:color w:val="auto"/>
                <w:w w:val="92"/>
              </w:rPr>
              <w:t>Common Stock, no par value</w:t>
            </w:r>
          </w:p>
        </w:tc>
        <w:tc>
          <w:tcPr>
            <w:tcW w:w="2640" w:type="dxa"/>
            <w:vAlign w:val="bottom"/>
          </w:tcPr>
          <w:p>
            <w:pPr>
              <w:jc w:val="center"/>
              <w:ind w:left="239"/>
              <w:spacing w:after="0"/>
              <w:rPr>
                <w:sz w:val="20"/>
                <w:szCs w:val="20"/>
                <w:color w:val="auto"/>
              </w:rPr>
            </w:pPr>
            <w:r>
              <w:rPr>
                <w:rFonts w:ascii="Arial" w:cs="Arial" w:eastAsia="Arial" w:hAnsi="Arial"/>
                <w:sz w:val="16"/>
                <w:szCs w:val="16"/>
                <w:color w:val="auto"/>
                <w:w w:val="97"/>
              </w:rPr>
              <w:t>CTLP</w:t>
            </w:r>
          </w:p>
        </w:tc>
        <w:tc>
          <w:tcPr>
            <w:tcW w:w="442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9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6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2021 there were 70,968,164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126365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640" w:type="dxa"/>
            <w:vAlign w:val="bottom"/>
            <w:gridSpan w:val="21"/>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0" w:type="dxa"/>
            <w:vAlign w:val="bottom"/>
          </w:tcPr>
          <w:p>
            <w:pPr>
              <w:spacing w:after="0"/>
              <w:rPr>
                <w:sz w:val="17"/>
                <w:szCs w:val="17"/>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4"/>
          </w:tcPr>
          <w:p>
            <w:pPr>
              <w:jc w:val="center"/>
              <w:ind w:right="780"/>
              <w:spacing w:after="0"/>
              <w:rPr>
                <w:sz w:val="20"/>
                <w:szCs w:val="20"/>
                <w:color w:val="auto"/>
              </w:rPr>
            </w:pPr>
            <w:r>
              <w:rPr>
                <w:rFonts w:ascii="Arial" w:cs="Arial" w:eastAsia="Arial" w:hAnsi="Arial"/>
                <w:sz w:val="18"/>
                <w:szCs w:val="18"/>
                <w:b w:val="1"/>
                <w:bCs w:val="1"/>
                <w:color w:val="auto"/>
                <w:w w:val="90"/>
              </w:rPr>
              <w:t>Cantaloupe, Inc.</w:t>
            </w:r>
          </w:p>
        </w:tc>
        <w:tc>
          <w:tcPr>
            <w:tcW w:w="36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TABLE OF CONTENTS</w:t>
            </w:r>
          </w:p>
        </w:tc>
        <w:tc>
          <w:tcPr>
            <w:tcW w:w="360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Financial Statements</w:t>
              </w:r>
            </w:hyperlink>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(unaudited)</w:t>
              </w:r>
            </w:hyperlink>
          </w:p>
        </w:tc>
        <w:tc>
          <w:tcPr>
            <w:tcW w:w="36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36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Shareholders’ Equity (unaudited)</w:t>
              </w:r>
            </w:hyperlink>
          </w:p>
        </w:tc>
        <w:tc>
          <w:tcPr>
            <w:tcW w:w="36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Borders>
              <w:top w:val="single" w:sz="8" w:color="0000FF"/>
            </w:tcBorders>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(unaudited)</w:t>
              </w:r>
            </w:hyperlink>
          </w:p>
        </w:tc>
        <w:tc>
          <w:tcPr>
            <w:tcW w:w="1200" w:type="dxa"/>
            <w:vAlign w:val="bottom"/>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Consolidated Financial Statements (unaudited)</w:t>
              </w:r>
            </w:hyperlink>
          </w:p>
        </w:tc>
        <w:tc>
          <w:tcPr>
            <w:tcW w:w="560" w:type="dxa"/>
            <w:vAlign w:val="bottom"/>
            <w:tcBorders>
              <w:top w:val="single" w:sz="8" w:color="0000FF"/>
            </w:tcBorders>
            <w:gridSpan w:val="3"/>
          </w:tcPr>
          <w:p>
            <w:pPr>
              <w:spacing w:after="0"/>
              <w:rPr>
                <w:sz w:val="24"/>
                <w:szCs w:val="24"/>
                <w:color w:val="auto"/>
              </w:rPr>
            </w:pPr>
          </w:p>
        </w:tc>
        <w:tc>
          <w:tcPr>
            <w:tcW w:w="1880" w:type="dxa"/>
            <w:vAlign w:val="bottom"/>
            <w:gridSpan w:val="2"/>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466"/>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6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22</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36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36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 - Other Information</w:t>
              </w:r>
            </w:hyperlink>
          </w:p>
        </w:tc>
        <w:tc>
          <w:tcPr>
            <w:tcW w:w="36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36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Risk Factors</w:t>
              </w:r>
            </w:hyperlink>
          </w:p>
        </w:tc>
        <w:tc>
          <w:tcPr>
            <w:tcW w:w="36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Unregistered Sales of Equity Securities and Use of Proceeds</w:t>
              </w:r>
            </w:hyperlink>
          </w:p>
        </w:tc>
        <w:tc>
          <w:tcPr>
            <w:tcW w:w="36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3.</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Defaults Upon Senior Securities</w:t>
              </w:r>
            </w:hyperlink>
          </w:p>
        </w:tc>
        <w:tc>
          <w:tcPr>
            <w:tcW w:w="36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4.</w:t>
              </w:r>
            </w:hyperlink>
          </w:p>
        </w:tc>
        <w:tc>
          <w:tcPr>
            <w:tcW w:w="600" w:type="dxa"/>
            <w:vAlign w:val="bottom"/>
            <w:gridSpan w:val="2"/>
          </w:tcPr>
          <w:p>
            <w:pPr>
              <w:spacing w:after="0"/>
              <w:rPr>
                <w:sz w:val="24"/>
                <w:szCs w:val="24"/>
                <w:color w:val="auto"/>
              </w:rPr>
            </w:pPr>
          </w:p>
        </w:tc>
        <w:tc>
          <w:tcPr>
            <w:tcW w:w="6500" w:type="dxa"/>
            <w:vAlign w:val="bottom"/>
            <w:gridSpan w:val="1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36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5.</w:t>
              </w:r>
            </w:hyperlink>
          </w:p>
        </w:tc>
        <w:tc>
          <w:tcPr>
            <w:tcW w:w="600" w:type="dxa"/>
            <w:vAlign w:val="bottom"/>
            <w:gridSpan w:val="2"/>
          </w:tcPr>
          <w:p>
            <w:pPr>
              <w:spacing w:after="0"/>
              <w:rPr>
                <w:sz w:val="24"/>
                <w:szCs w:val="24"/>
                <w:color w:val="auto"/>
              </w:rPr>
            </w:pPr>
          </w:p>
        </w:tc>
        <w:tc>
          <w:tcPr>
            <w:tcW w:w="1800" w:type="dxa"/>
            <w:vAlign w:val="bottom"/>
            <w:tcBorders>
              <w:top w:val="single" w:sz="8" w:color="0000FF"/>
            </w:tcBorders>
            <w:gridSpan w:val="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Other Information</w:t>
              </w:r>
            </w:hyperlink>
          </w:p>
        </w:tc>
        <w:tc>
          <w:tcPr>
            <w:tcW w:w="4700" w:type="dxa"/>
            <w:vAlign w:val="bottom"/>
            <w:gridSpan w:val="9"/>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600" w:type="dxa"/>
            <w:vAlign w:val="bottom"/>
            <w:gridSpan w:val="2"/>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5140" w:type="dxa"/>
            <w:vAlign w:val="bottom"/>
            <w:gridSpan w:val="10"/>
          </w:tcPr>
          <w:p>
            <w:pPr>
              <w:spacing w:after="0"/>
              <w:rPr>
                <w:sz w:val="24"/>
                <w:szCs w:val="24"/>
                <w:color w:val="auto"/>
              </w:rPr>
            </w:pPr>
          </w:p>
        </w:tc>
        <w:tc>
          <w:tcPr>
            <w:tcW w:w="36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36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r>
      <w:tr>
        <w:trPr>
          <w:trHeight w:val="1229"/>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2021</w:t>
            </w:r>
          </w:p>
        </w:tc>
        <w:tc>
          <w:tcPr>
            <w:tcW w:w="260" w:type="dxa"/>
            <w:vAlign w:val="bottom"/>
          </w:tcPr>
          <w:p>
            <w:pPr>
              <w:spacing w:after="0"/>
              <w:rPr>
                <w:sz w:val="14"/>
                <w:szCs w:val="14"/>
                <w:color w:val="auto"/>
              </w:rPr>
            </w:pPr>
          </w:p>
        </w:tc>
        <w:tc>
          <w:tcPr>
            <w:tcW w:w="106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4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6"/>
        </w:trPr>
        <w:tc>
          <w:tcPr>
            <w:tcW w:w="8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88,136</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27,470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r>
      <w:tr>
        <w:trPr>
          <w:trHeight w:val="237"/>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126,556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131,279</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due after one year,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11,632</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Intangibles,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19,992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63,945</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2,205</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106,393</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8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236,941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237,672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36,775</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26,460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obligations under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65,673</w:t>
            </w: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13,644</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3,645</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17,468</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83,141</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8480" w:type="dxa"/>
            <w:vAlign w:val="bottom"/>
            <w:gridSpan w:val="2"/>
          </w:tcPr>
          <w:p>
            <w:pPr>
              <w:ind w:left="140"/>
              <w:spacing w:after="0"/>
              <w:rPr>
                <w:sz w:val="20"/>
                <w:szCs w:val="20"/>
                <w:color w:val="auto"/>
              </w:rPr>
            </w:pPr>
            <w:r>
              <w:rPr>
                <w:rFonts w:ascii="Arial" w:cs="Arial" w:eastAsia="Arial" w:hAnsi="Arial"/>
                <w:sz w:val="18"/>
                <w:szCs w:val="18"/>
                <w:color w:val="auto"/>
                <w:w w:val="92"/>
              </w:rPr>
              <w:t>Series A convertible preferred stock, 900,000 shares authorized, 445,063 issued and outstanding, with liquidation</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preferences of $21,781 and $21,447 at September 30, 2021 and June 30, 2021, respectively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Preferred stock, no par value, 1,800,000 shares authorized</w:t>
            </w: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Common stock, no par value, 640,000,000 shares authorized, 70,959,182 and 71,258,047 shares issued and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outstanding at September 30, 2021 and June 30, 2021,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464,537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462,775</w:t>
            </w:r>
          </w:p>
        </w:tc>
      </w:tr>
      <w:tr>
        <w:trPr>
          <w:trHeight w:val="243"/>
        </w:trPr>
        <w:tc>
          <w:tcPr>
            <w:tcW w:w="848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(312,673)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(311,382)</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151,393</w:t>
            </w:r>
          </w:p>
        </w:tc>
      </w:tr>
      <w:tr>
        <w:trPr>
          <w:trHeight w:val="236"/>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236,941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237,672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5" w:right="339" w:bottom="339"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339"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40,625</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33,108</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5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45,780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36,877</w:t>
            </w:r>
          </w:p>
        </w:tc>
        <w:tc>
          <w:tcPr>
            <w:tcW w:w="0" w:type="dxa"/>
            <w:vAlign w:val="bottom"/>
          </w:tcPr>
          <w:p>
            <w:pPr>
              <w:spacing w:after="0"/>
              <w:rPr>
                <w:sz w:val="1"/>
                <w:szCs w:val="1"/>
                <w:color w:val="auto"/>
              </w:rPr>
            </w:pPr>
          </w:p>
        </w:tc>
      </w:tr>
      <w:tr>
        <w:trPr>
          <w:trHeight w:val="149"/>
        </w:trPr>
        <w:tc>
          <w:tcPr>
            <w:tcW w:w="8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of sales: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subscription and transaction fees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26,024</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5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costs of sales</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22,637</w:t>
            </w:r>
          </w:p>
        </w:tc>
        <w:tc>
          <w:tcPr>
            <w:tcW w:w="0" w:type="dxa"/>
            <w:vAlign w:val="bottom"/>
          </w:tcPr>
          <w:p>
            <w:pPr>
              <w:spacing w:after="0"/>
              <w:rPr>
                <w:sz w:val="1"/>
                <w:szCs w:val="1"/>
                <w:color w:val="auto"/>
              </w:rPr>
            </w:pPr>
          </w:p>
        </w:tc>
      </w:tr>
      <w:tr>
        <w:trPr>
          <w:trHeight w:val="148"/>
        </w:trPr>
        <w:tc>
          <w:tcPr>
            <w:tcW w:w="8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2,339</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 and product development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7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7,264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5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16,014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17,878</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129"/>
        </w:trPr>
        <w:tc>
          <w:tcPr>
            <w:tcW w:w="8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28"/>
        </w:trPr>
        <w:tc>
          <w:tcPr>
            <w:tcW w:w="8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7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Preferred dividends</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applicable to common shares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48"/>
        </w:trPr>
        <w:tc>
          <w:tcPr>
            <w:tcW w:w="8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w w:val="98"/>
              </w:rPr>
              <w:t>Weighted average number of common shares outstanding used to compute net loss per share applicable to</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common shares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71,175,927</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64,859,002</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Three Month Period Ended September 30, 2021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6"/>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5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3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71,258,047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151,393</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w w:val="93"/>
              </w:rPr>
              <w:t>Stock-based compensation and exercises (net)</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20,958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of common stock</w:t>
            </w:r>
          </w:p>
        </w:tc>
        <w:tc>
          <w:tcPr>
            <w:tcW w:w="3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(319,823)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2020" w:type="dxa"/>
            <w:vAlign w:val="bottom"/>
            <w:tcBorders>
              <w:bottom w:val="single" w:sz="8" w:color="CCEEFF"/>
            </w:tcBorders>
            <w:gridSpan w:val="2"/>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70,959,182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464,537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(312,673)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560" w:type="dxa"/>
            <w:vAlign w:val="bottom"/>
          </w:tcPr>
          <w:p>
            <w:pPr>
              <w:spacing w:after="0"/>
              <w:rPr>
                <w:sz w:val="24"/>
                <w:szCs w:val="24"/>
                <w:color w:val="auto"/>
              </w:rPr>
            </w:pPr>
          </w:p>
        </w:tc>
        <w:tc>
          <w:tcPr>
            <w:tcW w:w="4880" w:type="dxa"/>
            <w:vAlign w:val="bottom"/>
            <w:gridSpan w:val="8"/>
          </w:tcPr>
          <w:p>
            <w:pPr>
              <w:ind w:left="240"/>
              <w:spacing w:after="0"/>
              <w:rPr>
                <w:sz w:val="20"/>
                <w:szCs w:val="20"/>
                <w:color w:val="auto"/>
              </w:rPr>
            </w:pPr>
            <w:r>
              <w:rPr>
                <w:rFonts w:ascii="Arial" w:cs="Arial" w:eastAsia="Arial" w:hAnsi="Arial"/>
                <w:sz w:val="18"/>
                <w:szCs w:val="18"/>
                <w:b w:val="1"/>
                <w:bCs w:val="1"/>
                <w:color w:val="auto"/>
              </w:rPr>
              <w:t>Three Month Period Ended September 30, 2020</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3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6"/>
          </w:tcPr>
          <w:p>
            <w:pPr>
              <w:ind w:left="9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5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3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65,196,882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98,215</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Impact of adoption of ASC 326</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Stock-based compensation and exercises (net)</w:t>
            </w:r>
          </w:p>
        </w:tc>
        <w:tc>
          <w:tcPr>
            <w:tcW w:w="3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56,083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65,252,965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402,742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(309,290)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4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880"/>
        </w:trPr>
        <w:tc>
          <w:tcPr>
            <w:tcW w:w="1280" w:type="dxa"/>
            <w:vAlign w:val="bottom"/>
            <w:tcBorders>
              <w:top w:val="single" w:sz="8" w:color="0000FF"/>
            </w:tcBorders>
          </w:tcPr>
          <w:p>
            <w:pPr>
              <w:spacing w:after="0"/>
              <w:rPr>
                <w:sz w:val="24"/>
                <w:szCs w:val="24"/>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2"/>
              </w:rPr>
              <w:t>Cantaloupe,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28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8440" w:type="dxa"/>
            <w:vAlign w:val="bottom"/>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440" w:type="dxa"/>
            <w:vAlign w:val="bottom"/>
            <w:gridSpan w:val="3"/>
          </w:tcPr>
          <w:p>
            <w:pPr>
              <w:ind w:left="20"/>
              <w:spacing w:after="0"/>
              <w:rPr>
                <w:sz w:val="20"/>
                <w:szCs w:val="20"/>
                <w:color w:val="auto"/>
              </w:rPr>
            </w:pPr>
            <w:r>
              <w:rPr>
                <w:rFonts w:ascii="Arial" w:cs="Arial" w:eastAsia="Arial" w:hAnsi="Arial"/>
                <w:sz w:val="18"/>
                <w:szCs w:val="18"/>
                <w:b w:val="1"/>
                <w:bCs w:val="1"/>
                <w:color w:val="auto"/>
              </w:rPr>
              <w:t>($ in thousands)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7"/>
        </w:trPr>
        <w:tc>
          <w:tcPr>
            <w:tcW w:w="8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(6,613)</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1,509</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 and discounts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Provision for expected losses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Provision for inventory reserve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 included in operating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Depreciation included in costs of sales for rental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3,985</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8440" w:type="dxa"/>
            <w:vAlign w:val="bottom"/>
            <w:gridSpan w:val="3"/>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5,178</w:t>
            </w:r>
          </w:p>
        </w:tc>
      </w:tr>
      <w:tr>
        <w:trPr>
          <w:trHeight w:val="196"/>
        </w:trPr>
        <w:tc>
          <w:tcPr>
            <w:tcW w:w="12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Cash paid for acquisition</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43"/>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196"/>
        </w:trPr>
        <w:tc>
          <w:tcPr>
            <w:tcW w:w="12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Proceeds from long-term debt issuance by JPMorgan Chase Bank, N.A., net of debt issuance costs</w:t>
            </w:r>
          </w:p>
        </w:tc>
        <w:tc>
          <w:tcPr>
            <w:tcW w:w="3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14,550</w:t>
            </w: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(15,101)</w:t>
            </w:r>
          </w:p>
        </w:tc>
      </w:tr>
      <w:tr>
        <w:trPr>
          <w:trHeight w:val="270"/>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Proceeds from exercise of common stock options</w:t>
            </w: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8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Payment of Antara prepayment penalty and commitment termination fee</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7"/>
        </w:trPr>
        <w:tc>
          <w:tcPr>
            <w:tcW w:w="8440" w:type="dxa"/>
            <w:vAlign w:val="bottom"/>
            <w:gridSpan w:val="3"/>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sectPr>
          <w:pgSz w:w="11900" w:h="16838" w:orient="portrait"/>
          <w:cols w:equalWidth="0" w:num="1">
            <w:col w:w="11200"/>
          </w:cols>
          <w:pgMar w:left="320" w:top="108" w:right="379" w:bottom="1440" w:gutter="0" w:footer="0" w:header="0"/>
        </w:sectPr>
      </w:pPr>
    </w:p>
    <w:p>
      <w:pPr>
        <w:ind w:left="20"/>
        <w:spacing w:after="0"/>
        <w:rPr>
          <w:sz w:val="20"/>
          <w:szCs w:val="20"/>
          <w:color w:val="auto"/>
        </w:rPr>
      </w:pPr>
      <w:r>
        <w:rPr>
          <w:rFonts w:ascii="Arial" w:cs="Arial" w:eastAsia="Arial" w:hAnsi="Arial"/>
          <w:sz w:val="15"/>
          <w:szCs w:val="15"/>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0628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 at beginning of year</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880" w:type="dxa"/>
            <w:vAlign w:val="bottom"/>
          </w:tcPr>
          <w:p>
            <w:pPr>
              <w:ind w:left="340"/>
              <w:spacing w:after="0"/>
              <w:rPr>
                <w:sz w:val="20"/>
                <w:szCs w:val="20"/>
                <w:color w:val="auto"/>
              </w:rPr>
            </w:pPr>
            <w:r>
              <w:rPr>
                <w:rFonts w:ascii="Arial" w:cs="Arial" w:eastAsia="Arial" w:hAnsi="Arial"/>
                <w:sz w:val="18"/>
                <w:szCs w:val="18"/>
                <w:color w:val="auto"/>
                <w:w w:val="91"/>
              </w:rPr>
              <w:t>(5,625)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2,977</w:t>
            </w:r>
          </w:p>
        </w:tc>
      </w:tr>
      <w:tr>
        <w:trPr>
          <w:trHeight w:val="270"/>
        </w:trPr>
        <w:tc>
          <w:tcPr>
            <w:tcW w:w="440" w:type="dxa"/>
            <w:vAlign w:val="bottom"/>
          </w:tcPr>
          <w:p>
            <w:pPr>
              <w:spacing w:after="0"/>
              <w:rPr>
                <w:sz w:val="23"/>
                <w:szCs w:val="23"/>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w w:val="98"/>
              </w:rPr>
              <w:t>88,136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31,713</w:t>
            </w:r>
          </w:p>
        </w:tc>
      </w:tr>
      <w:tr>
        <w:trPr>
          <w:trHeight w:val="27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320"/>
              <w:spacing w:after="0"/>
              <w:rPr>
                <w:sz w:val="20"/>
                <w:szCs w:val="20"/>
                <w:color w:val="auto"/>
              </w:rPr>
            </w:pPr>
            <w:r>
              <w:rPr>
                <w:rFonts w:ascii="Arial" w:cs="Arial" w:eastAsia="Arial" w:hAnsi="Arial"/>
                <w:sz w:val="18"/>
                <w:szCs w:val="18"/>
                <w:color w:val="auto"/>
                <w:w w:val="98"/>
              </w:rPr>
              <w:t>82,511</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34,690</w:t>
            </w:r>
          </w:p>
        </w:tc>
      </w:tr>
      <w:tr>
        <w:trPr>
          <w:trHeight w:val="27"/>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760"/>
          </w:cols>
          <w:pgMar w:left="320" w:top="108" w:right="379" w:bottom="1440" w:gutter="0" w:footer="0" w:header="0"/>
          <w:type w:val="continuous"/>
        </w:sectPr>
      </w:pP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Interest paid in cash</w:t>
            </w:r>
          </w:p>
        </w:tc>
        <w:tc>
          <w:tcPr>
            <w:tcW w:w="29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062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00"/>
          </w:cols>
          <w:pgMar w:left="320" w:top="108" w:right="37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Cantaloupe,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Cantaloupe, Inc. (“Cantaloupe” or the “Company”), previously known as USA Technologies, Inc., is organized under the laws of the Commonwealth of Pennsylvania. On March 29, 2021, USA Technologies, Inc. filed Articles of Amendment to its Amended and Restated Articles of Incorporation with the Pennsylvania Department of State to effect a change of the Company’s name from “USA Technologies, Inc.” to “Cantaloupe, Inc.,” effective as of April 15, 2021. On April 19, 2021, the Company’s common stock, no par value per share (the “Common Stock”), began trading on the NASDAQ Global Select Market under the ticker symbol “CTLP” and the Company’s Series A Convertible Preferred Stock, no par value per share, began trading on the OTC Markets’ Pink Open Market under the trading symbol, “CTLPP”.</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Cantaloupe is a digital payments and software services company that provides end-to-end technology solutions for the unattended retail market. We are transforming the unattended retail world by offering a solution for payments processing, as well as one that handles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and electric vehicle charging stations, commercial laundry, kiosks, amusements and more, can run their businesses more proactively, predictably, and competitively.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its employees, and its customers operate in geographic locations (primarily the United States) in which its business operations and financial performance continues to be affected by the COVID-19 pandemic. However, as businesses, schools, and other organizations re-open and continue through an economic recovery, the Company has seen increased foot traffic to distributed assets containing our electronic payments solutions. The Company continues to monitor for potential impacts of COVID-19 as new variants emerge and could lead to a resurgence of the virus. Such impacts to our financial statements include, but are not limited to, the impairment of goodwill and intangible assets, impairment of long-lived assets including operating lease right-of-use assets, property and equipment and allowance for doubtful accounts for accounts and finance receivables. We have concluded that there are no material impairments as a result of our evaluation.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condensed consolidated financial statements as soon as they become known.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Preparation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2021 Annual Report on Form 10-K.</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all adjustments considered necessary for a fair presentation, consisting of normal recurring adjustments, have been included. Operating results for the three months ended September 30, 2021 are not necessarily indicative of the results that may be expected for the full fiscal year ending June 30, 2022. Actual results could differ from estimates. The balance sheet at June 30, 2021 has been derived from the audited consolidated financial statements at that date, but does not include all disclosures required by accounting principles generally accepted in the United States of America. Certain prior period amounts have been reclassified to conform with current year presentation.</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Statement of Operations: operating expenses presentation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Beginning in the first quarter of fiscal year 2022, the Company revised its presentation of operating expenses within its Condensed Consolidated Statement of Operations by disaggregating the previously disclosed Selling, general, and administrative costs into Sales and marketing, Technology and product development, and General and administrative costs. The updated presentation is intended to provide additional transparency to the readers of the financial statements and better align the Company’s financial performance with how management views and monitors business operations and makes strategic decisions. Prior period amounts for fiscal year 2021 have been reclassified to conform with current year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Below is a brief description of the various categories within Operating expenses:</w:t>
      </w:r>
    </w:p>
    <w:p>
      <w:pPr>
        <w:spacing w:after="0" w:line="252" w:lineRule="exact"/>
        <w:rPr>
          <w:sz w:val="20"/>
          <w:szCs w:val="20"/>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consists primarily of our sales and marketing team personnel costs which include non-capitalized wages, bonuses, stock-based compensation, sales commissions, severance costs, benefits, and employer taxes. In addition, this category includes fees paid for advertising, trade shows and external consultants who assist in outreach initiatives designed to build brand awareness and showcase the value of our products and services to our opportunity markets.</w:t>
      </w:r>
    </w:p>
    <w:p>
      <w:pPr>
        <w:spacing w:after="0" w:line="21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and product development: </w:t>
      </w:r>
      <w:r>
        <w:rPr>
          <w:rFonts w:ascii="Arial" w:cs="Arial" w:eastAsia="Arial" w:hAnsi="Arial"/>
          <w:sz w:val="18"/>
          <w:szCs w:val="18"/>
          <w:color w:val="auto"/>
        </w:rPr>
        <w:t>Technology and product development expenses consists primarily of our technology and product team</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and fees paid to external consultants relating to innovating and maintaining our portfolio of products and services and strengthening our network environment and platform. These costs include but are not limited to engineering, platform and software development, fees for software licenses, contract labor and other technology and product related items.</w:t>
      </w:r>
    </w:p>
    <w:p>
      <w:pPr>
        <w:spacing w:after="0" w:line="213" w:lineRule="exact"/>
        <w:rPr>
          <w:rFonts w:ascii="Arial" w:cs="Arial" w:eastAsia="Arial" w:hAnsi="Arial"/>
          <w:sz w:val="18"/>
          <w:szCs w:val="18"/>
          <w:i w:val="1"/>
          <w:iCs w:val="1"/>
          <w:color w:val="auto"/>
        </w:rPr>
      </w:pPr>
    </w:p>
    <w:p>
      <w:pPr>
        <w:jc w:val="both"/>
        <w:ind w:left="660" w:hanging="328"/>
        <w:spacing w:after="0" w:line="286"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consists primarily of our customer support, business operations, finance, legal,</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and other administrative personnel costs and fees paid to external consultants for these respective departments. In addition, this category includes rent and occupancy costs and other miscellaneous costs incurred in the course of operating the business.</w:t>
      </w:r>
    </w:p>
    <w:p>
      <w:pPr>
        <w:spacing w:after="0" w:line="178" w:lineRule="exact"/>
        <w:rPr>
          <w:rFonts w:ascii="Arial" w:cs="Arial" w:eastAsia="Arial" w:hAnsi="Arial"/>
          <w:sz w:val="17"/>
          <w:szCs w:val="17"/>
          <w:i w:val="1"/>
          <w:iCs w:val="1"/>
          <w:color w:val="auto"/>
        </w:rPr>
      </w:pPr>
    </w:p>
    <w:p>
      <w:pPr>
        <w:jc w:val="both"/>
        <w:ind w:left="660" w:hanging="328"/>
        <w:spacing w:after="0" w:line="23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No changes made to the accounting policies or previously reported amounts included within the Company’s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Annual Report on Form 10-K for this category. Depreciation expense on our property and equipment, excluding property and equipment used for rentals, and amortization expense on our intangible assets are included within the Depreciation and amortization caption in the Consolidated Statements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changes described above did not impact total operating expenses, operating loss, net loss or net loss per common share.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Below are excerpts from the Condensed Consolidated Statement of Operations for each quarter of fiscal year 2021 before and after the revisions: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Revised presentation:</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48"/>
        </w:trPr>
        <w:tc>
          <w:tcPr>
            <w:tcW w:w="3760" w:type="dxa"/>
            <w:vAlign w:val="bottom"/>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8"/>
                <w:szCs w:val="18"/>
                <w:color w:val="auto"/>
                <w:w w:val="94"/>
              </w:rPr>
              <w:t>September 30, 2020</w:t>
            </w:r>
          </w:p>
        </w:tc>
        <w:tc>
          <w:tcPr>
            <w:tcW w:w="140" w:type="dxa"/>
            <w:vAlign w:val="bottom"/>
          </w:tcPr>
          <w:p>
            <w:pPr>
              <w:spacing w:after="0"/>
              <w:rPr>
                <w:sz w:val="17"/>
                <w:szCs w:val="17"/>
                <w:color w:val="auto"/>
              </w:rPr>
            </w:pPr>
          </w:p>
        </w:tc>
        <w:tc>
          <w:tcPr>
            <w:tcW w:w="13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December 31,</w:t>
            </w:r>
          </w:p>
        </w:tc>
        <w:tc>
          <w:tcPr>
            <w:tcW w:w="1400" w:type="dxa"/>
            <w:vAlign w:val="bottom"/>
            <w:gridSpan w:val="3"/>
            <w:vMerge w:val="restart"/>
          </w:tcPr>
          <w:p>
            <w:pPr>
              <w:ind w:left="80"/>
              <w:spacing w:after="0"/>
              <w:rPr>
                <w:sz w:val="20"/>
                <w:szCs w:val="20"/>
                <w:color w:val="auto"/>
              </w:rPr>
            </w:pPr>
            <w:r>
              <w:rPr>
                <w:rFonts w:ascii="Arial" w:cs="Arial" w:eastAsia="Arial" w:hAnsi="Arial"/>
                <w:sz w:val="18"/>
                <w:szCs w:val="18"/>
                <w:color w:val="auto"/>
              </w:rPr>
              <w:t>March 31, 2021</w:t>
            </w:r>
          </w:p>
        </w:tc>
        <w:tc>
          <w:tcPr>
            <w:tcW w:w="160" w:type="dxa"/>
            <w:vAlign w:val="bottom"/>
          </w:tcPr>
          <w:p>
            <w:pPr>
              <w:spacing w:after="0"/>
              <w:rPr>
                <w:sz w:val="17"/>
                <w:szCs w:val="17"/>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color w:val="auto"/>
              </w:rPr>
              <w:t>June 30, 2021</w:t>
            </w:r>
          </w:p>
        </w:tc>
        <w:tc>
          <w:tcPr>
            <w:tcW w:w="180" w:type="dxa"/>
            <w:vAlign w:val="bottom"/>
          </w:tcPr>
          <w:p>
            <w:pPr>
              <w:spacing w:after="0"/>
              <w:rPr>
                <w:sz w:val="17"/>
                <w:szCs w:val="17"/>
                <w:color w:val="auto"/>
              </w:rPr>
            </w:pPr>
          </w:p>
        </w:tc>
        <w:tc>
          <w:tcPr>
            <w:tcW w:w="1340" w:type="dxa"/>
            <w:vAlign w:val="bottom"/>
            <w:vMerge w:val="restart"/>
          </w:tcPr>
          <w:p>
            <w:pPr>
              <w:jc w:val="right"/>
              <w:ind w:right="170"/>
              <w:spacing w:after="0"/>
              <w:rPr>
                <w:sz w:val="20"/>
                <w:szCs w:val="20"/>
                <w:color w:val="auto"/>
              </w:rPr>
            </w:pPr>
            <w:r>
              <w:rPr>
                <w:rFonts w:ascii="Arial" w:cs="Arial" w:eastAsia="Arial" w:hAnsi="Arial"/>
                <w:sz w:val="18"/>
                <w:szCs w:val="18"/>
                <w:color w:val="auto"/>
                <w:w w:val="92"/>
              </w:rPr>
              <w:t>June 30, 2021</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5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Technology and product development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15,935</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35,754</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14,883</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62,731</w:t>
            </w: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As previously reported:</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358"/>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400" w:type="dxa"/>
            <w:vAlign w:val="bottom"/>
            <w:gridSpan w:val="3"/>
            <w:vMerge w:val="restart"/>
          </w:tcPr>
          <w:p>
            <w:pPr>
              <w:ind w:left="80"/>
              <w:spacing w:after="0"/>
              <w:rPr>
                <w:sz w:val="20"/>
                <w:szCs w:val="20"/>
                <w:color w:val="auto"/>
              </w:rPr>
            </w:pPr>
            <w:r>
              <w:rPr>
                <w:rFonts w:ascii="Arial" w:cs="Arial" w:eastAsia="Arial" w:hAnsi="Arial"/>
                <w:sz w:val="18"/>
                <w:szCs w:val="18"/>
                <w:color w:val="auto"/>
              </w:rPr>
              <w:t>March 31, 2021</w:t>
            </w:r>
          </w:p>
        </w:tc>
        <w:tc>
          <w:tcPr>
            <w:tcW w:w="180" w:type="dxa"/>
            <w:vAlign w:val="bottom"/>
          </w:tcPr>
          <w:p>
            <w:pPr>
              <w:spacing w:after="0"/>
              <w:rPr>
                <w:sz w:val="24"/>
                <w:szCs w:val="2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color w:val="auto"/>
              </w:rPr>
              <w:t>June 30, 2021</w:t>
            </w:r>
          </w:p>
        </w:tc>
        <w:tc>
          <w:tcPr>
            <w:tcW w:w="160" w:type="dxa"/>
            <w:vAlign w:val="bottom"/>
          </w:tcPr>
          <w:p>
            <w:pPr>
              <w:spacing w:after="0"/>
              <w:rPr>
                <w:sz w:val="24"/>
                <w:szCs w:val="24"/>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color w:val="auto"/>
                <w:w w:val="92"/>
              </w:rPr>
              <w:t>June 30, 2021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13,731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58,624</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Statement of Operations: updated caption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first quarter of fiscal year 2022, the Company revised the previously reported revenue caption of License and transaction fees to Subscription and transaction fees within its Condensed Consolidated Statement of Operations to provide a more accurate description of the revenue stream and align with commonly used terminology by industry participants. No changes were made to the revenue recognition accounting policies or previously reported amounts included within the Company’s June 30, 2021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Credit Losses on Financial Statements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The Company adopted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on July 1, 2020 using the modified retrospective approach through an adjustment to retained earnings, and began calculating our allowance for accounts and finance receivables under an expected loss model rather than an incurred loss model.</w:t>
      </w:r>
    </w:p>
    <w:p>
      <w:pPr>
        <w:spacing w:after="0" w:line="211" w:lineRule="exact"/>
        <w:rPr>
          <w:sz w:val="20"/>
          <w:szCs w:val="20"/>
          <w:color w:val="auto"/>
        </w:rPr>
      </w:pPr>
    </w:p>
    <w:p>
      <w:pPr>
        <w:ind w:right="2000"/>
        <w:spacing w:after="0" w:line="271" w:lineRule="auto"/>
        <w:rPr>
          <w:sz w:val="20"/>
          <w:szCs w:val="20"/>
          <w:color w:val="auto"/>
        </w:rPr>
      </w:pPr>
      <w:r>
        <w:rPr>
          <w:rFonts w:ascii="Arial" w:cs="Arial" w:eastAsia="Arial" w:hAnsi="Arial"/>
          <w:sz w:val="18"/>
          <w:szCs w:val="18"/>
          <w:color w:val="auto"/>
        </w:rPr>
        <w:t>The following table represents a roll forward of the allowance for doubtful accounts for accounts and finance receivables for the three months ending September 30,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 September 30, 2021</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Accounts Receivable</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Finance Receivable</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of allowance as of June 30, 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expected losses</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2019-12 - Income Taxes (Topic 740): Simplifying the Accounting for 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2021, the Company adopted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The adoption of this accounting standard did not materially impact the Company’s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2020 and January 2021, the FASB issued ASU 2020-04,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and ASU 2021-01, “</w:t>
      </w:r>
      <w:r>
        <w:rPr>
          <w:rFonts w:ascii="Arial" w:cs="Arial" w:eastAsia="Arial" w:hAnsi="Arial"/>
          <w:sz w:val="17"/>
          <w:szCs w:val="17"/>
          <w:i w:val="1"/>
          <w:iCs w:val="1"/>
          <w:color w:val="auto"/>
        </w:rPr>
        <w:t>Reference Rate Reform: Scope</w:t>
      </w:r>
      <w:r>
        <w:rPr>
          <w:rFonts w:ascii="Arial" w:cs="Arial" w:eastAsia="Arial" w:hAnsi="Arial"/>
          <w:sz w:val="17"/>
          <w:szCs w:val="17"/>
          <w:color w:val="auto"/>
        </w:rPr>
        <w:t>”, respectively. Together, the ASUs provide temporary optional expedients and exceptions for applying U.S. GAAP guidance on contract modifications and hedging relationships that reference LIBOR or another reference rate expected to be discontinued because of reference rate reform. The Company’s exposure to LIBOR includes our revolving credit facility and secured term facility with JPMorgan Chase Bank, N.A., which uses LIBOR as a reference rate. However, these facilities provide for an alternative rate of interest if LIBOR is discontinued. These optional expedients and exceptions are effective beginning March 12, 2020 through December 31, 2022 and adoption is permitted at any time in the effective period. The Company is currently evaluating and assessing the impact these accounting standards will have on its condensed consolidated financial statements and related disclosures and if it will elect these optional standards.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Classification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July 2021, the FASB issued ASU 2021-05, “</w:t>
      </w:r>
      <w:r>
        <w:rPr>
          <w:rFonts w:ascii="Arial" w:cs="Arial" w:eastAsia="Arial" w:hAnsi="Arial"/>
          <w:sz w:val="18"/>
          <w:szCs w:val="18"/>
          <w:i w:val="1"/>
          <w:iCs w:val="1"/>
          <w:color w:val="auto"/>
        </w:rPr>
        <w:t>Lessors – Certain Leases with Variable Lease Payments</w:t>
      </w:r>
      <w:r>
        <w:rPr>
          <w:rFonts w:ascii="Arial" w:cs="Arial" w:eastAsia="Arial" w:hAnsi="Arial"/>
          <w:sz w:val="18"/>
          <w:szCs w:val="18"/>
          <w:color w:val="auto"/>
        </w:rPr>
        <w:t>” which requires lessors to classify leases as operating leases if they have variable lease payments that do not depend on an index or rate and would have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losses if they were classified as sales-type or direct financing leases. ASU 2021-05 is effective for fiscal years beginning after December 15, 2021, and interim periods within those fiscal years. We plan to adopt this pronouncement for our fiscal year beginning July 1, 2022. The Company is currently evaluating and assessing the impact this accounting standard will have on its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Debt and Equity Instruments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2020, the FASB issued ASU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which simplifies accounting for convertible instruments and the derivatives scope exception for contracts in an entity's own equity and improves and amends the related earnings per share (EPS) guidance. ASU 2020-06 is effective for fiscal years beginning after December 15, 2021, and interim periods within those fiscal years. We plan to adopt this pronouncement for our fiscal year beginning July 1, 2022. The Company is currently evaluating and assessing the impact this accounting standard will have on its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 space, warehouses, and office equipment. At September 30, 2021, the Company has the following balances recorded in the balance sheet related to its lease arrangements: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46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Classification</w:t>
            </w:r>
          </w:p>
        </w:tc>
        <w:tc>
          <w:tcPr>
            <w:tcW w:w="180" w:type="dxa"/>
            <w:vAlign w:val="bottom"/>
          </w:tcPr>
          <w:p>
            <w:pPr>
              <w:spacing w:after="0"/>
              <w:rPr>
                <w:sz w:val="17"/>
                <w:szCs w:val="17"/>
                <w:color w:val="auto"/>
              </w:rPr>
            </w:pPr>
          </w:p>
        </w:tc>
        <w:tc>
          <w:tcPr>
            <w:tcW w:w="19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September 30, 2021</w:t>
            </w:r>
          </w:p>
        </w:tc>
        <w:tc>
          <w:tcPr>
            <w:tcW w:w="240" w:type="dxa"/>
            <w:vAlign w:val="bottom"/>
          </w:tcPr>
          <w:p>
            <w:pPr>
              <w:spacing w:after="0"/>
              <w:rPr>
                <w:sz w:val="17"/>
                <w:szCs w:val="17"/>
                <w:color w:val="auto"/>
              </w:rPr>
            </w:pPr>
          </w:p>
        </w:tc>
        <w:tc>
          <w:tcPr>
            <w:tcW w:w="1720" w:type="dxa"/>
            <w:vAlign w:val="bottom"/>
          </w:tcPr>
          <w:p>
            <w:pPr>
              <w:jc w:val="right"/>
              <w:ind w:right="314"/>
              <w:spacing w:after="0"/>
              <w:rPr>
                <w:sz w:val="20"/>
                <w:szCs w:val="20"/>
                <w:color w:val="auto"/>
              </w:rPr>
            </w:pPr>
            <w:r>
              <w:rPr>
                <w:rFonts w:ascii="Arial" w:cs="Arial" w:eastAsia="Arial" w:hAnsi="Arial"/>
                <w:sz w:val="14"/>
                <w:szCs w:val="14"/>
                <w:b w:val="1"/>
                <w:bCs w:val="1"/>
                <w:color w:val="auto"/>
              </w:rPr>
              <w:t>As of June 30, 2021</w:t>
            </w:r>
          </w:p>
        </w:tc>
      </w:tr>
      <w:tr>
        <w:trPr>
          <w:trHeight w:val="40"/>
        </w:trPr>
        <w:tc>
          <w:tcPr>
            <w:tcW w:w="2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5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r>
      <w:tr>
        <w:trPr>
          <w:trHeight w:val="270"/>
        </w:trPr>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24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3,049</w:t>
            </w:r>
          </w:p>
        </w:tc>
      </w:tr>
      <w:tr>
        <w:trPr>
          <w:trHeight w:val="270"/>
        </w:trPr>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7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70"/>
        </w:trPr>
        <w:tc>
          <w:tcPr>
            <w:tcW w:w="2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w:t>
            </w:r>
          </w:p>
        </w:tc>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r>
      <w:tr>
        <w:trPr>
          <w:trHeight w:val="263"/>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lease cost are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 September</w:t>
            </w:r>
          </w:p>
        </w:tc>
        <w:tc>
          <w:tcPr>
            <w:tcW w:w="0" w:type="dxa"/>
            <w:vAlign w:val="bottom"/>
          </w:tcPr>
          <w:p>
            <w:pPr>
              <w:spacing w:after="0"/>
              <w:rPr>
                <w:sz w:val="1"/>
                <w:szCs w:val="1"/>
                <w:color w:val="auto"/>
              </w:rPr>
            </w:pPr>
          </w:p>
        </w:tc>
      </w:tr>
      <w:tr>
        <w:trPr>
          <w:trHeight w:val="188"/>
        </w:trPr>
        <w:tc>
          <w:tcPr>
            <w:tcW w:w="6780" w:type="dxa"/>
            <w:vAlign w:val="bottom"/>
            <w:vMerge w:val="continue"/>
          </w:tcPr>
          <w:p>
            <w:pPr>
              <w:spacing w:after="0"/>
              <w:rPr>
                <w:sz w:val="16"/>
                <w:szCs w:val="16"/>
                <w:color w:val="auto"/>
              </w:rPr>
            </w:pPr>
          </w:p>
        </w:tc>
        <w:tc>
          <w:tcPr>
            <w:tcW w:w="216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30, 2021</w:t>
            </w:r>
          </w:p>
        </w:tc>
        <w:tc>
          <w:tcPr>
            <w:tcW w:w="100" w:type="dxa"/>
            <w:vAlign w:val="bottom"/>
          </w:tcPr>
          <w:p>
            <w:pPr>
              <w:spacing w:after="0"/>
              <w:rPr>
                <w:sz w:val="16"/>
                <w:szCs w:val="16"/>
                <w:color w:val="auto"/>
              </w:rPr>
            </w:pPr>
          </w:p>
        </w:tc>
        <w:tc>
          <w:tcPr>
            <w:tcW w:w="218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30, 2020</w:t>
            </w:r>
          </w:p>
        </w:tc>
        <w:tc>
          <w:tcPr>
            <w:tcW w:w="0" w:type="dxa"/>
            <w:vAlign w:val="bottom"/>
          </w:tcPr>
          <w:p>
            <w:pPr>
              <w:spacing w:after="0"/>
              <w:rPr>
                <w:sz w:val="1"/>
                <w:szCs w:val="1"/>
                <w:color w:val="auto"/>
              </w:rPr>
            </w:pPr>
          </w:p>
        </w:tc>
      </w:tr>
      <w:tr>
        <w:trPr>
          <w:trHeight w:val="35"/>
        </w:trPr>
        <w:tc>
          <w:tcPr>
            <w:tcW w:w="67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311"/>
        </w:trPr>
        <w:tc>
          <w:tcPr>
            <w:tcW w:w="6780" w:type="dxa"/>
            <w:vAlign w:val="bottom"/>
          </w:tcPr>
          <w:p>
            <w:pPr>
              <w:spacing w:after="0"/>
              <w:rPr>
                <w:sz w:val="20"/>
                <w:szCs w:val="20"/>
                <w:color w:val="auto"/>
              </w:rPr>
            </w:pPr>
            <w:r>
              <w:rPr>
                <w:rFonts w:ascii="Arial" w:cs="Arial" w:eastAsia="Arial" w:hAnsi="Arial"/>
                <w:sz w:val="18"/>
                <w:szCs w:val="18"/>
                <w:color w:val="auto"/>
              </w:rPr>
              <w:t>* Includes short-term lease and variable lease costs, which are not material.</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our leases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6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 September</w:t>
            </w:r>
          </w:p>
        </w:tc>
        <w:tc>
          <w:tcPr>
            <w:tcW w:w="100" w:type="dxa"/>
            <w:vAlign w:val="bottom"/>
          </w:tcPr>
          <w:p>
            <w:pPr>
              <w:spacing w:after="0"/>
              <w:rPr>
                <w:sz w:val="14"/>
                <w:szCs w:val="14"/>
                <w:color w:val="auto"/>
              </w:rPr>
            </w:pPr>
          </w:p>
        </w:tc>
        <w:tc>
          <w:tcPr>
            <w:tcW w:w="208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Three months ended September</w:t>
            </w:r>
          </w:p>
        </w:tc>
        <w:tc>
          <w:tcPr>
            <w:tcW w:w="0" w:type="dxa"/>
            <w:vAlign w:val="bottom"/>
          </w:tcPr>
          <w:p>
            <w:pPr>
              <w:spacing w:after="0"/>
              <w:rPr>
                <w:sz w:val="1"/>
                <w:szCs w:val="1"/>
                <w:color w:val="auto"/>
              </w:rPr>
            </w:pPr>
          </w:p>
        </w:tc>
      </w:tr>
      <w:tr>
        <w:trPr>
          <w:trHeight w:val="186"/>
        </w:trPr>
        <w:tc>
          <w:tcPr>
            <w:tcW w:w="6780" w:type="dxa"/>
            <w:vAlign w:val="bottom"/>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30, 2021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30, 2020</w:t>
            </w:r>
          </w:p>
        </w:tc>
        <w:tc>
          <w:tcPr>
            <w:tcW w:w="0" w:type="dxa"/>
            <w:vAlign w:val="bottom"/>
          </w:tcPr>
          <w:p>
            <w:pPr>
              <w:spacing w:after="0"/>
              <w:rPr>
                <w:sz w:val="1"/>
                <w:szCs w:val="1"/>
                <w:color w:val="auto"/>
              </w:rPr>
            </w:pPr>
          </w:p>
        </w:tc>
      </w:tr>
      <w:tr>
        <w:trPr>
          <w:trHeight w:val="266"/>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4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activity:</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by fiscal year for our leases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88"/>
        </w:trPr>
        <w:tc>
          <w:tcPr>
            <w:tcW w:w="798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2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Lessor Accounting</w:t>
            </w: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9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80" w:type="dxa"/>
            <w:vAlign w:val="bottom"/>
            <w:gridSpan w:val="2"/>
          </w:tcPr>
          <w:p>
            <w:pPr>
              <w:spacing w:after="0"/>
              <w:rPr>
                <w:sz w:val="20"/>
                <w:szCs w:val="20"/>
                <w:color w:val="auto"/>
              </w:rPr>
            </w:pPr>
            <w:r>
              <w:rPr>
                <w:rFonts w:ascii="Arial" w:cs="Arial" w:eastAsia="Arial" w:hAnsi="Arial"/>
                <w:sz w:val="18"/>
                <w:szCs w:val="18"/>
                <w:color w:val="auto"/>
              </w:rPr>
              <w:t>Property and equipment used for the operating lease rental program consisted of the following:</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17"/>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D9D9D9"/>
            </w:tcBorders>
            <w:shd w:val="clear" w:color="auto" w:fill="CCEEFF"/>
          </w:tcPr>
          <w:p>
            <w:pPr>
              <w:spacing w:after="0"/>
              <w:rPr>
                <w:sz w:val="22"/>
                <w:szCs w:val="22"/>
                <w:color w:val="auto"/>
              </w:rPr>
            </w:pPr>
          </w:p>
        </w:tc>
        <w:tc>
          <w:tcPr>
            <w:tcW w:w="116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26,753</w:t>
            </w:r>
          </w:p>
        </w:tc>
        <w:tc>
          <w:tcPr>
            <w:tcW w:w="200" w:type="dxa"/>
            <w:vAlign w:val="bottom"/>
            <w:tcBorders>
              <w:left w:val="single" w:sz="8" w:color="D9D9D9"/>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(24,487)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net investment in sales-type leases (carrying value of lease receivables) and the future minimum amounts to be collected on these lease receivables as of September 30, 2021 are disclosed within Note 6 - Finance Receivables.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first quarter of fiscal year 2022, the Company disaggregates Subscription and transaction fees presented on the Condensed Consolidated Statement of Operations to Transaction fees and Subscription fees categories (described below) as this additional disclosure provides greater visibility into the Company's revenue streams and better aligns the Company’s financial performance including how management views and monitors business operations and makes strategic decisions.</w:t>
      </w:r>
    </w:p>
    <w:p>
      <w:pPr>
        <w:spacing w:after="0" w:line="79"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Transaction fees: </w:t>
      </w:r>
      <w:r>
        <w:rPr>
          <w:rFonts w:ascii="Arial" w:cs="Arial" w:eastAsia="Arial" w:hAnsi="Arial"/>
          <w:sz w:val="18"/>
          <w:szCs w:val="18"/>
          <w:color w:val="auto"/>
        </w:rPr>
        <w:t>The Company charges its customers a transaction fee generally calculated as a percentage rate on volumes processed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payment devices.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Subscription fees: </w:t>
      </w:r>
      <w:r>
        <w:rPr>
          <w:rFonts w:ascii="Arial" w:cs="Arial" w:eastAsia="Arial" w:hAnsi="Arial"/>
          <w:sz w:val="18"/>
          <w:szCs w:val="18"/>
          <w:color w:val="auto"/>
        </w:rPr>
        <w:t>Subscription fees are primarily comprised of the monthly service fee charged to our customers for our cashless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service fees originated through our rental program and Seed software services that include inventory management, route logistics optimization, warehouse and accounting management, and responsive merchandising.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Based on similar operational characteristics, the Company's revenue is disaggregated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4"/>
          </w:tcPr>
          <w:p>
            <w:pPr>
              <w:jc w:val="right"/>
              <w:ind w:right="1113"/>
              <w:spacing w:after="0"/>
              <w:rPr>
                <w:sz w:val="20"/>
                <w:szCs w:val="20"/>
                <w:color w:val="auto"/>
              </w:rPr>
            </w:pPr>
            <w:r>
              <w:rPr>
                <w:rFonts w:ascii="Arial" w:cs="Arial" w:eastAsia="Arial" w:hAnsi="Arial"/>
                <w:sz w:val="14"/>
                <w:szCs w:val="14"/>
                <w:b w:val="1"/>
                <w:bCs w:val="1"/>
                <w:color w:val="auto"/>
              </w:rPr>
              <w:t>Three months ended September 30,</w:t>
            </w: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2020</w:t>
            </w: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fees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19,677</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fees</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13,431</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and transaction fees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Equipment sales</w:t>
            </w: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Disaggregation of revenues for the previously reported quarters for fiscal year-ended June 30, 2021 utilizing the above described methodology is presented as follows:</w:t>
      </w:r>
    </w:p>
    <w:p>
      <w:pPr>
        <w:spacing w:after="0" w:line="4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Three months ended</w:t>
      </w:r>
    </w:p>
    <w:tbl>
      <w:tblPr>
        <w:tblLayout w:type="fixed"/>
        <w:tblInd w:w="0" w:type="dxa"/>
        <w:tblCellMar>
          <w:top w:w="0" w:type="dxa"/>
          <w:left w:w="0" w:type="dxa"/>
          <w:bottom w:w="0" w:type="dxa"/>
          <w:right w:w="0" w:type="dxa"/>
        </w:tblCellMar>
      </w:tblPr>
      <w:tr>
        <w:trPr>
          <w:trHeight w:val="39"/>
        </w:trPr>
        <w:tc>
          <w:tcPr>
            <w:tcW w:w="33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December 31,</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8"/>
                <w:szCs w:val="18"/>
                <w:color w:val="auto"/>
                <w:w w:val="99"/>
              </w:rPr>
              <w:t>September 30, 2020</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color w:val="auto"/>
              </w:rPr>
              <w:t>June 30, 2021</w:t>
            </w:r>
          </w:p>
        </w:tc>
        <w:tc>
          <w:tcPr>
            <w:tcW w:w="220" w:type="dxa"/>
            <w:vAlign w:val="bottom"/>
          </w:tcPr>
          <w:p>
            <w:pPr>
              <w:spacing w:after="0"/>
              <w:rPr>
                <w:sz w:val="14"/>
                <w:szCs w:val="14"/>
                <w:color w:val="auto"/>
              </w:rPr>
            </w:pP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color w:val="auto"/>
                <w:w w:val="98"/>
              </w:rPr>
              <w:t>June 30, 2021</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6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fees</w:t>
            </w: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2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21,002</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85,498</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fees</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53,744</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and transaction fees</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139,242</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Equipment sales</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27,697</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166,939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determining the transaction price allocated to future performance obligations, we do not include non-recurring charges. Further, we apply the practical expedient to not consider arrangements with an original expected duration of one year or less, which are primarily month-to-month rental agreements. The majority of our contracts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 for the services or products being delivered.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6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As of September 30, 2021</w:t>
            </w:r>
          </w:p>
        </w:tc>
      </w:tr>
      <w:tr>
        <w:trPr>
          <w:trHeight w:val="40"/>
        </w:trPr>
        <w:tc>
          <w:tcPr>
            <w:tcW w:w="9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3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11,892</w:t>
            </w:r>
          </w:p>
        </w:tc>
      </w:tr>
      <w:tr>
        <w:trPr>
          <w:trHeight w:val="23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4,092</w:t>
            </w:r>
          </w:p>
        </w:tc>
      </w:tr>
      <w:tr>
        <w:trPr>
          <w:trHeight w:val="23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r>
      <w:tr>
        <w:trPr>
          <w:trHeight w:val="230"/>
        </w:trPr>
        <w:tc>
          <w:tcPr>
            <w:tcW w:w="9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48"/>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liability (i.e., deferred revenue) balances are as follows: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5"/>
        </w:trPr>
        <w:tc>
          <w:tcPr>
            <w:tcW w:w="74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80" w:type="dxa"/>
            <w:vAlign w:val="bottom"/>
            <w:vMerge w:val="continue"/>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74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25400</wp:posOffset>
            </wp:positionV>
            <wp:extent cx="71062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7360" w:type="dxa"/>
            <w:vAlign w:val="bottom"/>
          </w:tcPr>
          <w:p>
            <w:pPr>
              <w:spacing w:after="0"/>
              <w:rPr>
                <w:sz w:val="20"/>
                <w:szCs w:val="20"/>
                <w:color w:val="auto"/>
              </w:rPr>
            </w:pPr>
            <w:r>
              <w:rPr>
                <w:rFonts w:ascii="Arial" w:cs="Arial" w:eastAsia="Arial" w:hAnsi="Arial"/>
                <w:sz w:val="18"/>
                <w:szCs w:val="18"/>
                <w:color w:val="auto"/>
              </w:rPr>
              <w:t>Deferred revenue, beginning of the period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7360" w:type="dxa"/>
            <w:vAlign w:val="bottom"/>
          </w:tcPr>
          <w:p>
            <w:pPr>
              <w:spacing w:after="0"/>
              <w:rPr>
                <w:sz w:val="20"/>
                <w:szCs w:val="20"/>
                <w:color w:val="auto"/>
              </w:rPr>
            </w:pPr>
            <w:r>
              <w:rPr>
                <w:rFonts w:ascii="Arial" w:cs="Arial" w:eastAsia="Arial" w:hAnsi="Arial"/>
                <w:sz w:val="18"/>
                <w:szCs w:val="18"/>
                <w:color w:val="auto"/>
              </w:rPr>
              <w:t>Deferred revenue, end of the period</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7360" w:type="dxa"/>
            <w:vAlign w:val="bottom"/>
          </w:tcPr>
          <w:p>
            <w:pPr>
              <w:spacing w:after="0" w:line="176" w:lineRule="exact"/>
              <w:rPr>
                <w:sz w:val="20"/>
                <w:szCs w:val="20"/>
                <w:color w:val="auto"/>
              </w:rPr>
            </w:pPr>
            <w:r>
              <w:rPr>
                <w:rFonts w:ascii="Arial" w:cs="Arial" w:eastAsia="Arial" w:hAnsi="Arial"/>
                <w:sz w:val="18"/>
                <w:szCs w:val="18"/>
                <w:color w:val="auto"/>
                <w:w w:val="91"/>
              </w:rPr>
              <w:t>Revenue recognized in the period from amounts included in deferred revenue at the beginning of the</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period</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-257175</wp:posOffset>
            </wp:positionV>
            <wp:extent cx="7106285"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1,763</w:t>
            </w:r>
          </w:p>
        </w:tc>
        <w:tc>
          <w:tcPr>
            <w:tcW w:w="8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70"/>
        </w:trPr>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1,720</w:t>
            </w:r>
          </w:p>
        </w:tc>
        <w:tc>
          <w:tcPr>
            <w:tcW w:w="8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1,639</w:t>
            </w:r>
          </w:p>
        </w:tc>
      </w:tr>
      <w:tr>
        <w:trPr>
          <w:trHeight w:val="405"/>
        </w:trPr>
        <w:tc>
          <w:tcPr>
            <w:tcW w:w="54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8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27" w:lineRule="exact"/>
        <w:rPr>
          <w:sz w:val="20"/>
          <w:szCs w:val="20"/>
          <w:color w:val="auto"/>
        </w:rPr>
      </w:pPr>
    </w:p>
    <w:p>
      <w:pPr>
        <w:sectPr>
          <w:pgSz w:w="11900" w:h="16838" w:orient="portrait"/>
          <w:cols w:equalWidth="0" w:num="2">
            <w:col w:w="8100" w:space="720"/>
            <w:col w:w="2420"/>
          </w:cols>
          <w:pgMar w:left="320" w:top="125" w:right="339" w:bottom="1440" w:gutter="0" w:footer="0" w:header="0"/>
          <w:type w:val="continuous"/>
        </w:sectPr>
      </w:pPr>
    </w:p>
    <w:p>
      <w:pPr>
        <w:spacing w:after="0" w:line="1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 in the contract liability balances period-over-period is primarily the result of timing difference between the Company’s satisfaction of a performance obligation and payment from the customer.</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2021, the Company had net capitalized costs to obtain contracts of $0.4 million included in Prepaid expenses and other current assets and $2.0 million included in Other noncurrent assets on the Condensed Consolidated Balance Sheet. At June 30, 2021, the Company had net capitalized costs to obtain contracts of $0.4 million included in Prepaid expenses and other current assets and $2.0 million included in Other noncurrent assets on the Condensed Consolidated Balance Sheet. None of these capitalized contract costs were impaired.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2021, amortization of capitalized contract costs was $0.2 million. During the three months ended September 30, 2020, amortization of capitalized contract costs was $0.1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the residual of the purchase price recorded as goodwill.</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Through the acquisition, Yoke’s point of sale platform will now extend its offering to provide self-checkout while seamlessly integrating with Cantaloupe’s inventory management and payment processing platforms. We plan to differentiate ourselves by providing a single platform to manage consumer and operational aspects of micro markets, while also integrating multiple service providers for flexibility and ultimate ease to our customers.</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consideration transferred for the acquisition includes payments of $3 million in cash at the close of the transaction and $1 million in deferred cash payment due on or before July 30, 2022 based on the achievement of certain sales growth targets. As of the date of the acquisition and as of September 30, 2021, we expect to pay the entire deferred cash payment and we have accrued a contingent consideration liability of $1 million which is included within Accrued expenses in our Condensed Consolidated Balance Sheet.</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Additionally in connection with the acquisition, the Company will issue common stock to the former owners of Yoke based on the achievement of certain sales growth targets for software licenses through July 31, 2024 and continued employment as of the respective measurement dates. The accounting treatment for these awards in the context of the business combination is to recognize the awards as a post-combination expense and were not included in the purchase price. We will begin recognizing compensation expense for these awards over the requisite service period when it becomes probable that the performance condition would be satisfied pursuant to ASC 718. At each reporting date, we assess the probability of achieving the sales targets and fulfilling the performance condition. As of September 30, 2021, we determined that it is not probable that the performance condition would be satisfied and, accordingly, have not recognized compensation expense related to these awards for the fiscal quarter ended September 30, 2021.</w:t>
      </w:r>
    </w:p>
    <w:p>
      <w:pPr>
        <w:spacing w:after="0" w:line="19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summarizes the total consideration paid for Yoke, total net assets acquired, identifiable assets and goodwill recognized at the acquisition date: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 in thousands)</w:t>
            </w:r>
          </w:p>
        </w:tc>
        <w:tc>
          <w:tcPr>
            <w:tcW w:w="3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60" w:type="dxa"/>
            <w:vAlign w:val="bottom"/>
            <w:gridSpan w:val="2"/>
          </w:tcPr>
          <w:p>
            <w:pPr>
              <w:ind w:left="600"/>
              <w:spacing w:after="0"/>
              <w:rPr>
                <w:sz w:val="20"/>
                <w:szCs w:val="20"/>
                <w:color w:val="auto"/>
              </w:rPr>
            </w:pPr>
            <w:r>
              <w:rPr>
                <w:rFonts w:ascii="Arial" w:cs="Arial" w:eastAsia="Arial" w:hAnsi="Arial"/>
                <w:sz w:val="18"/>
                <w:szCs w:val="18"/>
                <w:b w:val="1"/>
                <w:bCs w:val="1"/>
                <w:color w:val="auto"/>
              </w:rPr>
              <w:t>Amount</w:t>
            </w:r>
          </w:p>
        </w:tc>
      </w:tr>
      <w:tr>
        <w:trPr>
          <w:trHeight w:val="223"/>
        </w:trPr>
        <w:tc>
          <w:tcPr>
            <w:tcW w:w="1240" w:type="dxa"/>
            <w:vAlign w:val="bottom"/>
          </w:tcPr>
          <w:p>
            <w:pPr>
              <w:spacing w:after="0"/>
              <w:rPr>
                <w:sz w:val="19"/>
                <w:szCs w:val="19"/>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Consideration</w:t>
            </w:r>
          </w:p>
        </w:tc>
        <w:tc>
          <w:tcPr>
            <w:tcW w:w="30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24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Cash</w:t>
            </w:r>
          </w:p>
        </w:tc>
        <w:tc>
          <w:tcPr>
            <w:tcW w:w="370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1220" w:type="dxa"/>
            <w:vAlign w:val="bottom"/>
          </w:tcPr>
          <w:p>
            <w:pPr>
              <w:spacing w:after="0"/>
              <w:rPr>
                <w:sz w:val="19"/>
                <w:szCs w:val="19"/>
                <w:color w:val="auto"/>
              </w:rPr>
            </w:pPr>
          </w:p>
        </w:tc>
      </w:tr>
      <w:tr>
        <w:trPr>
          <w:trHeight w:val="230"/>
        </w:trPr>
        <w:tc>
          <w:tcPr>
            <w:tcW w:w="1240" w:type="dxa"/>
            <w:vAlign w:val="bottom"/>
          </w:tcPr>
          <w:p>
            <w:pPr>
              <w:spacing w:after="0"/>
              <w:rPr>
                <w:sz w:val="19"/>
                <w:szCs w:val="19"/>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consideration arrangement</w:t>
            </w:r>
          </w:p>
        </w:tc>
        <w:tc>
          <w:tcPr>
            <w:tcW w:w="37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20" w:type="dxa"/>
            <w:vAlign w:val="bottom"/>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Fair value of total consideration transferred</w:t>
            </w:r>
          </w:p>
        </w:tc>
        <w:tc>
          <w:tcPr>
            <w:tcW w:w="300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20" w:type="dxa"/>
            <w:vAlign w:val="bottom"/>
          </w:tcPr>
          <w:p>
            <w:pPr>
              <w:spacing w:after="0"/>
              <w:rPr>
                <w:sz w:val="19"/>
                <w:szCs w:val="19"/>
                <w:color w:val="auto"/>
              </w:rPr>
            </w:pPr>
          </w:p>
        </w:tc>
      </w:tr>
      <w:tr>
        <w:trPr>
          <w:trHeight w:val="250"/>
        </w:trPr>
        <w:tc>
          <w:tcPr>
            <w:tcW w:w="1240" w:type="dxa"/>
            <w:vAlign w:val="bottom"/>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20" w:type="dxa"/>
            <w:vAlign w:val="bottom"/>
          </w:tcPr>
          <w:p>
            <w:pPr>
              <w:spacing w:after="0"/>
              <w:rPr>
                <w:sz w:val="21"/>
                <w:szCs w:val="21"/>
                <w:color w:val="auto"/>
              </w:rPr>
            </w:pPr>
          </w:p>
        </w:tc>
      </w:tr>
      <w:tr>
        <w:trPr>
          <w:trHeight w:val="230"/>
        </w:trPr>
        <w:tc>
          <w:tcPr>
            <w:tcW w:w="12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Recognized amounts of identifiable assets</w:t>
            </w:r>
          </w:p>
        </w:tc>
        <w:tc>
          <w:tcPr>
            <w:tcW w:w="3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40" w:type="dxa"/>
            <w:vAlign w:val="bottom"/>
          </w:tcPr>
          <w:p>
            <w:pPr>
              <w:spacing w:after="0"/>
              <w:rPr>
                <w:sz w:val="19"/>
                <w:szCs w:val="19"/>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assets acquired</w:t>
            </w:r>
          </w:p>
        </w:tc>
        <w:tc>
          <w:tcPr>
            <w:tcW w:w="37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20" w:type="dxa"/>
            <w:vAlign w:val="bottom"/>
          </w:tcPr>
          <w:p>
            <w:pPr>
              <w:spacing w:after="0"/>
              <w:rPr>
                <w:sz w:val="19"/>
                <w:szCs w:val="19"/>
                <w:color w:val="auto"/>
              </w:rPr>
            </w:pPr>
          </w:p>
        </w:tc>
      </w:tr>
      <w:tr>
        <w:trPr>
          <w:trHeight w:val="229"/>
        </w:trPr>
        <w:tc>
          <w:tcPr>
            <w:tcW w:w="124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Identifiable intangible assets</w:t>
            </w:r>
          </w:p>
        </w:tc>
        <w:tc>
          <w:tcPr>
            <w:tcW w:w="370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1,685</w:t>
            </w:r>
          </w:p>
        </w:tc>
        <w:tc>
          <w:tcPr>
            <w:tcW w:w="1220" w:type="dxa"/>
            <w:vAlign w:val="bottom"/>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identifiable net assets</w:t>
            </w:r>
          </w:p>
        </w:tc>
        <w:tc>
          <w:tcPr>
            <w:tcW w:w="30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220" w:type="dxa"/>
            <w:vAlign w:val="bottom"/>
          </w:tcPr>
          <w:p>
            <w:pPr>
              <w:spacing w:after="0"/>
              <w:rPr>
                <w:sz w:val="19"/>
                <w:szCs w:val="19"/>
                <w:color w:val="auto"/>
              </w:rPr>
            </w:pPr>
          </w:p>
        </w:tc>
      </w:tr>
      <w:tr>
        <w:trPr>
          <w:trHeight w:val="250"/>
        </w:trPr>
        <w:tc>
          <w:tcPr>
            <w:tcW w:w="12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0"/>
        </w:trPr>
        <w:tc>
          <w:tcPr>
            <w:tcW w:w="124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37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220" w:type="dxa"/>
            <w:vAlign w:val="bottom"/>
          </w:tcPr>
          <w:p>
            <w:pPr>
              <w:spacing w:after="0"/>
              <w:rPr>
                <w:sz w:val="19"/>
                <w:szCs w:val="19"/>
                <w:color w:val="auto"/>
              </w:rPr>
            </w:pPr>
          </w:p>
        </w:tc>
      </w:tr>
      <w:tr>
        <w:trPr>
          <w:trHeight w:val="857"/>
        </w:trPr>
        <w:tc>
          <w:tcPr>
            <w:tcW w:w="1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0" w:type="dxa"/>
            <w:vAlign w:val="bottom"/>
          </w:tcPr>
          <w:p>
            <w:pPr>
              <w:jc w:val="right"/>
              <w:ind w:right="2270"/>
              <w:spacing w:after="0"/>
              <w:rPr>
                <w:sz w:val="20"/>
                <w:szCs w:val="20"/>
                <w:color w:val="auto"/>
              </w:rPr>
            </w:pPr>
            <w:r>
              <w:rPr>
                <w:rFonts w:ascii="Arial" w:cs="Arial" w:eastAsia="Arial" w:hAnsi="Arial"/>
                <w:sz w:val="18"/>
                <w:szCs w:val="18"/>
                <w:color w:val="auto"/>
              </w:rPr>
              <w:t>13</w:t>
            </w:r>
          </w:p>
        </w:tc>
        <w:tc>
          <w:tcPr>
            <w:tcW w:w="7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Amounts allocated to identifiable intangible assets included $1.3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Goodwill of $2.2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above allocation of the purchase price is provisional and is still subject to change within the measurement period. The final allocation of the purchase price is expected to be completed as soon as practicable, but no later than one year from the date of the acquisition. Pro forma financial information of the acquisition is not presented due to the immaterial impact of the financial results of Yoke in the Company's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RECEIVABLES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finance receivables consist of financed devices under the QuickStart program and devices contractually associated with the Seed platform. Predominately all of the Company’s finance receivables agreements are classified as non-cancellable sixty-month sales-type leases. As of September 30, 2021 and June 30, 2021, finance receivables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26"/>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finance receivables,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Finance receivables due after one year,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11,632</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 net of allowance of $1,209 and $1,109, respectively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 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Credit risk for these receivables is continuously monitored by management and reflected within the allowance for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 each customer relative to their lease payment due, as we consider this customer characteristic to be the strongest predictor of the risk of customer default. Customers with low processing volume or with transaction sales that are insufficient to cover the lease payment are considered to be at a higher risk of customer default.</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Customers are pooled based on their ratio of gross sales to required monthly lease obligations. We categorize outstanding receivables into two categories: high ratio customers (customers who have adequate transaction processing volumes sufficient to cover monthly fees) and low ratio customers (customers that do not consistently have adequate transaction processing volumes sufficient to cover monthly fees). Using these two categories, we performed an analysis of historical write-offs to calculate reserve percentages by aging buckets for each category of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At September 30, 2021, the gross lease receivable by current payment performance on a contractual basis and year of origination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At June 30, 2021, the gross lease receivable by current payment performance on a contractual basis and year of origination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19,118</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credit quality indicators by year of origination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credit quality indicators by year of origination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18,266</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Low ratio customers</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20,708</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rollforward of the allowance for finance receivables for the three months ending September 30, 2021 and 2020:</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7460" w:type="dxa"/>
            <w:vAlign w:val="bottom"/>
          </w:tcPr>
          <w:p>
            <w:pPr>
              <w:spacing w:after="0"/>
              <w:rPr>
                <w:sz w:val="16"/>
                <w:szCs w:val="16"/>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74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60" w:type="dxa"/>
            <w:vAlign w:val="bottom"/>
            <w:vMerge w:val="continue"/>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0628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920" w:type="dxa"/>
            <w:vAlign w:val="bottom"/>
          </w:tcPr>
          <w:p>
            <w:pPr>
              <w:spacing w:after="0"/>
              <w:rPr>
                <w:sz w:val="20"/>
                <w:szCs w:val="20"/>
                <w:color w:val="auto"/>
              </w:rPr>
            </w:pPr>
            <w:r>
              <w:rPr>
                <w:rFonts w:ascii="Arial" w:cs="Arial" w:eastAsia="Arial" w:hAnsi="Arial"/>
                <w:sz w:val="18"/>
                <w:szCs w:val="18"/>
                <w:color w:val="auto"/>
              </w:rPr>
              <w:t>Balance at June 30</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Impact of adoption of ASC 326*</w:t>
            </w:r>
          </w:p>
        </w:tc>
        <w:tc>
          <w:tcPr>
            <w:tcW w:w="2660" w:type="dxa"/>
            <w:vAlign w:val="bottom"/>
          </w:tcPr>
          <w:p>
            <w:pPr>
              <w:spacing w:after="0"/>
              <w:rPr>
                <w:sz w:val="23"/>
                <w:szCs w:val="23"/>
                <w:color w:val="auto"/>
              </w:rPr>
            </w:pP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Provision for expected losses</w:t>
            </w:r>
          </w:p>
        </w:tc>
        <w:tc>
          <w:tcPr>
            <w:tcW w:w="2660" w:type="dxa"/>
            <w:vAlign w:val="bottom"/>
          </w:tcPr>
          <w:p>
            <w:pPr>
              <w:spacing w:after="0"/>
              <w:rPr>
                <w:sz w:val="23"/>
                <w:szCs w:val="23"/>
                <w:color w:val="auto"/>
              </w:rPr>
            </w:pPr>
          </w:p>
        </w:tc>
      </w:tr>
      <w:tr>
        <w:trPr>
          <w:trHeight w:val="311"/>
        </w:trPr>
        <w:tc>
          <w:tcPr>
            <w:tcW w:w="492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062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The Company adopted Financial Instruments - Credit Losses (Topic 326) on July 1, 2020.</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Cash to be collected on our performing finance receivables due for each of the fiscal years are as follows: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amounts to be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Less: interest</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Less: allowance for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finance receivables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1,109</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0"/>
        </w:trPr>
        <w:tc>
          <w:tcPr>
            <w:tcW w:w="680" w:type="dxa"/>
            <w:vAlign w:val="bottom"/>
          </w:tcPr>
          <w:p>
            <w:pPr>
              <w:jc w:val="right"/>
              <w:ind w:right="190"/>
              <w:spacing w:after="0"/>
              <w:rPr>
                <w:sz w:val="20"/>
                <w:szCs w:val="20"/>
                <w:color w:val="auto"/>
              </w:rPr>
            </w:pPr>
            <w:r>
              <w:rPr>
                <w:rFonts w:ascii="Arial" w:cs="Arial" w:eastAsia="Arial" w:hAnsi="Arial"/>
                <w:sz w:val="18"/>
                <w:szCs w:val="18"/>
                <w:color w:val="auto"/>
              </w:rPr>
              <w:t>100</w:t>
            </w:r>
          </w:p>
        </w:tc>
        <w:tc>
          <w:tcPr>
            <w:tcW w:w="7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1,209</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7"/>
        </w:trPr>
        <w:tc>
          <w:tcPr>
            <w:tcW w:w="6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-33655</wp:posOffset>
            </wp:positionV>
            <wp:extent cx="11315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-833120</wp:posOffset>
            </wp:positionH>
            <wp:positionV relativeFrom="paragraph">
              <wp:posOffset>-7620</wp:posOffset>
            </wp:positionV>
            <wp:extent cx="11315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-833120</wp:posOffset>
            </wp:positionH>
            <wp:positionV relativeFrom="paragraph">
              <wp:posOffset>-213995</wp:posOffset>
            </wp:positionV>
            <wp:extent cx="11315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960" w:hanging="82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9,408</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5,794</w:t>
      </w:r>
    </w:p>
    <w:p>
      <w:pPr>
        <w:spacing w:after="0" w:line="22"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3,925</w:t>
      </w:r>
    </w:p>
    <w:p>
      <w:pPr>
        <w:spacing w:after="0" w:line="22"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2,467</w:t>
      </w:r>
    </w:p>
    <w:p>
      <w:pPr>
        <w:spacing w:after="0" w:line="22"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1,129</w:t>
      </w:r>
    </w:p>
    <w:p>
      <w:pPr>
        <w:spacing w:after="0" w:line="22"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14605</wp:posOffset>
            </wp:positionV>
            <wp:extent cx="8401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22,789</w:t>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(2,717)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14605</wp:posOffset>
            </wp:positionV>
            <wp:extent cx="840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6" w:lineRule="exact"/>
        <w:rPr>
          <w:sz w:val="20"/>
          <w:szCs w:val="20"/>
          <w:color w:val="auto"/>
        </w:rPr>
      </w:pPr>
    </w:p>
    <w:p>
      <w:pPr>
        <w:ind w:left="1880" w:hanging="745"/>
        <w:spacing w:after="0"/>
        <w:tabs>
          <w:tab w:leader="none" w:pos="1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18,863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47625</wp:posOffset>
            </wp:positionV>
            <wp:extent cx="8401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080" w:space="720"/>
            <w:col w:w="2440"/>
          </w:cols>
          <w:pgMar w:left="320" w:top="125" w:right="3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 CALCULATION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Basic loss per share is computed by dividing net loss by the weighted average number of common shares outstanding during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period. Diluted earnings per share, applicable only to years ended with reported income, is computed by dividing net income by the weighted average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number of common shares outstanding during the period plus the dilutive effect of outstanding stock options and restricted stock-based awards using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treasury stock method. The calculation of basic and diluted loss per share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8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4"/>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71,175,927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64,859,002</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71,175,927</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64,859,002</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and diluted loss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4,212,024 for the three months ended September 30, 2021 and 2,534,225 for the three months ended September 30, 2020.</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of September 30, 2021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June 30, 2021</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During the three months ended September 30, 2021, The Company recognized $2.2 million in goodwill and $1.7 million in newly acquired intangible assets in association with the Yoke acquisition as referenced in </w:t>
      </w:r>
      <w:r>
        <w:rPr>
          <w:rFonts w:ascii="Arial" w:cs="Arial" w:eastAsia="Arial" w:hAnsi="Arial"/>
          <w:sz w:val="18"/>
          <w:szCs w:val="18"/>
          <w:i w:val="1"/>
          <w:iCs w:val="1"/>
          <w:color w:val="auto"/>
        </w:rPr>
        <w:t>Note 5 - Acquisition</w:t>
      </w:r>
      <w:r>
        <w:rPr>
          <w:rFonts w:ascii="Arial" w:cs="Arial" w:eastAsia="Arial" w:hAnsi="Arial"/>
          <w:sz w:val="18"/>
          <w:szCs w:val="18"/>
          <w:color w:val="auto"/>
        </w:rPr>
        <w: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2021 and September 30, 2020, there was $0.8 million for each respective period in amortization expense related to intangible assets that was recognized.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performs an annual goodwill impairment test on April 1 and more frequently if events and circumstances indicate that the asset might be impaired. The Company has determined that there is a single reporting unit for purposes of testing goodwill for impairment. During the three months ended September 30, 2021, the Company did not recognize any impairment charges related to goodwill.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AND OTHER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September 30, 2021 and June 30, 2021 consisted of the following:</w:t>
      </w:r>
    </w:p>
    <w:p>
      <w:pPr>
        <w:spacing w:after="0" w:line="352"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September 30,</w:t>
            </w:r>
          </w:p>
        </w:tc>
        <w:tc>
          <w:tcPr>
            <w:tcW w:w="280" w:type="dxa"/>
            <w:vAlign w:val="bottom"/>
          </w:tcPr>
          <w:p>
            <w:pPr>
              <w:spacing w:after="0"/>
              <w:rPr>
                <w:sz w:val="16"/>
                <w:szCs w:val="16"/>
                <w:color w:val="auto"/>
              </w:rPr>
            </w:pPr>
          </w:p>
        </w:tc>
        <w:tc>
          <w:tcPr>
            <w:tcW w:w="1500" w:type="dxa"/>
            <w:vAlign w:val="bottom"/>
          </w:tcPr>
          <w:p>
            <w:pPr>
              <w:jc w:val="right"/>
              <w:ind w:right="375"/>
              <w:spacing w:after="0"/>
              <w:rPr>
                <w:sz w:val="20"/>
                <w:szCs w:val="20"/>
                <w:color w:val="auto"/>
              </w:rPr>
            </w:pPr>
            <w:r>
              <w:rPr>
                <w:rFonts w:ascii="Arial" w:cs="Arial" w:eastAsia="Arial" w:hAnsi="Arial"/>
                <w:sz w:val="14"/>
                <w:szCs w:val="14"/>
                <w:b w:val="1"/>
                <w:bCs w:val="1"/>
                <w:color w:val="auto"/>
              </w:rPr>
              <w:t>As of June 30,</w:t>
            </w:r>
          </w:p>
        </w:tc>
      </w:tr>
      <w:tr>
        <w:trPr>
          <w:trHeight w:val="195"/>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600" w:type="dxa"/>
            <w:vAlign w:val="bottom"/>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40"/>
        </w:trPr>
        <w:tc>
          <w:tcPr>
            <w:tcW w:w="70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JPMorgan Credit Facility</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w:t>
            </w: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Other obligations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issuance costs and debt discount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14,319</w:t>
            </w:r>
          </w:p>
        </w:tc>
      </w:tr>
      <w:tr>
        <w:trPr>
          <w:trHeight w:val="23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debt and other financing arrangements, current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Debt and other financing arrangements, noncurrent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13,644</w:t>
            </w: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Details of interest expense presented on the Condensed Consolidated Statements of Operations are as follows:</w:t>
      </w:r>
    </w:p>
    <w:p>
      <w:pPr>
        <w:spacing w:after="0" w:line="365"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40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Antara Term Facility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7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6800" w:type="dxa"/>
            <w:vAlign w:val="bottom"/>
            <w:gridSpan w:val="2"/>
          </w:tcPr>
          <w:p>
            <w:pPr>
              <w:ind w:left="20"/>
              <w:spacing w:after="0"/>
              <w:rPr>
                <w:sz w:val="20"/>
                <w:szCs w:val="20"/>
                <w:color w:val="auto"/>
              </w:rPr>
            </w:pPr>
            <w:r>
              <w:rPr>
                <w:rFonts w:ascii="Arial" w:cs="Arial" w:eastAsia="Arial" w:hAnsi="Arial"/>
                <w:sz w:val="18"/>
                <w:szCs w:val="18"/>
                <w:color w:val="auto"/>
              </w:rPr>
              <w:t>JPMorgan Credit Facility</w:t>
            </w:r>
          </w:p>
        </w:tc>
        <w:tc>
          <w:tcPr>
            <w:tcW w:w="4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0"/>
        </w:trPr>
        <w:tc>
          <w:tcPr>
            <w:tcW w:w="7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4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3"/>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Total interest expense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JPMorgan Chase Bank Credit Agreement</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$30.0 million senior secured term loan facility (“2020 Antara Term Facility”) with Antara Capital Master Fund LP (“Antara”) and entered into a credit agreement (the “2021 JPMorgan Credit Agreement”) with JPMorgan Chase Bank, N.A (“JPMorgan”).</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2021 JPMorgan Credit Agreement provides for a $5 million secured revolving credit facility (the “2021 JPMorgan Revolving Facility”) and a $15 million secured term facility (the “2021 JPMorgan Secured Term Facility” and together with the 2021 JPMorgan Revolving Facility, as amended, the “2021 JPMorgan Credit Facility”), which includes an uncommitted expansion feature that allows the Company to increase the total revolving commitments and/or add new tranches of term loans in an aggregate amount not to exceed $5 million. In connection with the consummation of the 2021 JPMorgan Credit Agreement, the Company repaid all amounts outstanding under the 2020 Antara Term Facility. The Company recognized $2.8 million of interest expense related to the 2020 Antara Term Facility during the fiscal quarter ended September 30, 2020, including the recognition of $2.6 million of unamortized issuance costs and debt discount as interest expense, reflecting the difference between the carrying value of the 2020 Antara Term Facility and the amount due upon repayment.</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2021 JPMorgan Credit Facility has a three year maturity, with interest determined, at the Company’s option, on a base rate of LIBOR or Prime Rate plus an applicable spread tied to the Company’s total leverage ratio and having ranges between 2.75% and 3.75% for Prime rate loans and between 3.75% and 4.75% for LIBOR rate loans. In the event of default, the interest rate may be increased by 2.00%. The 2021 JPMorgan Credit Facility carries a commitment fee of 0.50% per annum on the unused portion. From August 14, 2020 through March 2, 2021, the applicable interest rate was Prime Rate plus 3.75%. On March 2, 2021, the Company entered into an amendment (the “First Amendment”) to the 2021 JPMorgan Credit Facility lowering the interest rate charged to the Company. In conjunction with the First Amendment, the Company elected to convert its loans to a Eurodollar borrowing which is subject to a LIBOR based interest rate. As of September 30, 2021, the applicable interest rate for the 2021 JPMorgan Secured Term Facility is a base rate of 0.75% and a spread of 4.25% for a total applicable interest rate of 5%.</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Principal payments are due in quarterly installments of $187,500 beginning December 31, 2020 through September 30, 2022 for a total annual repayment of $750,000 and total repayment over the period of $1.5 million. Beginning December 31, 2022 through June 30, 2023, principal payments are due in quarterly installments of $375,000 for a total repayment over the period of $1.1 million. The remaining unpaid principal amounts are due at the maturity date of the 2021 JPMorgan Credit Facility.</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obligations under the 2021 JPMorgan Credit Facility are secured by first priority security interests in substantially all of the assets of the Company. The 2021 JPMorgan Credit Agreement includes customary representations, warranties and covenants, and acceleration, indemnity and events of default provisions, including a financial covenant requiring the Company to maintain an adjusted quick ratio of not less than 2.75 to 1.00 beginning January 1, 2021, and not less than 3.00 to 1.00 beginning April 1, 2021, and a financial covenant requiring the Company to maintain, as of the end of each of its fiscal quarters commencing with the fiscal quarter ended December 31, 2021, a total leverage ratio of not greater than 3.00 to 1.00.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its financial covenants as of September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Facility with Antara</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9, 2019, the Company entered into a commitment letter with Antara, pursuant to which Antara committed to extend to the Company a $30.0 million senior secured term loan facility ("2020 Antara Term Facility"). On October 9, 2019, the Company also sold shares of the Company’s common stock to Antara at a price below market value. Since the 2020 Antara Term Facility and equity issuance were negotiated in contemplation of each other and executed within a short period of time,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evaluated the debt and equity financing as a combined arrangement, and estimated the fair values of the debt and equity components to allocate the proceeds, net of the registration rights agreement liability on a relative fair value basis between the debt and equity components. The non-lender fees incurred to establish the debt and equity financing arrangement were allocated to the debt and equity components on a relative fair value basis and capitalized on the Company’s balance sheet. The 2020 Antara Term Facility agreement also contained a mandatory prepayment feature that was determined to be an embedded derivative, requiring bifurcation and fair value recognition for the derivative liability.</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2020 Antara Term Facility and entered into the 2021 JPMorgan Credit Agreement described above. The Company de-recognized $2.6 million of unamortized debt issuance costs and debt discount associated with the 2020 Antara Team Facility during the three months ended September 30,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September 30, 2021 and June 30,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September 30,</w:t>
            </w:r>
          </w:p>
        </w:tc>
        <w:tc>
          <w:tcPr>
            <w:tcW w:w="280" w:type="dxa"/>
            <w:vAlign w:val="bottom"/>
          </w:tcPr>
          <w:p>
            <w:pPr>
              <w:spacing w:after="0"/>
              <w:rPr>
                <w:sz w:val="16"/>
                <w:szCs w:val="16"/>
                <w:color w:val="auto"/>
              </w:rPr>
            </w:pPr>
          </w:p>
        </w:tc>
        <w:tc>
          <w:tcPr>
            <w:tcW w:w="1460" w:type="dxa"/>
            <w:vAlign w:val="bottom"/>
          </w:tcPr>
          <w:p>
            <w:pPr>
              <w:jc w:val="right"/>
              <w:ind w:right="354"/>
              <w:spacing w:after="0"/>
              <w:rPr>
                <w:sz w:val="20"/>
                <w:szCs w:val="20"/>
                <w:color w:val="auto"/>
              </w:rPr>
            </w:pPr>
            <w:r>
              <w:rPr>
                <w:rFonts w:ascii="Arial" w:cs="Arial" w:eastAsia="Arial" w:hAnsi="Arial"/>
                <w:sz w:val="14"/>
                <w:szCs w:val="14"/>
                <w:b w:val="1"/>
                <w:bCs w:val="1"/>
                <w:color w:val="auto"/>
              </w:rPr>
              <w:t>As of June 30,</w:t>
            </w:r>
          </w:p>
        </w:tc>
      </w:tr>
      <w:tr>
        <w:trPr>
          <w:trHeight w:val="195"/>
        </w:trPr>
        <w:tc>
          <w:tcPr>
            <w:tcW w:w="76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560" w:type="dxa"/>
            <w:vAlign w:val="bottom"/>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634"/>
              <w:spacing w:after="0"/>
              <w:rPr>
                <w:sz w:val="20"/>
                <w:szCs w:val="20"/>
                <w:color w:val="auto"/>
              </w:rPr>
            </w:pPr>
            <w:r>
              <w:rPr>
                <w:rFonts w:ascii="Arial" w:cs="Arial" w:eastAsia="Arial" w:hAnsi="Arial"/>
                <w:sz w:val="14"/>
                <w:szCs w:val="14"/>
                <w:b w:val="1"/>
                <w:bCs w:val="1"/>
                <w:color w:val="auto"/>
              </w:rPr>
              <w:t>2021</w:t>
            </w:r>
          </w:p>
        </w:tc>
      </w:tr>
      <w:tr>
        <w:trPr>
          <w:trHeight w:val="148"/>
        </w:trPr>
        <w:tc>
          <w:tcPr>
            <w:tcW w:w="7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tax reserve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Accrued compensation and related sales commissions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4,233</w:t>
            </w: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taxes and filing fees payable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 arrangement for the Yoke acquisition*</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2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26,460</w:t>
            </w: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20" w:hanging="112"/>
        <w:spacing w:after="0"/>
        <w:tabs>
          <w:tab w:leader="none" w:pos="120" w:val="left"/>
        </w:tabs>
        <w:numPr>
          <w:ilvl w:val="0"/>
          <w:numId w:val="7"/>
        </w:numPr>
        <w:rPr>
          <w:rFonts w:ascii="Arial" w:cs="Arial" w:eastAsia="Arial" w:hAnsi="Arial"/>
          <w:sz w:val="16"/>
          <w:szCs w:val="16"/>
          <w:i w:val="1"/>
          <w:iCs w:val="1"/>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5 - Acquisition</w:t>
      </w:r>
      <w:r>
        <w:rPr>
          <w:rFonts w:ascii="Arial" w:cs="Arial" w:eastAsia="Arial" w:hAnsi="Arial"/>
          <w:sz w:val="16"/>
          <w:szCs w:val="16"/>
          <w:color w:val="auto"/>
        </w:rPr>
        <w:t xml:space="preserve"> for description of the contingent consideration arrangement.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For the three months ended September 30, 2021, the Company recorded an income tax provision of $89 thousand. As of September 30, 2021, the Company reviewed the existing deferred tax assets and continues to record a full valuation against its deferred tax assets. The income tax provisions primarily relate to the Company's uncertain tax positions, as well as state income and franchise taxes. As of September 30, 2021, the Company had a total unrecognized income tax benefit of $0.5 million. The provision is based upon actual loss before income taxes for the three months ended September 30, 2021, as the use of an estimated annual effective income tax rate does not provide a reliable estimate of the income tax provision.</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For the three months ended September 30, 2020, the Company recorded an income tax provision of $40 thousand. As of September 30, 2020, the Company reviewed the existing deferred tax assets in light of COVID-19 and recorded a full valuation against its deferred tax assets. The income tax provisions primarily relate to the Company's uncertain tax positions, as well as state income and franchise taxes. As of September 30, 2020, the Company had a total unrecognized income tax benefit of $0.2 million. The provision is based upon actual loss before income taxes for the three months ended September 30, 2020, as the use of an estimated annual effective income tax rate does not provide a reliable estimate of the income tax provision.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based on dividends expected to be paid over the expected life of the stock option. The risk-free interest rate assumption is determined by using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rates of the same period as the expected option term of each stock option.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stock options were granted during the three months ended September 30, 2021. The fair value of options granted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2020 were determined using the following assumptions and includes only options with an established grant date under ASC 718: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Three months ended September 30,</w:t>
            </w:r>
          </w:p>
        </w:tc>
      </w:tr>
      <w:tr>
        <w:trPr>
          <w:trHeight w:val="187"/>
        </w:trPr>
        <w:tc>
          <w:tcPr>
            <w:tcW w:w="8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b w:val="1"/>
                <w:bCs w:val="1"/>
                <w:color w:val="auto"/>
              </w:rPr>
              <w:t>2020</w:t>
            </w:r>
          </w:p>
        </w:tc>
      </w:tr>
      <w:tr>
        <w:trPr>
          <w:trHeight w:val="224"/>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 (percent)</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 - 77.3%</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Weighted average expected life (years)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 (percent)</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Risk-free interest rate (percent)</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0.2% - 0.3%</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options granted</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467,500</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Weighted average exercise price</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7.49</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4.41</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based compensation related to stock options with an established grant date for the three months ended September 30, 2021 and 2020 was $0.8 million and $1.1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awards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awarded stock options to certain executives which vest each year over a three to four year period. These stock options are also subject to the achievement of performance goals to be established by the Company's Board for each fiscal year.</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27, 2021, the Compensation Committee of the Board of Directors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 (iii) $16.50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For these performance based awards that provide discretion to the Compensation Committee, a mutual understanding of the key terms and conditions between the Company and the employees have not yet been met and a "Grant Date" as defined in </w:t>
      </w:r>
      <w:r>
        <w:rPr>
          <w:rFonts w:ascii="Arial" w:cs="Arial" w:eastAsia="Arial" w:hAnsi="Arial"/>
          <w:sz w:val="16"/>
          <w:szCs w:val="16"/>
          <w:i w:val="1"/>
          <w:iCs w:val="1"/>
          <w:color w:val="auto"/>
        </w:rPr>
        <w:t>ASC Topic 718 Compensation — Stock Compensation</w:t>
      </w:r>
      <w:r>
        <w:rPr>
          <w:rFonts w:ascii="Arial" w:cs="Arial" w:eastAsia="Arial" w:hAnsi="Arial"/>
          <w:sz w:val="16"/>
          <w:szCs w:val="16"/>
          <w:color w:val="auto"/>
        </w:rPr>
        <w:t>,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The total expense recognized for the three months ended September 30, 2021 for these awards was $0.6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AWARDS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Two employees of Hudson Executive, a greater than 10% shareholder and a related party of the Company, entered into consulting agreements with the Company in August and September of 2020, respectively, under which the consultants provided financial and strategic analysis and advisory services to the Company's CEO through July 31, 2021. As consideration for the services, in March 2021 the consultants were granted a total of 80,000 restricted stock units. In September 2021, the Company extended these consulting agreements through July 31, 2022 and, in connection therewith, the consultants were granted an additional 20,000 restricted stock units. The total expense recognized for the three months ended September 30, 2021 for these consulting agreements was immaterial.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makes annual grants of restricted stock units to executive officers pursuant to long-term stock incentive plans (“LTIPs”) which vest annually, typically over three years. In August 2021, we granted a total of approximately 93,000 restricted stock units with a grant date fair value of approximately $0.97 million to company executives.</w:t>
      </w:r>
    </w:p>
    <w:p>
      <w:pPr>
        <w:spacing w:after="0" w:line="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total expense recognized for common stock awards for the three months ended September 30, 2021 and 2020 was $0.4 million and $0.4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Subpoena</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reported, in the third quarter of fiscal year 2020, the Company responded to a subpoena received from the U.S. Department of Justice that sought records regarding Company activities that occurred during prior financial reporting periods, including restatements. The Company is cooperating fully with the agency’s queries.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has entered into various operating lease obligations. See </w:t>
      </w:r>
      <w:r>
        <w:rPr>
          <w:rFonts w:ascii="Arial" w:cs="Arial" w:eastAsia="Arial" w:hAnsi="Arial"/>
          <w:sz w:val="18"/>
          <w:szCs w:val="18"/>
          <w:i w:val="1"/>
          <w:iCs w:val="1"/>
          <w:color w:val="auto"/>
        </w:rPr>
        <w:t>Note 3 - Leases</w:t>
      </w:r>
      <w:r>
        <w:rPr>
          <w:rFonts w:ascii="Arial" w:cs="Arial" w:eastAsia="Arial" w:hAnsi="Arial"/>
          <w:sz w:val="18"/>
          <w:szCs w:val="18"/>
          <w:color w:val="auto"/>
        </w:rPr>
        <w:t xml:space="preserve">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had firm commitments to purchase inventory of approximately $27 million over the next three years.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should be read in conjunction with the condensed consolidated financial statements and related notes included in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Form 10-Q contains certain forward-looking statements within the meaning of Section 21E of the Securities Exchange Act of 1934, as amended, regarding, among other things, the anticipated financial and operating results of Cantaloupe, Inc. (“Cantaloupe” or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26" w:lineRule="exact"/>
        <w:rPr>
          <w:sz w:val="20"/>
          <w:szCs w:val="20"/>
          <w:color w:val="auto"/>
        </w:rPr>
      </w:pPr>
    </w:p>
    <w:p>
      <w:pPr>
        <w:ind w:left="500" w:hanging="330"/>
        <w:spacing w:after="0" w:line="308" w:lineRule="auto"/>
        <w:tabs>
          <w:tab w:leader="none" w:pos="495"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economic, market or business conditions unrelated to our operating performance, including the impact of the coronavirus disease 2019 (COVID-19) pandemic on the Company's operations, financial condition, and the demand for the Company’s products and services;</w:t>
      </w:r>
    </w:p>
    <w:p>
      <w:pPr>
        <w:spacing w:after="0" w:line="119" w:lineRule="exact"/>
        <w:rPr>
          <w:rFonts w:ascii="Arial" w:cs="Arial" w:eastAsia="Arial" w:hAnsi="Arial"/>
          <w:sz w:val="17"/>
          <w:szCs w:val="17"/>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mutations of COVID-19 and the efficacy of vaccines and treatment developments and their deployment;</w:t>
      </w:r>
    </w:p>
    <w:p>
      <w:pPr>
        <w:spacing w:after="0" w:line="184"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comply with the financial covenants of our credit agreement in connection with the 2021 JPMorgan Credit Facility;</w:t>
      </w:r>
    </w:p>
    <w:p>
      <w:pPr>
        <w:spacing w:after="0" w:line="117"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in the normal course of business or if an unexpected or unusual event would occur;</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Seed’s software solutions or our other products in the future at levels currently anticipated by our Company;</w:t>
      </w:r>
    </w:p>
    <w:p>
      <w:pPr>
        <w:spacing w:after="0" w:line="62"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cancellable by the customer on thirty to sixty days’ notice;</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 and expenses given the developing and unpredictable market for its products;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integrate acquired companies into its current products and services structure;</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 is derived;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103"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disruptions to our systems or unauthorized hacking or credit card fraud;</w:t>
      </w:r>
    </w:p>
    <w:p>
      <w:pPr>
        <w:spacing w:after="0" w:line="103"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we will experience material weaknesses in our internal controls over financial reporting in the future, and are not able to accurately or timely report our financial condition or results of operations;</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remain in compliance with the continued listing standards of The Nasdaq Stock Market LLC (“Nasdaq”) and continue to remain as a member of the US Small-Cap Russell 2000®;</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00" w:hanging="330"/>
        <w:spacing w:after="0" w:line="259"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associated with the currently pending investigation, potential litigation or possible regulatory action arising from the internal investigation conducted by the Audit Committee in fiscal year 2019 and its findings, from the failure to timely file our periodic reports with the Securities and Exchange Commission, from the restatement of the affected financial statements, from allegations related to the registration statement for the follow-on public offering, or from potential litigation or other claims arising from these events.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Part I, Item 1A. “Risk Factors” of our Annual Report on Form 10-K for the fiscal year ended June 30, 2021 (“2021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Cantaloupe, Inc. (“Cantaloupe” or the “Company”), previously known as USA Technologies, Inc., is organized under the laws of the Commonwealth of Pennsylvania. On March 29, 2021, USA Technologies, Inc. filed Articles of Amendment to its Amended and Restated Articles of Incorporation with the Pennsylvania Department of State to effect a change of the Company’s name from “USA Technologies, Inc.” to “Cantaloupe, Inc.,” effective as of April 15, 2021. On April 19, 2021, the Company’s common stock, no par value per share (the “Common Stock”), began trading on the NASDAQ Global Select Market under the ticker symbol “CTLP” and the Company’s Series A Convertible Preferred Stock, no par value per share, began trading on the OTC Markets’ Pink Open Market under the trading symbol, “CTLPP”.</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Cantaloupe is a digital payments and software services company that provides end-to-end technology solutions for the unattended retail market. We are transforming the unattended retail world by offering a solution for payments processing, as well as one that handles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and electric vehicle charging stations, commercial laundry, kiosks, amusements and more, can run their businesses more proactively, predictably, and competitively.</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fiscal year ends June 30. The Company generates revenue in multiple ways. During the three months ended September 30, 2021, we derived approximately 89% and 11% from subscription and transaction fees and equipment sales, respectively. During the three months ended September 30, 2020, we derived approximately 90% and 10% from subscription and transaction fees and equipment sales, respectively.</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spacing w:after="0" w:line="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Financing devices under the Company’s QuickStart Program, which are non-cancellable sixty-month sales-type leases, through an unrelated equipment financing company, if available, or directly from the Company;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typically 36 months duration agreements and are cancellable with 30 to 60 days'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Highlights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Company for the fiscal quarter ended September 30, 2021 are below:</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20,738 Active Customers (as defined below) and 1.1 million Active Devices on our service;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2021, we completed the acquisition of certain assets and liabilities of Delicious Nutritious LLC, doing business as Yoke Payments ("Yoke"), a micro market payments company. Through the acquisition, Yoke's POS platform will now extend its offering to provide self-checkout while seamlessly integrating with Cantaloupe’s inventory management and payment processing platforms;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2021, the Company hosted its inaugural Cantaloupe Innovation Summit at the National Automatic Merchandising Association ("NAMA") Show 2021, showcasing new products and services;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Completed testing and certification of the ePort Engage devices which began shipping at the end of current fiscal quarter. ePort Engage series is our next generation of digital touchscreen devices for the market which provides retailers the ability to captivate consumers in new ways and enables truly frictionless purchasing;</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direct sales teams at the national, regional, and local customer-level and a growing number of original equipment manufacturers and national distribution partners;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promotional upgrade program for 2G and 3G devices to 4G LTE.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we have approximately 185 employees across the United States and offices in Malvern, Pennsylvania and Atlanta, Georgia.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its employees, and its customers operate in geographic locations in which its business operations and financial performance continues to be affected by the COVID-19 pandemic. However, as businesses, schools, and other organizations re-open and continue through economic recovery, the Company has seen increased foot traffic to distributed assets containing our electronic payments solutions. The Company continues to monitor for potential impacts of COVID-19 as new variants emerge and could lead to a resurgence of the virus. Such impacts to our financial statements include, but not limited to, the impairment of goodwill and intangible assets, impairment of long-lived assets including operating lease right-of-use assets, property and equipment and allowance for doubtful accounts for accounts and finance receivables. We have concluded that there are no material impairments as a result of our evaluation.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condensed consolidated financial statements as soon as they become known.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While we are encouraged by the recent gradual lifting of pandemic-related closures and other containment measures across the country, we continue to</w:t>
      </w:r>
    </w:p>
    <w:p>
      <w:pPr>
        <w:spacing w:after="0" w:line="7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following discussion should be read in conjunction with the condensed consolidated financial statements and related notes included in this Form 10-Q. Certain prior years' amounts have been made to conform to the current year's presentation. The changes in presentation did not affect our total revenues, total costs of sales, gross profit, total operating expenses, operating loss, net loss or net loss per common share. For further information on the presentation changes, see </w:t>
      </w:r>
      <w:r>
        <w:rPr>
          <w:rFonts w:ascii="Arial" w:cs="Arial" w:eastAsia="Arial" w:hAnsi="Arial"/>
          <w:sz w:val="17"/>
          <w:szCs w:val="17"/>
          <w:i w:val="1"/>
          <w:iCs w:val="1"/>
          <w:color w:val="auto"/>
        </w:rPr>
        <w:t>Item 1. Financial Statements — Note 2. Summary of Significant Accounting Policies</w:t>
      </w:r>
      <w:r>
        <w:rPr>
          <w:rFonts w:ascii="Arial" w:cs="Arial" w:eastAsia="Arial" w:hAnsi="Arial"/>
          <w:sz w:val="17"/>
          <w:szCs w:val="17"/>
          <w:color w:val="auto"/>
        </w:rPr>
        <w:t>.</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are useful in allowing management and readers to evaluate our strategy of driving growth in devices and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Devices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defines Active Customers as all customers with at least one active device.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Number of Transactions and Total Dollar Volume of Transactions</w:t>
      </w:r>
    </w:p>
    <w:p>
      <w:pPr>
        <w:spacing w:after="0" w:line="22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Transactions are defined as electronic payment transactions that are processed by our technology-enabled solutions. Management uses Total Number and Dollar Volume of transactions to monitor recovery from the COVID-19 pandemic and to evaluate the effectiveness of our new customer strategy and our ability to leverage existing customers and partners.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As of and for the three months ended</w:t>
            </w:r>
          </w:p>
        </w:tc>
        <w:tc>
          <w:tcPr>
            <w:tcW w:w="1380" w:type="dxa"/>
            <w:vAlign w:val="bottom"/>
            <w:tcBorders>
              <w:bottom w:val="single" w:sz="8" w:color="auto"/>
            </w:tcBorders>
          </w:tcPr>
          <w:p>
            <w:pPr>
              <w:spacing w:after="0"/>
              <w:rPr>
                <w:sz w:val="16"/>
                <w:szCs w:val="16"/>
                <w:color w:val="auto"/>
              </w:rPr>
            </w:pPr>
          </w:p>
        </w:tc>
      </w:tr>
      <w:tr>
        <w:trPr>
          <w:trHeight w:val="187"/>
        </w:trPr>
        <w:tc>
          <w:tcPr>
            <w:tcW w:w="4220" w:type="dxa"/>
            <w:vAlign w:val="bottom"/>
          </w:tcPr>
          <w:p>
            <w:pPr>
              <w:spacing w:after="0"/>
              <w:rPr>
                <w:sz w:val="16"/>
                <w:szCs w:val="16"/>
                <w:color w:val="auto"/>
              </w:rPr>
            </w:pPr>
          </w:p>
        </w:tc>
        <w:tc>
          <w:tcPr>
            <w:tcW w:w="146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September 30, 2021</w:t>
            </w: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136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31, 2021</w:t>
            </w:r>
          </w:p>
        </w:tc>
        <w:tc>
          <w:tcPr>
            <w:tcW w:w="1420" w:type="dxa"/>
            <w:vAlign w:val="bottom"/>
          </w:tcPr>
          <w:p>
            <w:pPr>
              <w:jc w:val="right"/>
              <w:ind w:right="54"/>
              <w:spacing w:after="0"/>
              <w:rPr>
                <w:sz w:val="20"/>
                <w:szCs w:val="20"/>
                <w:color w:val="auto"/>
              </w:rPr>
            </w:pPr>
            <w:r>
              <w:rPr>
                <w:rFonts w:ascii="Arial" w:cs="Arial" w:eastAsia="Arial" w:hAnsi="Arial"/>
                <w:sz w:val="14"/>
                <w:szCs w:val="14"/>
                <w:b w:val="1"/>
                <w:bCs w:val="1"/>
                <w:color w:val="auto"/>
                <w:w w:val="99"/>
              </w:rPr>
              <w:t>December 31, 2020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9"/>
              </w:rPr>
              <w:t>September 30, 2020</w:t>
            </w:r>
          </w:p>
        </w:tc>
      </w:tr>
      <w:tr>
        <w:trPr>
          <w:trHeight w:val="211"/>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Devices:</w:t>
            </w:r>
          </w:p>
        </w:tc>
        <w:tc>
          <w:tcPr>
            <w:tcW w:w="14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70"/>
        </w:trPr>
        <w:tc>
          <w:tcPr>
            <w:tcW w:w="4220" w:type="dxa"/>
            <w:vAlign w:val="bottom"/>
          </w:tcPr>
          <w:p>
            <w:pPr>
              <w:ind w:left="20"/>
              <w:spacing w:after="0"/>
              <w:rPr>
                <w:sz w:val="20"/>
                <w:szCs w:val="20"/>
                <w:color w:val="auto"/>
              </w:rPr>
            </w:pPr>
            <w:r>
              <w:rPr>
                <w:rFonts w:ascii="Arial" w:cs="Arial" w:eastAsia="Arial" w:hAnsi="Arial"/>
                <w:sz w:val="18"/>
                <w:szCs w:val="18"/>
                <w:color w:val="auto"/>
              </w:rPr>
              <w:t>Active Devices (thousands)</w:t>
            </w:r>
          </w:p>
        </w:tc>
        <w:tc>
          <w:tcPr>
            <w:tcW w:w="1460" w:type="dxa"/>
            <w:vAlign w:val="bottom"/>
          </w:tcPr>
          <w:p>
            <w:pPr>
              <w:jc w:val="right"/>
              <w:ind w:right="134"/>
              <w:spacing w:after="0"/>
              <w:rPr>
                <w:sz w:val="20"/>
                <w:szCs w:val="20"/>
                <w:color w:val="auto"/>
              </w:rPr>
            </w:pPr>
            <w:r>
              <w:rPr>
                <w:rFonts w:ascii="Arial" w:cs="Arial" w:eastAsia="Arial" w:hAnsi="Arial"/>
                <w:sz w:val="18"/>
                <w:szCs w:val="18"/>
                <w:color w:val="auto"/>
              </w:rPr>
              <w:t>1,115</w:t>
            </w:r>
          </w:p>
        </w:tc>
        <w:tc>
          <w:tcPr>
            <w:tcW w:w="1260" w:type="dxa"/>
            <w:vAlign w:val="bottom"/>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3"/>
                <w:szCs w:val="23"/>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1,085</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1,083</w:t>
            </w:r>
          </w:p>
        </w:tc>
        <w:tc>
          <w:tcPr>
            <w:tcW w:w="138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70"/>
        </w:trPr>
        <w:tc>
          <w:tcPr>
            <w:tcW w:w="4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Customers:</w:t>
            </w: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7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Customers</w:t>
            </w:r>
          </w:p>
        </w:tc>
        <w:tc>
          <w:tcPr>
            <w:tcW w:w="14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20,738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19,834</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18,763</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18,304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w:t>
            </w:r>
          </w:p>
        </w:tc>
      </w:tr>
      <w:tr>
        <w:trPr>
          <w:trHeight w:val="270"/>
        </w:trPr>
        <w:tc>
          <w:tcPr>
            <w:tcW w:w="4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Volumes:</w:t>
            </w:r>
          </w:p>
        </w:tc>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70"/>
        </w:trPr>
        <w:tc>
          <w:tcPr>
            <w:tcW w:w="4220" w:type="dxa"/>
            <w:vAlign w:val="bottom"/>
          </w:tcPr>
          <w:p>
            <w:pPr>
              <w:ind w:left="20"/>
              <w:spacing w:after="0"/>
              <w:rPr>
                <w:sz w:val="20"/>
                <w:szCs w:val="20"/>
                <w:color w:val="auto"/>
              </w:rPr>
            </w:pPr>
            <w:r>
              <w:rPr>
                <w:rFonts w:ascii="Arial" w:cs="Arial" w:eastAsia="Arial" w:hAnsi="Arial"/>
                <w:sz w:val="18"/>
                <w:szCs w:val="18"/>
                <w:color w:val="auto"/>
              </w:rPr>
              <w:t>Total Number of Transactions (millions)</w:t>
            </w:r>
          </w:p>
        </w:tc>
        <w:tc>
          <w:tcPr>
            <w:tcW w:w="1460" w:type="dxa"/>
            <w:vAlign w:val="bottom"/>
          </w:tcPr>
          <w:p>
            <w:pPr>
              <w:jc w:val="right"/>
              <w:ind w:right="134"/>
              <w:spacing w:after="0"/>
              <w:rPr>
                <w:sz w:val="20"/>
                <w:szCs w:val="20"/>
                <w:color w:val="auto"/>
              </w:rPr>
            </w:pPr>
            <w:r>
              <w:rPr>
                <w:rFonts w:ascii="Arial" w:cs="Arial" w:eastAsia="Arial" w:hAnsi="Arial"/>
                <w:sz w:val="18"/>
                <w:szCs w:val="18"/>
                <w:color w:val="auto"/>
              </w:rPr>
              <w:t>257.9</w:t>
            </w:r>
          </w:p>
        </w:tc>
        <w:tc>
          <w:tcPr>
            <w:tcW w:w="1260" w:type="dxa"/>
            <w:vAlign w:val="bottom"/>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23"/>
                <w:szCs w:val="23"/>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213.4</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211.8</w:t>
            </w:r>
          </w:p>
        </w:tc>
        <w:tc>
          <w:tcPr>
            <w:tcW w:w="138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7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Dollar Volume of Transactions (millions)</w:t>
            </w:r>
          </w:p>
        </w:tc>
        <w:tc>
          <w:tcPr>
            <w:tcW w:w="14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553.4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412.7</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422.6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quarter ended September 30, 2021 include:</w:t>
      </w:r>
    </w:p>
    <w:p>
      <w:pPr>
        <w:spacing w:after="0" w:line="23" w:lineRule="exact"/>
        <w:rPr>
          <w:sz w:val="20"/>
          <w:szCs w:val="20"/>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1.11 million Active Devices compared to the same quarter last year of 1.08 million, an increase of approximately 30 thousand Active Devices, or 3%;</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20,738 Active Customers on our service compared to the same quarter last year of 17,760, an increase of 2,978 Active Customers, or 17%; and</w:t>
      </w:r>
    </w:p>
    <w:p>
      <w:pPr>
        <w:spacing w:after="0" w:line="32"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Total Dollar Volumes for the quarter ended September 30, 2021 are approximately 7% higher than the quarter ended June 30, 2021 and 36% higher compared to the average processing volumes for the quarter ended September 30, 2020. See "Revenue and Gross Profit" in Management’s Discussion and Analysis of Financial Condition and Results of Operations above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5657850" cy="6644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664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7"/>
                <w:szCs w:val="17"/>
                <w:color w:val="auto"/>
              </w:rPr>
            </w:pPr>
          </w:p>
        </w:tc>
        <w:tc>
          <w:tcPr>
            <w:tcW w:w="12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224"/>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40,625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33,108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22.7 %</w:t>
            </w: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3,769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36.8 %</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45,780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36,877</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24.1 %</w:t>
            </w: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Costs of sales: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subscription and transaction fees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26,024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19,336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34.6 %</w:t>
            </w: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30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3,301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47.8 %</w:t>
            </w:r>
          </w:p>
        </w:tc>
      </w:tr>
      <w:tr>
        <w:trPr>
          <w:trHeight w:val="223"/>
        </w:trPr>
        <w:tc>
          <w:tcPr>
            <w:tcW w:w="64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costs of sales</w:t>
            </w: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30,904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22,637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36.5 %</w:t>
            </w:r>
          </w:p>
        </w:tc>
      </w:tr>
      <w:tr>
        <w:trPr>
          <w:trHeight w:val="256"/>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Subscription and transaction fees</w:t>
            </w:r>
          </w:p>
        </w:tc>
        <w:tc>
          <w:tcPr>
            <w:tcW w:w="30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14,601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13,772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14,876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14,240</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Subscription and transaction fees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Equipment sales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gross margin</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Total revenues increased by $8.9 million for the three months ended September 30, 2021 compared to the same period in 2020.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is attributed to a $7.5 million and $1.4 million increase in subscription and transaction fees and equipment sales, respectively.</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increase in subscription and transaction fees is primarily driven by the increased processing volumes for the current fiscal year period relative to the prior year as we are currently exceeding pre-pandemic (COVID-19) levels of processing volumes. As businesses, schools and other organizations across the country continue to re-open, we continue to benefit from a broader macroeconomic recovery across the United States. Increase in revenues is also attributed to continued focus of management to grow our Seed services to our customer base and an increase in the Active Devices count compared to the same period last year.</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increase in equipment sales relates to more equipment shipments in the current quarter compared to same period last year driven by customers focused on liquidity during the early days of the COVID-19 pandemic with many committing to 4G device upgrades but holding off on delivery until closer to the discontinuation of 3G network support in 2022. We expect the equipment revenue to continue increasing through the 3G network discontinuation date in North America through the end of the 2022 calendar year.</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increased $8.3 million for the three months ended September 30, 2021 compared to the same period in 2020.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sales is attributed to a $6.7 million and $1.6 million increase in subscription and transaction costs and equipment costs respectively. The increase in cost of sales was primarily driven by an increase in transaction processing fees corresponding with an increase in processing volumes.</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decreased from 38.6% for the three months ended September 30, 2020 to 32.5%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The decrease in gross margin was primarily as a result of a change in revenue mix of higher transaction fees during the current quarter and an out of period adjustment of $0.8 million recorded as a reduction of equipment costs in the prior period.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580" w:type="dxa"/>
            <w:vAlign w:val="bottom"/>
          </w:tcPr>
          <w:p>
            <w:pPr>
              <w:jc w:val="right"/>
              <w:ind w:right="475"/>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Category ($ in thousands)</w:t>
            </w: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75"/>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46.3 %</w:t>
            </w: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Technology and product development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67.7 %</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6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8"/>
        </w:trPr>
        <w:tc>
          <w:tcPr>
            <w:tcW w:w="6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Total operating expenses. </w:t>
      </w:r>
      <w:r>
        <w:rPr>
          <w:rFonts w:ascii="Arial" w:cs="Arial" w:eastAsia="Arial" w:hAnsi="Arial"/>
          <w:sz w:val="16"/>
          <w:szCs w:val="16"/>
          <w:color w:val="auto"/>
        </w:rPr>
        <w:t>Operating expenses decreased by $1.9 million for the three months ended September 30, 2021 compared to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2020. This change is attributed to a decrease of $4.7 million in general and administrative expenses, offset by a $2.2 million increase in technology and product development expenses and a $0.7 million increase in sales and marketing costs. The change in total operating expenses reflects the Company's overall objectives to reduce general and administrative expenses and utilizing savings to invest in innovative technologies and products and increase marketing spend to penetrate new and existing customers with our products and services. See further details on individual categories below.</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approximately $0.7 million for the three months ended September 30, 2021,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2020 and relates primarily to higher sales and marketing employee headcount in the current quarter to support our expanding business and service offerings in the United States and internationally.</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 xml:space="preserve">Technology and product development. </w:t>
      </w:r>
      <w:r>
        <w:rPr>
          <w:rFonts w:ascii="Arial" w:cs="Arial" w:eastAsia="Arial" w:hAnsi="Arial"/>
          <w:sz w:val="18"/>
          <w:szCs w:val="18"/>
          <w:color w:val="auto"/>
        </w:rPr>
        <w:t>Technology and product development expenses increased approximately $2.2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as compared to the same period in 2020. The increase was driven primarily by the Company's objectives of investing in innovative technologies and to further strengthen our network environment and platform through utilizing a combination of company personnel and external consultants.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decreased approximately $4.7 million for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as compared to the same period in 2020. The decrease in general and administrative expenses was primarily driven by a $2.3 million decrease in professional fees due to reduced reliance on external consultants who supported the Company’s accounting, financial reporting and reduced legal fees and a $1.8 million change relating to the network incident in the prior year, which is described below.</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During the three months ended September 30, 2020, the Company experienced a network incident on its transaction processing platform. The Company incurred $1.1 million of non-recurring costs relating to the outage that were included in general and administrative expenses in the prior period and were not included in the current quarter. The Company filed a claim with its insurance provider for the outage related expenses and recovered $0.7 million in the current quarter which was recorded as a reduction of general and administrative expenses for the current quarter.</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consistent for the three months ended September 30, 2021 and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35.1 %</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8"/>
        </w:trPr>
        <w:tc>
          <w:tcPr>
            <w:tcW w:w="6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increased $2.9 million for the three months ended September 30, 2021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 The higher interest expense for the fiscal quarter ended September 30, 2020 was primarily related to the recognition of the remaining balance of unamortized debt issuance costs and debt discount associated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senior secured term loan facility with Antara Capital Master Fund LP of $2.6 million into interest expense, when the Antara Term Facility was fully paid and terminated.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 Adjusted EBITDA</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earnings before income taxes, depreciation, and amortization (“Adjusted EBITDA”) is a non-GAAP financial measure which is not required by or defined under GAAP. We use this non-GAAP financial measure for financial and operational decision-making purposes and as a means to evaluate period-to-period comparisons. We believe that this non-GAAP financial measure provides useful information about our operating results, enhances the overall understanding of past financial performance and future prospects and allows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U.S. GAAP net loss before (i) interest income, (ii) interest expense on debt and reserves, (iii) income tax expense, (iv) depreciation, (v) amortization, (vi) stock-based compensation expense, and (vii) certain other significant infrequent or unusual losses and gains that are not indicative of our core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Below is a reconciliation of U.S. GAAP net loss to Adjusted EBITDA for the three months ended September 30, 2021 and September 30, 2020:</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w w:val="96"/>
              </w:rPr>
              <w:t>Three months ended September 30,</w:t>
            </w:r>
          </w:p>
        </w:tc>
      </w:tr>
      <w:tr>
        <w:trPr>
          <w:trHeight w:val="188"/>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GAAP net loss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Less: interest income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interest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Plus: income tax provision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depreciation expense included in costs of sales for rentals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Plus: depreciation and amortization expense in operating expenses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r>
      <w:tr>
        <w:trPr>
          <w:trHeight w:val="223"/>
        </w:trPr>
        <w:tc>
          <w:tcPr>
            <w:tcW w:w="8240" w:type="dxa"/>
            <w:vAlign w:val="bottom"/>
            <w:tcBorders>
              <w:bottom w:val="single" w:sz="8" w:color="CCEEFF"/>
            </w:tcBorders>
            <w:gridSpan w:val="2"/>
          </w:tcPr>
          <w:p>
            <w:pPr>
              <w:ind w:left="140"/>
              <w:spacing w:after="0" w:line="223"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EBITDA</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81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r>
    </w:tbl>
    <w:p>
      <w:pPr>
        <w:spacing w:after="0" w:line="76"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As an adjustment to EBITDA, we have excluded stock-based compensation, as it does not reflect our cash-based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Historically, we have financed our operations primarily through cash from operating activities, debt financings, and equity issuances. The Company has the following primary sources of capital available: (1) cash and cash equivalents on hand of $82.5 million as of September 30, 2021; (2) the cash that may be provided by operating activities; and (3) up to $5 million available to be drawn on the 2021 JPMorgan Revolving Facility. In addition, management continues to implement efficiencies in working capital that are designed to increase our cash balances.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has estimated and recorded for potential sales tax and related interest and penalty liabilities of $17.4 million in the aggregate as of September 30, 2021. The Company continues to evaluate these liabilities and the amount and timing of any such payments.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financial resources will be sufficient to fund its current twelve-month operating budget from the date of issuance of these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Below are charts that reflect our cash liquidity and outstanding debt as of September 30, 2021 and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168910</wp:posOffset>
            </wp:positionV>
            <wp:extent cx="5572125" cy="257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21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Condensed Consolidated Statement of Cash Flows in Part I, Item 1 of this Quarterly Report for details on the changes in cash and cash equivalents classified by operating, investing and financing activities during our respective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-19050</wp:posOffset>
            </wp:positionV>
            <wp:extent cx="2785745" cy="2117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85745" cy="21170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operating activities was $0.9 million for the three months ended September 30, 2021 compared to cash provided by operating activities of $5.2 million in the same period in the prior year. The change in cash used in operating activities reflects our net loss of $1.3 million, $2.5 million utilized by working capital accounts offset by $2.9 million in non-cash operating charges.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change in working capital accounts is primarily driven by cash used of $3.9 million to increase our inventory on hand, reduction of accrued expenses of approximately $2.2 million offset by cash provided by a reduction of accounts receivable of $3 million in the quarter. The increase in inventory is a result of the Company planning ahead for customers who are continuing to upgrade 3G devices to 4G as the 3G network sunset date approaches in 2022. Cash used in accounts payable and accrued expenses of $2.2 million is mostly attributable to the payment of the accrued salary and bonuses as of June 30, 2021. Cash used in working capital is offset by the decrease in accounts receivable of $3 million as payments for the increased equipment sales generated during the quarter ended June 30, 2021 become due.</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Non-cash operating charges primarily consisted of stock-based compensation, depreciation of property and equipment, amortization of our intangible assets, and provisions for expected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used in investing activities was $4.5 million for the three months ended September 30, 2021 compared to cash used in investing activities of $0.5 million in the same period in the prior year. Increase in cash used is due to the cash paid for the Yoke acquisition of $2.9 million and $1.6 million for increased property and equipment balances driven primarily by the Company's continued focus on investing in innovative technologies and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financing activities was $0.2 million for the three months ended September 30, 2021 compared to cash used in financing activities of $1.7 million in the same period in the prior year. For the three months ended September 30, 2021, the Company made repayments of $0.2 million on outstanding debt mostly attributable to the 2021 JPMorgan Credit Facility. During the three months ended September 30, 2020, the Company refinanced its debt agreements and paid $1.2 million as a prepayment penalty and commitment termination fee to Antara as part of the repayment of the 2020 Antara Term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2021, there were no significant changes to our contractual obligations from those disclosed in the section “Management’s Discussion and Analysis of Financial Condition and Results of Operations” in our Annual Report on Form 10-K for the fiscal year ended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2021, there were no significant changes to our critical accounting policies from those disclosed in the section “Management’s Discussion and Analysis of Financial Condition and Results of Operations” in our Annual Report on Form 10-K for the fiscal year ended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 Summary of Significant Accounting Policies</w:t>
      </w:r>
      <w:r>
        <w:rPr>
          <w:rFonts w:ascii="Arial" w:cs="Arial" w:eastAsia="Arial" w:hAnsi="Arial"/>
          <w:sz w:val="18"/>
          <w:szCs w:val="18"/>
          <w:color w:val="auto"/>
        </w:rPr>
        <w:t xml:space="preserve"> to the condensed consolidated financial statements for a description of recent accounting pronouncements.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quantitative and qualitative disclosures about market risk, see Item 7A, "Quantitative and Qualitative Disclosures About Market Risk," of our Annual Report on Form 10-K for the fiscal year ended June 30, 2021. Our exposures to market risk have not changed materially since June 30,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procedures are effective as of September 30,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the fiscal quarter ended September 30, 2021 that have materially affected, or are reasonably likely to materially affect, our internal controls over financial reporting.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information required by this Item is incorporated herein by reference to the Notes to condensed consolidated financial statements, </w:t>
      </w:r>
      <w:r>
        <w:rPr>
          <w:rFonts w:ascii="Arial" w:cs="Arial" w:eastAsia="Arial" w:hAnsi="Arial"/>
          <w:sz w:val="18"/>
          <w:szCs w:val="18"/>
          <w:i w:val="1"/>
          <w:iCs w:val="1"/>
          <w:color w:val="auto"/>
        </w:rPr>
        <w:t>Note 13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in Part I, Item 1,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the Company’s risk factors, see the information under the heading “Risk Factors” in the Company’s Annual Report on Form 10-K for the fiscal year ended June 30, 2021, as supplemented by the amended risk factor set forth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coronavirus disease 2019 (“COVID-19”) pandemic has and may continue to significantly and adversely impact our business.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spread of the COVID-19 pandemic has created significant volatility, uncertainty and economic disruption on our business. Electronic payment transaction volume within unattended markets decreased significantly at the onset of the pandemic, as government authorities imposed forced closure of non-essential businesses and social distancing protocols, significantly reducing foot traffic to distributed assets containing our electronic payment solutions and reducing discretionary spending by consumers.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COVID-19, the technology industry is experiencing disruptions within its supply chain. We have experienced, and may continue to experience delays in securing the components and finished goods of our hardware products that we market and sell to our customers. Supply chain delays could cause shortages of our hardware products, which could negatively affect our ability to retain and acquire customers and could adversely impact our financial results.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extent to which the COVID-19 pandemic continues to impact our business, operations and financial results will depend on numerous evolving factors that we are not able to accurately predict, including: the duration and scope of the pandemic; potential mutations of COVID-19; the efficacy of vaccines and treatment developments and their deployment; governmental, business and individuals’ actions that have been and continue to be taken in response to the pandemic; and the impact of the pandemic on economic activity and actions taken in response. Furthermore, even as containment measures are lifted there can be no assurance as to whether further measures will be implemented, or the time required to sustain operations and sales at pre-pandemic levels. There may also be increased marketplace consolidation as companies are challenged to respond to the continued evolving conditions of COVID-19.</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sustained or recurring downturn could result in a decrease in the fair value of our goodwill or other intangible assets, causing them to exceed their carrying value. This may require us to recognize an impairment to those assets. Further, the COVID-19 pandemic could decrease consumer spending, adversely affect demand for our technology and services, cause one or more of our customers and partners to file for bankruptcy protection or go out of business, cause one or more of our customers to fail to renew, terminate, or renegotiate their contracts, affect the ability of our sales team to travel to potential customers, impact expected spending from new customers and negatively impact collections of accounts receivable, all of which could adversely affect our business, results of operations and financial condition. In response to the outbreak, we agreed to concessions on price and/or payment terms with certain customers who have been negatively impacted by the COVID-19 pandemic, and may negotiate additional concessions on price and/or payment terms.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for us to predict the future impact of the pandemic and its effects on our business, results of operations or financial condition at this time.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defaults on any senior securities. The total liquidation preference including accrued and unpaid dividends on our Series A Convertible Preferred Stock as of September 30, 2021 was $21.8 million. The dividend accrual dates for our Preferred Stock are February 1 and August 1. The annual cumulative dividend on our Preferred Stock is $1.50 per share.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w:t>
            </w:r>
          </w:p>
        </w:tc>
        <w:tc>
          <w:tcPr>
            <w:tcW w:w="9920" w:type="dxa"/>
            <w:vAlign w:val="bottom"/>
            <w:gridSpan w:val="10"/>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Amended and Restated Articles of Incorporation, as amended through May 29, 2020 (incorporated by reference to Exhibit 3.1 to Form 8-</w:t>
              </w:r>
            </w:hyperlink>
          </w:p>
        </w:tc>
      </w:tr>
      <w:tr>
        <w:trPr>
          <w:trHeight w:val="183"/>
        </w:trPr>
        <w:tc>
          <w:tcPr>
            <w:tcW w:w="122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A12B filed on November 17, 2020).</w:t>
              </w:r>
            </w:hyperlink>
          </w:p>
        </w:tc>
        <w:tc>
          <w:tcPr>
            <w:tcW w:w="728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507"/>
        </w:trPr>
        <w:tc>
          <w:tcPr>
            <w:tcW w:w="1220" w:type="dxa"/>
            <w:vAlign w:val="bottom"/>
          </w:tcPr>
          <w:p>
            <w:pPr>
              <w:spacing w:after="0"/>
              <w:rPr>
                <w:sz w:val="20"/>
                <w:szCs w:val="20"/>
                <w:color w:val="auto"/>
              </w:rPr>
            </w:pPr>
            <w:r>
              <w:rPr>
                <w:rFonts w:ascii="Arial" w:cs="Arial" w:eastAsia="Arial" w:hAnsi="Arial"/>
                <w:sz w:val="18"/>
                <w:szCs w:val="18"/>
                <w:color w:val="auto"/>
              </w:rPr>
              <w:t>3.2</w:t>
            </w:r>
          </w:p>
        </w:tc>
        <w:tc>
          <w:tcPr>
            <w:tcW w:w="9920" w:type="dxa"/>
            <w:vAlign w:val="bottom"/>
            <w:gridSpan w:val="10"/>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Articles of Amendment to the Amended and Restated Articles of Incorporation of the Company (incorporated by reference to Exhibit 3.1</w:t>
              </w:r>
            </w:hyperlink>
          </w:p>
        </w:tc>
      </w:tr>
      <w:tr>
        <w:trPr>
          <w:trHeight w:val="183"/>
        </w:trPr>
        <w:tc>
          <w:tcPr>
            <w:tcW w:w="122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to Form 8-K filed on April 2, 2021).</w:t>
              </w:r>
            </w:hyperlink>
          </w:p>
        </w:tc>
        <w:tc>
          <w:tcPr>
            <w:tcW w:w="726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93"/>
        </w:trPr>
        <w:tc>
          <w:tcPr>
            <w:tcW w:w="1220" w:type="dxa"/>
            <w:vAlign w:val="bottom"/>
          </w:tcPr>
          <w:p>
            <w:pPr>
              <w:spacing w:after="0"/>
              <w:rPr>
                <w:sz w:val="20"/>
                <w:szCs w:val="20"/>
                <w:color w:val="auto"/>
              </w:rPr>
            </w:pPr>
            <w:r>
              <w:rPr>
                <w:rFonts w:ascii="Arial" w:cs="Arial" w:eastAsia="Arial" w:hAnsi="Arial"/>
                <w:sz w:val="18"/>
                <w:szCs w:val="18"/>
                <w:color w:val="auto"/>
              </w:rPr>
              <w:t>3.3</w:t>
            </w:r>
          </w:p>
        </w:tc>
        <w:tc>
          <w:tcPr>
            <w:tcW w:w="8660" w:type="dxa"/>
            <w:vAlign w:val="bottom"/>
            <w:tcBorders>
              <w:bottom w:val="single" w:sz="8" w:color="0000FF"/>
            </w:tcBorders>
            <w:gridSpan w:val="5"/>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Second Amended and Restated Bylaws (incorporated by reference to Exhibit 3.1 to Form 8-K filed on August 10, 2021)</w:t>
              </w:r>
            </w:hyperlink>
          </w:p>
        </w:tc>
        <w:tc>
          <w:tcPr>
            <w:tcW w:w="1260" w:type="dxa"/>
            <w:vAlign w:val="bottom"/>
            <w:gridSpan w:val="5"/>
          </w:tcPr>
          <w:p>
            <w:pPr>
              <w:spacing w:after="0"/>
              <w:rPr>
                <w:sz w:val="24"/>
                <w:szCs w:val="24"/>
                <w:color w:val="auto"/>
              </w:rPr>
            </w:pPr>
          </w:p>
        </w:tc>
      </w:tr>
      <w:tr>
        <w:trPr>
          <w:trHeight w:val="493"/>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gridSpan w:val="1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Certifications of Chief Executive Officer pursuant to Rule 13a-14(a) under the Securities Exchange Act of 1934.</w:t>
              </w:r>
            </w:hyperlink>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80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Certifications of Chief Financial Officer pursuant to Rule 13a-14(a) under the Securities Exchange Act of 1934.</w:t>
              </w:r>
            </w:hyperlink>
          </w:p>
        </w:tc>
        <w:tc>
          <w:tcPr>
            <w:tcW w:w="40" w:type="dxa"/>
            <w:vAlign w:val="bottom"/>
            <w:tcBorders>
              <w:top w:val="single" w:sz="8" w:color="0000FF"/>
            </w:tcBorders>
          </w:tcPr>
          <w:p>
            <w:pPr>
              <w:spacing w:after="0"/>
              <w:rPr>
                <w:sz w:val="24"/>
                <w:szCs w:val="24"/>
                <w:color w:val="auto"/>
              </w:rPr>
            </w:pPr>
          </w:p>
        </w:tc>
        <w:tc>
          <w:tcPr>
            <w:tcW w:w="1820" w:type="dxa"/>
            <w:vAlign w:val="bottom"/>
            <w:gridSpan w:val="6"/>
          </w:tcPr>
          <w:p>
            <w:pPr>
              <w:spacing w:after="0"/>
              <w:rPr>
                <w:sz w:val="24"/>
                <w:szCs w:val="24"/>
                <w:color w:val="auto"/>
              </w:rPr>
            </w:pP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920" w:type="dxa"/>
            <w:vAlign w:val="bottom"/>
            <w:gridSpan w:val="10"/>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of the Chief Executive Officer pursuant to 18 USC Section 1350, as adopted pursuant to Section 906 of the Sarbanes-Oxley</w:t>
              </w:r>
            </w:hyperlink>
          </w:p>
        </w:tc>
      </w:tr>
      <w:tr>
        <w:trPr>
          <w:trHeight w:val="156"/>
        </w:trPr>
        <w:tc>
          <w:tcPr>
            <w:tcW w:w="1220" w:type="dxa"/>
            <w:vAlign w:val="bottom"/>
          </w:tcPr>
          <w:p>
            <w:pPr>
              <w:spacing w:after="0"/>
              <w:rPr>
                <w:sz w:val="13"/>
                <w:szCs w:val="13"/>
                <w:color w:val="auto"/>
              </w:rPr>
            </w:pPr>
          </w:p>
        </w:tc>
        <w:tc>
          <w:tcPr>
            <w:tcW w:w="98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Act of 2002.</w:t>
              </w:r>
            </w:hyperlink>
          </w:p>
        </w:tc>
        <w:tc>
          <w:tcPr>
            <w:tcW w:w="60" w:type="dxa"/>
            <w:vAlign w:val="bottom"/>
            <w:gridSpan w:val="3"/>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920" w:type="dxa"/>
            <w:vAlign w:val="bottom"/>
            <w:gridSpan w:val="10"/>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the Chief Financial Officer pursuant to 18 USC Section 1350, as adopted pursuant to Section 906 of the Sarbanes-Oxley</w:t>
              </w:r>
            </w:hyperlink>
          </w:p>
        </w:tc>
      </w:tr>
      <w:tr>
        <w:trPr>
          <w:trHeight w:val="156"/>
        </w:trPr>
        <w:tc>
          <w:tcPr>
            <w:tcW w:w="1220" w:type="dxa"/>
            <w:vAlign w:val="bottom"/>
          </w:tcPr>
          <w:p>
            <w:pPr>
              <w:spacing w:after="0"/>
              <w:rPr>
                <w:sz w:val="13"/>
                <w:szCs w:val="13"/>
                <w:color w:val="auto"/>
              </w:rPr>
            </w:pPr>
          </w:p>
        </w:tc>
        <w:tc>
          <w:tcPr>
            <w:tcW w:w="98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40">
              <w:r>
                <w:rPr>
                  <w:rFonts w:ascii="Arial" w:cs="Arial" w:eastAsia="Arial" w:hAnsi="Arial"/>
                  <w:sz w:val="18"/>
                  <w:szCs w:val="18"/>
                  <w:color w:val="0000FF"/>
                </w:rPr>
                <w:t>Act of 2002.</w:t>
              </w:r>
            </w:hyperlink>
          </w:p>
        </w:tc>
        <w:tc>
          <w:tcPr>
            <w:tcW w:w="120" w:type="dxa"/>
            <w:vAlign w:val="bottom"/>
            <w:gridSpan w:val="4"/>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1240" w:hanging="1214"/>
        <w:spacing w:after="0" w:line="241"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September 30, 2021, filed with the SEC on November 5, 2021, is formatted in Inline Extensible Business Reporting Language (“iXBRL”): (1) the Condensed Consolidated Balance Sheets as of September 30, 2021 and June 30, 2021, (2) the Condensed Consolidated Statements of Operations for the three-month periods ended September 30, 2021 and 2020, (3) the Condensed Consolidated Statements of Shareholders’ Equity for the three-month periods ended September 30, 2021 and 2020, (4) the Condensed Consolidated Statements of Cash Flows for the three-month periods ended September 30, 2021 and 2020, and (5) the Notes to Consolidated Financial Statements.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22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00" w:type="dxa"/>
            <w:vAlign w:val="bottom"/>
            <w:vMerge w:val="continue"/>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85"/>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240" w:right="180" w:hanging="1214"/>
        <w:spacing w:after="0" w:line="235"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cover page from our Quarterly Report on Form 10-Q for the quarter ended September 30, 2021, filed with the SEC on November 5, 2021, is formatted as Inline iXBRL and contained in Exhibit 101.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Cantaloupe, Inc.</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November 5,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November 5,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Sean Feeney, certify that:</w:t>
      </w:r>
    </w:p>
    <w:p>
      <w:pPr>
        <w:spacing w:after="0" w:line="202" w:lineRule="exact"/>
        <w:rPr>
          <w:sz w:val="20"/>
          <w:szCs w:val="20"/>
          <w:color w:val="auto"/>
        </w:rPr>
      </w:pPr>
    </w:p>
    <w:p>
      <w:pPr>
        <w:ind w:left="660" w:hanging="652"/>
        <w:spacing w:after="0" w:line="253" w:lineRule="exact"/>
        <w:tabs>
          <w:tab w:leader="none" w:pos="660" w:val="left"/>
        </w:tabs>
        <w:numPr>
          <w:ilvl w:val="0"/>
          <w:numId w:val="15"/>
        </w:numPr>
        <w:rPr>
          <w:rFonts w:ascii="Arial" w:cs="Arial" w:eastAsia="Arial" w:hAnsi="Arial"/>
          <w:sz w:val="22"/>
          <w:szCs w:val="22"/>
          <w:color w:val="008080"/>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Cantaloupe, Inc.;</w:t>
      </w:r>
    </w:p>
    <w:p>
      <w:pPr>
        <w:spacing w:after="0" w:line="174" w:lineRule="exact"/>
        <w:rPr>
          <w:rFonts w:ascii="Arial" w:cs="Arial" w:eastAsia="Arial" w:hAnsi="Arial"/>
          <w:sz w:val="22"/>
          <w:szCs w:val="22"/>
          <w:color w:val="008080"/>
        </w:rPr>
      </w:pPr>
    </w:p>
    <w:p>
      <w:pPr>
        <w:jc w:val="both"/>
        <w:ind w:left="66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November 5,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06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 Wayne Jackson, certify that:</w:t>
      </w:r>
    </w:p>
    <w:p>
      <w:pPr>
        <w:spacing w:after="0" w:line="202" w:lineRule="exact"/>
        <w:rPr>
          <w:sz w:val="20"/>
          <w:szCs w:val="20"/>
          <w:color w:val="auto"/>
        </w:rPr>
      </w:pPr>
    </w:p>
    <w:p>
      <w:pPr>
        <w:ind w:left="660" w:hanging="652"/>
        <w:spacing w:after="0" w:line="253" w:lineRule="exact"/>
        <w:tabs>
          <w:tab w:leader="none" w:pos="660" w:val="left"/>
        </w:tabs>
        <w:numPr>
          <w:ilvl w:val="0"/>
          <w:numId w:val="16"/>
        </w:numPr>
        <w:rPr>
          <w:rFonts w:ascii="Arial" w:cs="Arial" w:eastAsia="Arial" w:hAnsi="Arial"/>
          <w:sz w:val="22"/>
          <w:szCs w:val="22"/>
          <w:color w:val="008080"/>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Cantaloupe, Inc.;</w:t>
      </w:r>
    </w:p>
    <w:p>
      <w:pPr>
        <w:spacing w:after="0" w:line="174" w:lineRule="exact"/>
        <w:rPr>
          <w:rFonts w:ascii="Arial" w:cs="Arial" w:eastAsia="Arial" w:hAnsi="Arial"/>
          <w:sz w:val="22"/>
          <w:szCs w:val="22"/>
          <w:color w:val="008080"/>
        </w:rPr>
      </w:pPr>
    </w:p>
    <w:p>
      <w:pPr>
        <w:jc w:val="both"/>
        <w:ind w:left="66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November 5,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06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September 30, 2021 (the “Report”), I, Sean Feeney, Chief Executive Officer of the Company, hereby certify that to my knowledge:</w:t>
      </w:r>
    </w:p>
    <w:p>
      <w:pPr>
        <w:spacing w:after="0" w:line="162"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632"/>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November 5,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066"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September 30, 2021 (the “Report”), I, R. Wayne Jackson, Chief Financial Officer of the Company, hereby certify that to my knowledge:</w:t>
      </w:r>
    </w:p>
    <w:p>
      <w:pPr>
        <w:spacing w:after="0" w:line="162"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632"/>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November 5,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0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4" Type="http://schemas.openxmlformats.org/officeDocument/2006/relationships/image" Target="media/image64.png"/><Relationship Id="rId71" Type="http://schemas.openxmlformats.org/officeDocument/2006/relationships/hyperlink" Target="https://www.sec.gov/Archives/edgar/data/896429/000091412120004117/us55454438-ex3_1.htm" TargetMode="External"/><Relationship Id="rId72" Type="http://schemas.openxmlformats.org/officeDocument/2006/relationships/hyperlink" Target="https://www.sec.gov/Archives/edgar/data/896429/000091412121002061/us56037089-ex3_1.htm" TargetMode="External"/><Relationship Id="rId73" Type="http://schemas.openxmlformats.org/officeDocument/2006/relationships/hyperlink" Target="https://www.sec.gov/ix?doc=/Archives/edgar/data/0000896429/000091412121005445/p56531664-8k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2021-11-05T07:25:12Z</dcterms:created>
  <dcterms:modified xsi:type="dcterms:W3CDTF">2021-11-05T07:25:12Z</dcterms:modified>
</cp:coreProperties>
</file>