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001-33365</w:t>
        </w:r>
      </w:hyperlink>
    </w:p>
    <w:p>
      <w:pPr>
        <w:spacing w:after="0" w:line="136" w:lineRule="exact"/>
        <w:rPr>
          <w:sz w:val="24"/>
          <w:szCs w:val="24"/>
          <w:color w:val="auto"/>
        </w:rPr>
      </w:pPr>
    </w:p>
    <w:p>
      <w:pPr>
        <w:jc w:val="center"/>
        <w:ind w:left="3380"/>
        <w:spacing w:after="0"/>
        <w:tabs>
          <w:tab w:leader="none" w:pos="34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CANTALOUPE, INC.</w:t>
        </w:r>
      </w:hyperlink>
    </w:p>
    <w:p>
      <w:pPr>
        <w:spacing w:after="0" w:line="57"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440"/>
        <w:spacing w:after="0"/>
        <w:tabs>
          <w:tab w:leader="none" w:pos="40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100 Deerfield Lane</w:t>
      </w:r>
    </w:p>
    <w:p>
      <w:pPr>
        <w:spacing w:after="0" w:line="6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0000FF"/>
        </w:rPr>
        <w:t>Suite 300</w:t>
      </w:r>
    </w:p>
    <w:p>
      <w:pPr>
        <w:spacing w:after="0" w:line="6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0000FF"/>
        </w:rPr>
        <w:t>Malvern PENNSYLVANIA 19355</w:t>
      </w:r>
    </w:p>
    <w:p>
      <w:pPr>
        <w:spacing w:after="0" w:line="63" w:lineRule="exact"/>
        <w:rPr>
          <w:sz w:val="24"/>
          <w:szCs w:val="24"/>
          <w:color w:val="auto"/>
        </w:rPr>
      </w:pPr>
    </w:p>
    <w:p>
      <w:pPr>
        <w:ind w:left="2440"/>
        <w:spacing w:after="0"/>
        <w:tabs>
          <w:tab w:leader="none" w:pos="656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610-989-0340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2026-05-08</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0000FF"/>
              </w:rPr>
              <w:t>Katelin Rowe</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0000FF"/>
              </w:rPr>
              <w:t>CDO Analyst</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Ctlp-form25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3365" TargetMode="External"/><Relationship Id="rId11" Type="http://schemas.openxmlformats.org/officeDocument/2006/relationships/hyperlink" Target="http://www.sec.gov/cgi-bin/browse-edgar?action=getcompany&amp;CIK=00008964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2026-05-08T08:38:30Z</dcterms:created>
  <dcterms:modified xsi:type="dcterms:W3CDTF">2026-05-08T08:38:30Z</dcterms:modified>
</cp:coreProperties>
</file>