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60" w:right="1900" w:hanging="3752"/>
        <w:spacing w:after="0" w:line="503"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2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2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23-2679963</w:t>
            </w:r>
          </w:p>
        </w:tc>
        <w:tc>
          <w:tcPr>
            <w:tcW w:w="740" w:type="dxa"/>
            <w:vAlign w:val="bottom"/>
          </w:tcPr>
          <w:p>
            <w:pPr>
              <w:spacing w:after="0"/>
              <w:rPr>
                <w:sz w:val="21"/>
                <w:szCs w:val="21"/>
                <w:color w:val="auto"/>
              </w:rPr>
            </w:pPr>
          </w:p>
        </w:tc>
      </w:tr>
      <w:tr>
        <w:trPr>
          <w:trHeight w:val="230"/>
        </w:trPr>
        <w:tc>
          <w:tcPr>
            <w:tcW w:w="57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gridSpan w:val="5"/>
          </w:tcPr>
          <w:p>
            <w:pPr>
              <w:jc w:val="center"/>
              <w:ind w:left="157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27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spacing w:after="0"/>
              <w:rPr>
                <w:sz w:val="20"/>
                <w:szCs w:val="20"/>
                <w:color w:val="auto"/>
              </w:rPr>
            </w:pPr>
          </w:p>
        </w:tc>
        <w:tc>
          <w:tcPr>
            <w:tcW w:w="1880" w:type="dxa"/>
            <w:vAlign w:val="bottom"/>
            <w:gridSpan w:val="4"/>
          </w:tcPr>
          <w:p>
            <w:pPr>
              <w:jc w:val="center"/>
              <w:ind w:right="76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3" w:right="239" w:bottom="1440" w:gutter="0" w:footer="0" w:header="0"/>
        </w:sectPr>
      </w:pPr>
    </w:p>
    <w:p>
      <w:pPr>
        <w:spacing w:after="0" w:line="114" w:lineRule="exact"/>
        <w:rPr>
          <w:sz w:val="24"/>
          <w:szCs w:val="24"/>
          <w:color w:val="auto"/>
        </w:rPr>
      </w:pPr>
    </w:p>
    <w:p>
      <w:pPr>
        <w:ind w:left="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12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3">
            <w:col w:w="4020" w:space="720"/>
            <w:col w:w="3340" w:space="720"/>
            <w:col w:w="2620"/>
          </w:cols>
          <w:pgMar w:left="240" w:top="783"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2016, there were 35,944,615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20" w:type="dxa"/>
            <w:vAlign w:val="bottom"/>
            <w:gridSpan w:val="7"/>
          </w:tcPr>
          <w:p>
            <w:pPr>
              <w:jc w:val="center"/>
              <w:ind w:right="2700"/>
              <w:spacing w:after="0"/>
              <w:rPr>
                <w:sz w:val="20"/>
                <w:szCs w:val="20"/>
                <w:color w:val="auto"/>
              </w:rPr>
            </w:pPr>
            <w:r>
              <w:rPr>
                <w:rFonts w:ascii="Arial" w:cs="Arial" w:eastAsia="Arial" w:hAnsi="Arial"/>
                <w:sz w:val="18"/>
                <w:szCs w:val="18"/>
                <w:color w:val="auto"/>
                <w:w w:val="96"/>
              </w:rPr>
              <w:t>USA TECHNOLOGIES, INC.</w:t>
            </w:r>
          </w:p>
        </w:tc>
        <w:tc>
          <w:tcPr>
            <w:tcW w:w="16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520" w:type="dxa"/>
            <w:vAlign w:val="bottom"/>
            <w:gridSpan w:val="7"/>
          </w:tcPr>
          <w:p>
            <w:pPr>
              <w:jc w:val="center"/>
              <w:ind w:right="2700"/>
              <w:spacing w:after="0"/>
              <w:rPr>
                <w:sz w:val="20"/>
                <w:szCs w:val="20"/>
                <w:color w:val="auto"/>
              </w:rPr>
            </w:pPr>
            <w:r>
              <w:rPr>
                <w:rFonts w:ascii="Arial" w:cs="Arial" w:eastAsia="Arial" w:hAnsi="Arial"/>
                <w:sz w:val="18"/>
                <w:szCs w:val="18"/>
                <w:color w:val="auto"/>
                <w:w w:val="95"/>
              </w:rPr>
              <w:t>TABLE OF CONTENTS</w:t>
            </w:r>
          </w:p>
        </w:tc>
        <w:tc>
          <w:tcPr>
            <w:tcW w:w="1600" w:type="dxa"/>
            <w:vAlign w:val="bottom"/>
          </w:tcPr>
          <w:p>
            <w:pPr>
              <w:spacing w:after="0"/>
              <w:rPr>
                <w:sz w:val="24"/>
                <w:szCs w:val="24"/>
                <w:color w:val="auto"/>
              </w:rPr>
            </w:pPr>
          </w:p>
        </w:tc>
      </w:tr>
      <w:tr>
        <w:trPr>
          <w:trHeight w:val="432"/>
        </w:trPr>
        <w:tc>
          <w:tcPr>
            <w:tcW w:w="9820" w:type="dxa"/>
            <w:vAlign w:val="bottom"/>
            <w:gridSpan w:val="15"/>
          </w:tcPr>
          <w:p>
            <w:pPr>
              <w:spacing w:after="0"/>
              <w:rPr>
                <w:sz w:val="20"/>
                <w:szCs w:val="20"/>
                <w:color w:val="auto"/>
              </w:rPr>
            </w:pPr>
            <w:r>
              <w:rPr>
                <w:rFonts w:ascii="Arial" w:cs="Arial" w:eastAsia="Arial" w:hAnsi="Arial"/>
                <w:sz w:val="18"/>
                <w:szCs w:val="18"/>
                <w:color w:val="auto"/>
              </w:rPr>
              <w:t>Part I - Financial Information</w:t>
            </w:r>
          </w:p>
        </w:tc>
        <w:tc>
          <w:tcPr>
            <w:tcW w:w="160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rPr>
                <w:sz w:val="20"/>
                <w:szCs w:val="20"/>
                <w:color w:val="auto"/>
              </w:rPr>
            </w:pPr>
            <w:r>
              <w:rPr>
                <w:rFonts w:ascii="Arial" w:cs="Arial" w:eastAsia="Arial" w:hAnsi="Arial"/>
                <w:sz w:val="18"/>
                <w:szCs w:val="18"/>
                <w:color w:val="auto"/>
              </w:rPr>
              <w:t>Consolidated Financial Statements (Unaudited)</w:t>
            </w:r>
          </w:p>
        </w:tc>
        <w:tc>
          <w:tcPr>
            <w:tcW w:w="160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December 31, 2015 and June 30, 2015</w:t>
              </w:r>
            </w:hyperlink>
          </w:p>
        </w:tc>
        <w:tc>
          <w:tcPr>
            <w:tcW w:w="3620" w:type="dxa"/>
            <w:vAlign w:val="bottom"/>
            <w:gridSpan w:val="5"/>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six months ended December 31, 2015 and 2014</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8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Six months ended December 31, 2015</w:t>
              </w:r>
            </w:hyperlink>
          </w:p>
        </w:tc>
        <w:tc>
          <w:tcPr>
            <w:tcW w:w="148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December 31, 2015 and 2014</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40" w:type="dxa"/>
            <w:vAlign w:val="bottom"/>
            <w:tcBorders>
              <w:top w:val="single" w:sz="8" w:color="0000EE"/>
            </w:tcBorders>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640" w:type="dxa"/>
            <w:vAlign w:val="bottom"/>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20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64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430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640" w:type="dxa"/>
            <w:vAlign w:val="bottom"/>
          </w:tcPr>
          <w:p>
            <w:pPr>
              <w:spacing w:after="0"/>
              <w:rPr>
                <w:sz w:val="24"/>
                <w:szCs w:val="24"/>
                <w:color w:val="auto"/>
              </w:rPr>
            </w:pPr>
          </w:p>
        </w:tc>
        <w:tc>
          <w:tcPr>
            <w:tcW w:w="866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9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Part II - Other Information</w:t>
              </w:r>
            </w:hyperlink>
          </w:p>
        </w:tc>
        <w:tc>
          <w:tcPr>
            <w:tcW w:w="7880" w:type="dxa"/>
            <w:vAlign w:val="bottom"/>
            <w:gridSpan w:val="10"/>
          </w:tcPr>
          <w:p>
            <w:pPr>
              <w:spacing w:after="0"/>
              <w:rPr>
                <w:sz w:val="24"/>
                <w:szCs w:val="24"/>
                <w:color w:val="auto"/>
              </w:rPr>
            </w:pPr>
          </w:p>
        </w:tc>
        <w:tc>
          <w:tcPr>
            <w:tcW w:w="16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w:t>
              </w:r>
            </w:hyperlink>
          </w:p>
        </w:tc>
        <w:tc>
          <w:tcPr>
            <w:tcW w:w="64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7320" w:type="dxa"/>
            <w:vAlign w:val="bottom"/>
            <w:gridSpan w:val="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64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8060" w:type="dxa"/>
            <w:vAlign w:val="bottom"/>
            <w:gridSpan w:val="1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Signatures</w:t>
              </w:r>
            </w:hyperlink>
          </w:p>
        </w:tc>
        <w:tc>
          <w:tcPr>
            <w:tcW w:w="7900" w:type="dxa"/>
            <w:vAlign w:val="bottom"/>
            <w:gridSpan w:val="11"/>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69"/>
        </w:trPr>
        <w:tc>
          <w:tcPr>
            <w:tcW w:w="52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5040" w:type="dxa"/>
            <w:vAlign w:val="bottom"/>
            <w:tcBorders>
              <w:bottom w:val="single" w:sz="8" w:color="DCDCDC"/>
            </w:tcBorders>
            <w:gridSpan w:val="8"/>
          </w:tcPr>
          <w:p>
            <w:pPr>
              <w:jc w:val="center"/>
              <w:ind w:left="3990"/>
              <w:spacing w:after="0"/>
              <w:rPr>
                <w:sz w:val="20"/>
                <w:szCs w:val="20"/>
                <w:color w:val="auto"/>
              </w:rPr>
            </w:pPr>
            <w:r>
              <w:rPr>
                <w:rFonts w:ascii="Arial" w:cs="Arial" w:eastAsia="Arial" w:hAnsi="Arial"/>
                <w:sz w:val="18"/>
                <w:szCs w:val="18"/>
                <w:color w:val="auto"/>
                <w:w w:val="79"/>
              </w:rPr>
              <w:t>2</w:t>
            </w:r>
          </w:p>
        </w:tc>
        <w:tc>
          <w:tcPr>
            <w:tcW w:w="13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16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802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14,809</w:t>
            </w:r>
          </w:p>
        </w:tc>
        <w:tc>
          <w:tcPr>
            <w:tcW w:w="260" w:type="dxa"/>
            <w:vAlign w:val="bottom"/>
            <w:gridSpan w:val="2"/>
            <w:shd w:val="clear" w:color="auto" w:fill="F0FFFF"/>
          </w:tcPr>
          <w:p>
            <w:pPr>
              <w:jc w:val="right"/>
              <w:ind w:right="13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11,374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doubtful accounts of $1,698 and $1,309, respectively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6,976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1,503</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902</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3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28,297</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2,435</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10,856</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12,869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25,607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shd w:val="clear" w:color="auto" w:fill="F0FFFF"/>
          </w:tcPr>
          <w:p>
            <w:pPr>
              <w:spacing w:after="0"/>
              <w:rPr>
                <w:sz w:val="20"/>
                <w:szCs w:val="20"/>
                <w:color w:val="auto"/>
              </w:rPr>
            </w:pPr>
            <w:r>
              <w:rPr>
                <w:rFonts w:ascii="Arial" w:cs="Arial" w:eastAsia="Arial" w:hAnsi="Arial"/>
                <w:sz w:val="18"/>
                <w:szCs w:val="18"/>
                <w:color w:val="auto"/>
              </w:rPr>
              <w:t>Goodwill and intangibles</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8,095</w:t>
            </w:r>
          </w:p>
        </w:tc>
        <w:tc>
          <w:tcPr>
            <w:tcW w:w="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8,095</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assets</w:t>
            </w:r>
          </w:p>
        </w:tc>
        <w:tc>
          <w:tcPr>
            <w:tcW w:w="10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75,616</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75,134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7,876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2,116</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524</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18,376</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18,042</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1,584</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Accrued expenses, less current portion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1,865</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3,945</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22,321</w:t>
            </w:r>
          </w:p>
        </w:tc>
        <w:tc>
          <w:tcPr>
            <w:tcW w:w="220" w:type="dxa"/>
            <w:vAlign w:val="bottom"/>
            <w:tcBorders>
              <w:bottom w:val="single" w:sz="8" w:color="F0FFFF"/>
            </w:tcBorders>
          </w:tcPr>
          <w:p>
            <w:pPr>
              <w:spacing w:after="0"/>
              <w:rPr>
                <w:sz w:val="18"/>
                <w:szCs w:val="18"/>
                <w:color w:val="auto"/>
              </w:rPr>
            </w:pPr>
          </w:p>
        </w:tc>
        <w:tc>
          <w:tcPr>
            <w:tcW w:w="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21,823</w:t>
            </w:r>
          </w:p>
        </w:tc>
        <w:tc>
          <w:tcPr>
            <w:tcW w:w="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line="201" w:lineRule="exact"/>
              <w:rPr>
                <w:sz w:val="20"/>
                <w:szCs w:val="20"/>
                <w:color w:val="auto"/>
              </w:rPr>
            </w:pPr>
            <w:r>
              <w:rPr>
                <w:rFonts w:ascii="Arial" w:cs="Arial" w:eastAsia="Arial" w:hAnsi="Arial"/>
                <w:sz w:val="18"/>
                <w:szCs w:val="18"/>
                <w:color w:val="auto"/>
                <w:w w:val="99"/>
              </w:rPr>
              <w:t>Authorized shares- 1,800,000 Series A convertible preferred- Authorized shares- 900,000 Issued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120"/>
              <w:spacing w:after="0"/>
              <w:rPr>
                <w:sz w:val="20"/>
                <w:szCs w:val="20"/>
                <w:color w:val="auto"/>
              </w:rPr>
            </w:pPr>
            <w:r>
              <w:rPr>
                <w:rFonts w:ascii="Arial" w:cs="Arial" w:eastAsia="Arial" w:hAnsi="Arial"/>
                <w:sz w:val="18"/>
                <w:szCs w:val="18"/>
                <w:color w:val="auto"/>
              </w:rPr>
              <w:t>outstanding shares- 442,968 (liquidation preference of $17,687 and $17,355, respectively)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0"/>
              </w:rPr>
              <w:t>Common stock, no par value: Authorized shares- 640,000,000 Issued and outstanding shares- 35,834,174 and</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3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35,747,242, respectively</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5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225,372</w:t>
            </w:r>
          </w:p>
        </w:tc>
        <w:tc>
          <w:tcPr>
            <w:tcW w:w="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224,874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(175,215)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(174,701)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53,295</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53,311</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75,616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75,134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13,674</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10,480</w:t>
            </w:r>
          </w:p>
        </w:tc>
        <w:tc>
          <w:tcPr>
            <w:tcW w:w="34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26,599</w:t>
            </w:r>
          </w:p>
        </w:tc>
        <w:tc>
          <w:tcPr>
            <w:tcW w:w="48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8,504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18,503</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12,822</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35,103</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25,074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17,772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260" w:type="dxa"/>
            <w:vAlign w:val="bottom"/>
            <w:shd w:val="clear" w:color="auto" w:fill="F0FFFF"/>
          </w:tcPr>
          <w:p>
            <w:pPr>
              <w:spacing w:after="0"/>
              <w:rPr>
                <w:sz w:val="20"/>
                <w:szCs w:val="20"/>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3,953</w:t>
            </w:r>
          </w:p>
        </w:tc>
        <w:tc>
          <w:tcPr>
            <w:tcW w:w="1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6,801</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13,020</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9,088</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24,573</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18,205</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5,483</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10,530</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4,889</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3,683</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9,824</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42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2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provision for income taxes</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60" w:type="dxa"/>
            <w:vAlign w:val="bottom"/>
            <w:shd w:val="clear" w:color="auto" w:fill="F0FFFF"/>
          </w:tcPr>
          <w:p>
            <w:pPr>
              <w:spacing w:after="0"/>
              <w:rPr>
                <w:sz w:val="20"/>
                <w:szCs w:val="20"/>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Net loss applicable to common shares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(874</w:t>
            </w:r>
          </w:p>
        </w:tc>
        <w:tc>
          <w:tcPr>
            <w:tcW w:w="160" w:type="dxa"/>
            <w:vAlign w:val="bottom"/>
            <w:tcBorders>
              <w:top w:val="single" w:sz="8" w:color="F0FF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8"/>
                <w:szCs w:val="18"/>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8"/>
                <w:szCs w:val="18"/>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F0FFFF"/>
            </w:tcBorders>
            <w:shd w:val="clear" w:color="auto" w:fill="F0FFFF"/>
          </w:tcPr>
          <w:p>
            <w:pPr>
              <w:spacing w:after="0"/>
              <w:rPr>
                <w:sz w:val="18"/>
                <w:szCs w:val="18"/>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86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8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8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3"/>
              </w:rPr>
              <w:t>Basic and diluted weighted average number of common shares outstanding</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35,828,776</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w w:val="93"/>
              </w:rPr>
              <w:t>35,657,519</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35,808,488</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w w:val="90"/>
              </w:rPr>
              <w:t>35,625,199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color w:val="auto"/>
                <w:w w:val="88"/>
              </w:rPr>
              <w:t>Series 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Convertible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Preferred Stock</w:t>
            </w:r>
          </w:p>
        </w:tc>
        <w:tc>
          <w:tcPr>
            <w:tcW w:w="2420" w:type="dxa"/>
            <w:vAlign w:val="bottom"/>
            <w:gridSpan w:val="6"/>
          </w:tcPr>
          <w:p>
            <w:pPr>
              <w:jc w:val="right"/>
              <w:ind w:right="7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11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2015</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35,747,242</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224,874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(174,701)</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2013 Stock Incentive Plan</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88,678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2014 Stock Option Incentive Plan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(12,746)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442,968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35,834,174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225,372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(175,215)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53,295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0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jc w:val="right"/>
              <w:ind w:right="49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 in thousands)</w:t>
            </w:r>
          </w:p>
        </w:tc>
        <w:tc>
          <w:tcPr>
            <w:tcW w:w="300" w:type="dxa"/>
            <w:vAlign w:val="bottom"/>
          </w:tcPr>
          <w:p>
            <w:pPr>
              <w:spacing w:after="0"/>
              <w:rPr>
                <w:sz w:val="19"/>
                <w:szCs w:val="19"/>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F0FFFF"/>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(874)</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(261)</w:t>
            </w:r>
          </w:p>
        </w:tc>
        <w:tc>
          <w:tcPr>
            <w:tcW w:w="34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(514)</w:t>
            </w:r>
          </w:p>
        </w:tc>
        <w:tc>
          <w:tcPr>
            <w:tcW w:w="48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 net cash provided by (used in)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w:t>
            </w:r>
          </w:p>
        </w:tc>
        <w:tc>
          <w:tcPr>
            <w:tcW w:w="3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2"/>
              </w:rPr>
              <w:t>stock and common stock options for employee and director compensation</w:t>
            </w:r>
          </w:p>
        </w:tc>
        <w:tc>
          <w:tcPr>
            <w:tcW w:w="3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Bad debt expense</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474</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2,673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887</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(1,480)</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Finance receivables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649</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868</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(1,623)</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(2,667)</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869</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Additions of internally developed software</w:t>
            </w:r>
          </w:p>
        </w:tc>
        <w:tc>
          <w:tcPr>
            <w:tcW w:w="30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w w:val="94"/>
              </w:rPr>
              <w:t>Proceeds from sale of rental equipment under sale-leaseback transactions</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7"/>
              </w:rPr>
              <w:t>Net proceeds (use) from the issuance (retirement) of common stock and</w:t>
            </w:r>
          </w:p>
        </w:tc>
        <w:tc>
          <w:tcPr>
            <w:tcW w:w="3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exercise of common stock warrants</w:t>
            </w:r>
          </w:p>
        </w:tc>
        <w:tc>
          <w:tcPr>
            <w:tcW w:w="3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(repayment) of line of credit,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(361)</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F0FFFF"/>
          </w:tcPr>
          <w:p>
            <w:pPr>
              <w:spacing w:after="0"/>
              <w:rPr>
                <w:sz w:val="20"/>
                <w:szCs w:val="20"/>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2,727</w:t>
            </w:r>
          </w:p>
        </w:tc>
        <w:tc>
          <w:tcPr>
            <w:tcW w:w="1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2,628</w:t>
            </w:r>
          </w:p>
        </w:tc>
        <w:tc>
          <w:tcPr>
            <w:tcW w:w="6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increase (decrease) in cash</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3,217</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(4,182)</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3,435</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11,592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10,916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11,374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at end of period</w:t>
            </w:r>
          </w:p>
        </w:tc>
        <w:tc>
          <w:tcPr>
            <w:tcW w:w="300" w:type="dxa"/>
            <w:vAlign w:val="bottom"/>
            <w:tcBorders>
              <w:top w:val="single" w:sz="8" w:color="auto"/>
              <w:bottom w:val="single" w:sz="8" w:color="auto"/>
            </w:tcBorders>
            <w:shd w:val="clear" w:color="auto" w:fill="F0FF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14,809</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6,734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14,809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paid in cash</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Depreciation expense allocated to cost of services</w:t>
            </w:r>
          </w:p>
        </w:tc>
        <w:tc>
          <w:tcPr>
            <w:tcW w:w="300" w:type="dxa"/>
            <w:vAlign w:val="bottom"/>
            <w:tcBorders>
              <w:bottom w:val="single" w:sz="8" w:color="auto"/>
            </w:tcBorders>
            <w:shd w:val="clear" w:color="auto" w:fill="F0FF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Reclass of rental program property to inventory, net</w:t>
            </w: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777</w:t>
            </w:r>
          </w:p>
        </w:tc>
        <w:tc>
          <w:tcPr>
            <w:tcW w:w="1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15</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498</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Prepaid items financed with debt</w:t>
            </w:r>
          </w:p>
        </w:tc>
        <w:tc>
          <w:tcPr>
            <w:tcW w:w="300" w:type="dxa"/>
            <w:vAlign w:val="bottom"/>
            <w:tcBorders>
              <w:bottom w:val="single" w:sz="8" w:color="auto"/>
            </w:tcBorders>
            <w:shd w:val="clear" w:color="auto" w:fill="F0FF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Equipment and software acquired under capital lease</w:t>
            </w: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108</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35</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108</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300" w:type="dxa"/>
            <w:vAlign w:val="bottom"/>
            <w:tcBorders>
              <w:bottom w:val="single" w:sz="8" w:color="auto"/>
            </w:tcBorders>
            <w:shd w:val="clear" w:color="auto" w:fill="F0FF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w w:val="99"/>
              </w:rPr>
              <w:t>Disposal of property and equipment under sale-leaseback transactions</w:t>
            </w: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20" w:type="dxa"/>
            <w:vAlign w:val="bottom"/>
            <w:tcBorders>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3,873</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6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jc w:val="right"/>
              <w:ind w:right="83"/>
              <w:spacing w:after="0"/>
              <w:rPr>
                <w:sz w:val="20"/>
                <w:szCs w:val="20"/>
                <w:color w:val="auto"/>
              </w:rPr>
            </w:pPr>
            <w:r>
              <w:rPr>
                <w:rFonts w:ascii="Arial" w:cs="Arial" w:eastAsia="Arial" w:hAnsi="Arial"/>
                <w:sz w:val="18"/>
                <w:szCs w:val="18"/>
                <w:color w:val="auto"/>
              </w:rPr>
              <w:t>6</w:t>
            </w:r>
          </w:p>
        </w:tc>
        <w:tc>
          <w:tcPr>
            <w:tcW w:w="9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2015. In the opinion of management, all adjustments considered necessary for a fair presentation, consisting of normal recurring adjustments, have been included. Operating results for the three and six-month periods ended December 31, 2015 are not necessarily indicative of the results that may be expected for the year ending June 30, 2016. The balance sheet at June 30, 2015 has been derived from the audited consolidated financial statements at that date, but does not include all of the information and footnotes required by U.S. generally accepted accounting principles for complete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doubtful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If the factors described above were to deteriorate, additional amounts may need to be added to the allowance.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estimated allowance are due to write-offs or collections of receivables. Other changes in the estimated allowance in the period are charged to bad debt expense and included in selling, general and administrative expenses on the statements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include goodwill, trademarks and patents.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at its residual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is recorded on the balance sheet in the equity section at its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six months ended December 31, 2015 and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effect of potential common shares unless such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reported in the Company’s Form 10-Q for the quarter ended September 30, 2015, commencing with the September 30, 2015 financial statements, the Company changed the manner in which it presents certain uncollected customer accounts receivable and the related allowance in its consolidated balance sheets and the related statements of cash flows. These accounts receivable represent a large number of small balance amounts due from customers for processing and service fees which had not been billed to customers, and as to which, there had been no customer transaction proceeds from which the Company could collect the amounts due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accordance with its normal procedures. The previous accounting classification recorded these amounts as a reduction of its accounts payable in the consolidated balance sheets and the related statements of cash flows. The new accounting classification moves these amounts to accounts receivable and allowance for bad debt.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Accordingly, the respective balances for all prior periods presented in these financial statements were reclassified in order to be consistent with and comparable to the accounting classification of these items in our December 31, 2015 financial statements. The new accounting classification as well as the reclassification for prior periods had no effect on the consolidated statements of operations or the consolidated statements of shareholders’ equity. The details of the reclassification of the respective consolidated balance sheets and the consolidated statements of cash flows amounts are presented in the table below:</w:t>
      </w:r>
    </w:p>
    <w:p>
      <w:pPr>
        <w:sectPr>
          <w:pgSz w:w="11900" w:h="16838" w:orient="portrait"/>
          <w:cols w:equalWidth="0" w:num="1">
            <w:col w:w="11420"/>
          </w:cols>
          <w:pgMar w:left="240" w:top="904"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2531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7" w:lineRule="exact"/>
        <w:rPr>
          <w:sz w:val="20"/>
          <w:szCs w:val="20"/>
          <w:color w:val="auto"/>
        </w:rPr>
      </w:pPr>
    </w:p>
    <w:p>
      <w:pPr>
        <w:ind w:left="180" w:right="420"/>
        <w:spacing w:after="0" w:line="394" w:lineRule="auto"/>
        <w:rPr>
          <w:sz w:val="20"/>
          <w:szCs w:val="20"/>
          <w:color w:val="auto"/>
        </w:rPr>
      </w:pPr>
      <w:r>
        <w:rPr>
          <w:rFonts w:ascii="Arial" w:cs="Arial" w:eastAsia="Arial" w:hAnsi="Arial"/>
          <w:sz w:val="16"/>
          <w:szCs w:val="16"/>
          <w:color w:val="auto"/>
        </w:rPr>
        <w:t>Reclassification of balances included in accounts payable to accounts receivable 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7" w:lineRule="exact"/>
        <w:rPr>
          <w:sz w:val="20"/>
          <w:szCs w:val="20"/>
          <w:color w:val="auto"/>
        </w:rPr>
      </w:pPr>
    </w:p>
    <w:p>
      <w:pPr>
        <w:ind w:left="180" w:right="420"/>
        <w:spacing w:after="0" w:line="323" w:lineRule="auto"/>
        <w:rPr>
          <w:sz w:val="20"/>
          <w:szCs w:val="20"/>
          <w:color w:val="auto"/>
        </w:rPr>
      </w:pPr>
      <w:r>
        <w:rPr>
          <w:rFonts w:ascii="Arial" w:cs="Arial" w:eastAsia="Arial" w:hAnsi="Arial"/>
          <w:sz w:val="16"/>
          <w:szCs w:val="16"/>
          <w:color w:val="auto"/>
        </w:rPr>
        <w:t>Reclassification of balances included in accounts payable to accounts receivable 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2015 Balances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3"/>
              </w:rPr>
              <w:t>As previously</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Reclassification</w:t>
            </w:r>
          </w:p>
        </w:tc>
        <w:tc>
          <w:tcPr>
            <w:tcW w:w="2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As reclassified</w:t>
            </w:r>
          </w:p>
        </w:tc>
        <w:tc>
          <w:tcPr>
            <w:tcW w:w="60" w:type="dxa"/>
            <w:vAlign w:val="bottom"/>
            <w:gridSpan w:val="2"/>
          </w:tcPr>
          <w:p>
            <w:pPr>
              <w:spacing w:after="0"/>
              <w:rPr>
                <w:sz w:val="20"/>
                <w:szCs w:val="20"/>
                <w:color w:val="auto"/>
              </w:rPr>
            </w:pPr>
          </w:p>
        </w:tc>
      </w:tr>
      <w:tr>
        <w:trPr>
          <w:trHeight w:val="486"/>
        </w:trPr>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5,971</w:t>
            </w:r>
          </w:p>
        </w:tc>
        <w:tc>
          <w:tcPr>
            <w:tcW w:w="40" w:type="dxa"/>
            <w:vAlign w:val="bottom"/>
          </w:tcPr>
          <w:p>
            <w:pPr>
              <w:spacing w:after="0"/>
              <w:rPr>
                <w:sz w:val="19"/>
                <w:szCs w:val="19"/>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(1,309)</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7"/>
        </w:trPr>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1"/>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10,542</w:t>
            </w:r>
          </w:p>
        </w:tc>
        <w:tc>
          <w:tcPr>
            <w:tcW w:w="40" w:type="dxa"/>
            <w:vAlign w:val="bottom"/>
          </w:tcPr>
          <w:p>
            <w:pPr>
              <w:spacing w:after="0"/>
              <w:rPr>
                <w:sz w:val="19"/>
                <w:szCs w:val="19"/>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Statement of Cash Flow Line Items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0"/>
          </w:tcPr>
          <w:p>
            <w:pPr>
              <w:jc w:val="right"/>
              <w:ind w:right="500"/>
              <w:spacing w:after="0"/>
              <w:rPr>
                <w:sz w:val="20"/>
                <w:szCs w:val="20"/>
                <w:color w:val="auto"/>
              </w:rPr>
            </w:pPr>
            <w:r>
              <w:rPr>
                <w:rFonts w:ascii="Arial" w:cs="Arial" w:eastAsia="Arial" w:hAnsi="Arial"/>
                <w:sz w:val="18"/>
                <w:szCs w:val="18"/>
                <w:color w:val="auto"/>
                <w:w w:val="96"/>
              </w:rPr>
              <w:t>For the three months ended December 31,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5"/>
              </w:rPr>
              <w:t>As previously</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Reclassification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As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Accounts Receivable</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Reclassification of cash provided by and included in accounts payable to accounts receivable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5"/>
              </w:rPr>
              <w:t>Reclassification of cash used in and included in accounts payable to accounts receivable</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(2,338)</w:t>
            </w:r>
          </w:p>
        </w:tc>
        <w:tc>
          <w:tcPr>
            <w:tcW w:w="600" w:type="dxa"/>
            <w:vAlign w:val="bottom"/>
            <w:gridSpan w:val="2"/>
            <w:shd w:val="clear" w:color="auto" w:fill="F0FF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479</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tcBorders>
              <w:top w:val="single" w:sz="8" w:color="F0FFFF"/>
              <w:bottom w:val="single" w:sz="8" w:color="F0FFFF"/>
            </w:tcBorders>
            <w:vMerge w:val="restart"/>
          </w:tcPr>
          <w:p>
            <w:pPr>
              <w:jc w:val="right"/>
              <w:ind w:right="107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vMerge w:val="continue"/>
          </w:tcPr>
          <w:p>
            <w:pPr>
              <w:spacing w:after="0"/>
              <w:rPr>
                <w:sz w:val="24"/>
                <w:szCs w:val="24"/>
                <w:color w:val="auto"/>
              </w:rPr>
            </w:pPr>
          </w:p>
        </w:tc>
        <w:tc>
          <w:tcPr>
            <w:tcW w:w="696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1. ACCOUNTING POLICIES (CONTINUED)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Consolidated Statement of Cash Flow Line Items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gridSpan w:val="8"/>
          </w:tcPr>
          <w:p>
            <w:pPr>
              <w:jc w:val="right"/>
              <w:ind w:right="390"/>
              <w:spacing w:after="0"/>
              <w:rPr>
                <w:sz w:val="20"/>
                <w:szCs w:val="20"/>
                <w:color w:val="auto"/>
              </w:rPr>
            </w:pPr>
            <w:r>
              <w:rPr>
                <w:rFonts w:ascii="Arial" w:cs="Arial" w:eastAsia="Arial" w:hAnsi="Arial"/>
                <w:sz w:val="18"/>
                <w:szCs w:val="18"/>
                <w:color w:val="auto"/>
                <w:w w:val="98"/>
              </w:rPr>
              <w:t>For the six months ended December 31, 2014</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5"/>
              </w:rPr>
              <w:t>As previously</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Reclassification</w:t>
            </w:r>
          </w:p>
        </w:tc>
        <w:tc>
          <w:tcPr>
            <w:tcW w:w="10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As reclassified</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1"/>
              </w:rPr>
              <w:t>Reclassification of cash provided by and included in accounts payable to accounts receivable</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(283)</w:t>
            </w:r>
          </w:p>
        </w:tc>
        <w:tc>
          <w:tcPr>
            <w:tcW w:w="600" w:type="dxa"/>
            <w:vAlign w:val="bottom"/>
            <w:gridSpan w:val="2"/>
            <w:shd w:val="clear" w:color="auto" w:fill="F0FF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Accounts Payable: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Reclassification of cash used in and included in accounts payable to accounts receivable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fiscal 2016, the Company changed the manner in which it treats certain costs for internally developed software with the capitalization of those costs. These capitalized costs for internal-use software are included in property and equipment in the consolidated balance sheet and are amortized over three years.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 At December 31, 2015, the Company had $85 thousand in capitalized software development of which will be amortized beginning with the third quarter of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the three and six months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This ASU was amended by ASU No. 2015-14, issued in August 2015, which deferred the original effective date by one year. The ASU is now effective for fiscal years, and interim reporting periods within those years, beginning after December 15,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the FASB issued ASU 2014-12 Compensation- Stock Compensation (Topic 718); Accounting for share-based payments when the terms of the award provide that a performance target could be achieved after the requisite service period. This pronouncement will be effective for the Company beginning with the year ending June 30, 2017.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August 2014, the FASB issued ASU 2014-15 Presentation of Financial Statements- Going Concern (Subtopic 205-40): Disclosure of uncertainties about an entity’s ability to continue as a going concern. This pronouncement will be effective for the Company beginning with the year ending June 30,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the FASB issued ASU 2015-03 Interest- Imputation of Interest (Subtopic 835-30): Simplifying the presentation of debt issuance costs. This pronouncement will be effective for the Company beginning with the year ending June 30,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This pronouncement will be effective for the Company beginning with the year ending June 30, 2018.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2015, the FASB issued ASU 2015-16, "Simplifying the Accounting for Measurement-Period Adjustments". ASU 2015-16 eliminates the requirement for an acquirer in a business combination to account for measurement-period adjustments retrospectively. ASU 2015-16 will be effective for the Company beginning with the quarter ending September 30, 2016. Since this standard is prospective, the impact of ASU 2015-16 on the Company's financial condition, results of operations and cash flows will depend upon the nature of any measurement period adjustments identified in future periods.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("ASU 2015-17"), which will require entities to present all deferred tax liabilities and assets as noncurrent on the balance sheet instead of separating deferred taxes into current and noncurrent amounts. The standard will be effective for the Company beginning with the quarter ending September 30, 2017. Early application is permitted. The standard can be applied either prospectively to all deferred tax liabilities and assets or retrospectively to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per share (“eps”) and diluted earnings per share is presented below:</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9"/>
                <w:szCs w:val="19"/>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w w:val="93"/>
              </w:rPr>
              <w:t xml:space="preserve">Numerator for basic earnings per share - </w:t>
            </w:r>
            <w:r>
              <w:rPr>
                <w:rFonts w:ascii="Arial" w:cs="Arial" w:eastAsia="Arial" w:hAnsi="Arial"/>
                <w:sz w:val="18"/>
                <w:szCs w:val="18"/>
                <w:color w:val="auto"/>
                <w:w w:val="93"/>
              </w:rPr>
              <w:t>Net loss available to</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common shareholders</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Gain recorded for reduction in fair value of warrants*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4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b w:val="1"/>
                <w:bCs w:val="1"/>
                <w:color w:val="auto"/>
                <w:w w:val="91"/>
              </w:rPr>
              <w:t xml:space="preserve">Numerator for diluted earnings per share - </w:t>
            </w:r>
            <w:r>
              <w:rPr>
                <w:rFonts w:ascii="Arial" w:cs="Arial" w:eastAsia="Arial" w:hAnsi="Arial"/>
                <w:sz w:val="18"/>
                <w:szCs w:val="18"/>
                <w:color w:val="auto"/>
                <w:w w:val="91"/>
              </w:rPr>
              <w:t>Net loss available to</w:t>
            </w:r>
          </w:p>
        </w:tc>
        <w:tc>
          <w:tcPr>
            <w:tcW w:w="60" w:type="dxa"/>
            <w:vAlign w:val="bottom"/>
            <w:tcBorders>
              <w:top w:val="single" w:sz="8" w:color="F0FFFF"/>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8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8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common shareholders</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w w:val="92"/>
              </w:rPr>
              <w:t xml:space="preserve">Denominator for basic earnings per share - </w:t>
            </w:r>
            <w:r>
              <w:rPr>
                <w:rFonts w:ascii="Arial" w:cs="Arial" w:eastAsia="Arial" w:hAnsi="Arial"/>
                <w:sz w:val="18"/>
                <w:szCs w:val="18"/>
                <w:color w:val="auto"/>
                <w:w w:val="92"/>
              </w:rPr>
              <w:t>Weighted average</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shares outstanding</w:t>
            </w:r>
          </w:p>
        </w:tc>
        <w:tc>
          <w:tcPr>
            <w:tcW w:w="6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35,828,776</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9"/>
              </w:rPr>
              <w:t>35,657,519</w:t>
            </w: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9"/>
              </w:rPr>
              <w:t>35,808,488</w:t>
            </w:r>
          </w:p>
        </w:tc>
        <w:tc>
          <w:tcPr>
            <w:tcW w:w="18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35,625,199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4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b w:val="1"/>
                <w:bCs w:val="1"/>
                <w:color w:val="auto"/>
              </w:rPr>
              <w:t xml:space="preserve">Denominator for diluted earnings per share - </w:t>
            </w:r>
            <w:r>
              <w:rPr>
                <w:rFonts w:ascii="Arial" w:cs="Arial" w:eastAsia="Arial" w:hAnsi="Arial"/>
                <w:sz w:val="18"/>
                <w:szCs w:val="18"/>
                <w:color w:val="auto"/>
              </w:rPr>
              <w:t>Adjusted</w:t>
            </w:r>
          </w:p>
        </w:tc>
        <w:tc>
          <w:tcPr>
            <w:tcW w:w="60" w:type="dxa"/>
            <w:vAlign w:val="bottom"/>
            <w:tcBorders>
              <w:top w:val="single" w:sz="8" w:color="F0FFFF"/>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8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8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shares outstanding</w:t>
            </w:r>
          </w:p>
        </w:tc>
        <w:tc>
          <w:tcPr>
            <w:tcW w:w="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35,828,776</w:t>
            </w:r>
          </w:p>
        </w:tc>
        <w:tc>
          <w:tcPr>
            <w:tcW w:w="8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9"/>
              </w:rPr>
              <w:t>35,657,519</w:t>
            </w:r>
          </w:p>
        </w:tc>
        <w:tc>
          <w:tcPr>
            <w:tcW w:w="180" w:type="dxa"/>
            <w:vAlign w:val="bottom"/>
            <w:shd w:val="clear" w:color="auto" w:fill="F0FFFF"/>
          </w:tcPr>
          <w:p>
            <w:pPr>
              <w:spacing w:after="0"/>
              <w:rPr>
                <w:sz w:val="24"/>
                <w:szCs w:val="24"/>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9"/>
              </w:rPr>
              <w:t>35,808,488</w:t>
            </w:r>
          </w:p>
        </w:tc>
        <w:tc>
          <w:tcPr>
            <w:tcW w:w="18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35,625,199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Basic and diluted loss per share</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w w:val="95"/>
              </w:rPr>
              <w:t>* No adjustment necessary as the effects would be anti-dilutive.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Antidilutive shares excluded from the computation of average dilutive earnings per share were 289,619 and 141,279 for the three months ended December 31, 2015 and 2014, respectively and 346,855 and 142,037 for the six months ended December 31, 2015 and 2014, respectively.</w:t>
      </w:r>
    </w:p>
    <w:p>
      <w:pPr>
        <w:sectPr>
          <w:pgSz w:w="11900" w:h="16838" w:orient="portrait"/>
          <w:cols w:equalWidth="0" w:num="1">
            <w:col w:w="11420"/>
          </w:cols>
          <w:pgMar w:left="240" w:top="904"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00" w:lineRule="exact"/>
        <w:rPr>
          <w:sz w:val="20"/>
          <w:szCs w:val="20"/>
          <w:color w:val="auto"/>
        </w:rPr>
      </w:pPr>
    </w:p>
    <w:p>
      <w:pPr>
        <w:spacing w:after="0" w:line="24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current portion</w:t>
      </w:r>
    </w:p>
    <w:p>
      <w:pPr>
        <w:spacing w:after="0" w:line="2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Non-current portion of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7"/>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4,639</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40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collects monthly payments of its finance receivables from the customers’ transaction fund flow. Accordingly, as the fund flow from these customers’ transactions is sufficient to satisfy the amount due to the Company, the risk of loss is considered remote and the Company has not provided for an allowance for credit losses for finance receivables as of December 31, 2015 and June 30, 2015.</w:t>
      </w:r>
    </w:p>
    <w:p>
      <w:pPr>
        <w:sectPr>
          <w:pgSz w:w="11900" w:h="16838" w:orient="portrait"/>
          <w:cols w:equalWidth="0" w:num="1">
            <w:col w:w="11420"/>
          </w:cols>
          <w:pgMar w:left="240" w:top="904" w:right="239" w:bottom="1440" w:gutter="0" w:footer="0" w:header="0"/>
        </w:sectPr>
      </w:pPr>
    </w:p>
    <w:p>
      <w:pPr>
        <w:spacing w:after="0" w:line="181"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Credit Quality Indicators</w:t>
      </w:r>
    </w:p>
    <w:p>
      <w:pPr>
        <w:spacing w:after="0" w:line="35" w:lineRule="exact"/>
        <w:rPr>
          <w:sz w:val="20"/>
          <w:szCs w:val="20"/>
          <w:color w:val="auto"/>
        </w:rPr>
      </w:pPr>
    </w:p>
    <w:p>
      <w:pPr>
        <w:jc w:val="center"/>
        <w:ind w:left="4780"/>
        <w:spacing w:after="0"/>
        <w:rPr>
          <w:sz w:val="20"/>
          <w:szCs w:val="20"/>
          <w:color w:val="auto"/>
        </w:rPr>
      </w:pPr>
      <w:r>
        <w:rPr>
          <w:rFonts w:ascii="Arial" w:cs="Arial" w:eastAsia="Arial" w:hAnsi="Arial"/>
          <w:sz w:val="16"/>
          <w:szCs w:val="16"/>
          <w:color w:val="auto"/>
        </w:rPr>
        <w:t>As of December 31, 2015</w:t>
      </w:r>
    </w:p>
    <w:p>
      <w:pPr>
        <w:spacing w:after="0" w:line="32"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Credit risk profile based on payment activity:</w:t>
      </w:r>
    </w:p>
    <w:p>
      <w:pPr>
        <w:spacing w:after="0" w:line="26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Nonperforming</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380"/>
            <w:col w:w="4400"/>
          </w:cols>
          <w:pgMar w:left="240" w:top="904"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9"/>
              </w:rPr>
              <w:t>31 – 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9"/>
              </w:rPr>
              <w:t>61 – 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Greater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 in thousands)</w:t>
            </w:r>
          </w:p>
        </w:tc>
        <w:tc>
          <w:tcPr>
            <w:tcW w:w="1040" w:type="dxa"/>
            <w:vAlign w:val="bottom"/>
          </w:tcPr>
          <w:p>
            <w:pPr>
              <w:jc w:val="center"/>
              <w:ind w:left="110"/>
              <w:spacing w:after="0"/>
              <w:rPr>
                <w:sz w:val="20"/>
                <w:szCs w:val="20"/>
                <w:color w:val="auto"/>
              </w:rPr>
            </w:pPr>
            <w:r>
              <w:rPr>
                <w:rFonts w:ascii="Arial" w:cs="Arial" w:eastAsia="Arial" w:hAnsi="Arial"/>
                <w:sz w:val="18"/>
                <w:szCs w:val="18"/>
                <w:color w:val="auto"/>
                <w:w w:val="87"/>
              </w:rPr>
              <w:t>Days Past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87"/>
              </w:rPr>
              <w:t>Days Past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90 Days Past</w:t>
            </w:r>
          </w:p>
        </w:tc>
        <w:tc>
          <w:tcPr>
            <w:tcW w:w="16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Total Past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Finance</w:t>
            </w:r>
          </w:p>
        </w:tc>
        <w:tc>
          <w:tcPr>
            <w:tcW w:w="0" w:type="dxa"/>
            <w:vAlign w:val="bottom"/>
          </w:tcPr>
          <w:p>
            <w:pPr>
              <w:spacing w:after="0"/>
              <w:rPr>
                <w:sz w:val="1"/>
                <w:szCs w:val="1"/>
                <w:color w:val="auto"/>
              </w:rPr>
            </w:pPr>
          </w:p>
        </w:tc>
      </w:tr>
      <w:tr>
        <w:trPr>
          <w:trHeight w:val="237"/>
        </w:trPr>
        <w:tc>
          <w:tcPr>
            <w:tcW w:w="2640" w:type="dxa"/>
            <w:vAlign w:val="bottom"/>
            <w:gridSpan w:val="2"/>
            <w:vMerge w:val="continue"/>
          </w:tcPr>
          <w:p>
            <w:pPr>
              <w:spacing w:after="0"/>
              <w:rPr>
                <w:sz w:val="20"/>
                <w:szCs w:val="20"/>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28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center"/>
              <w:ind w:lef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3,885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10"/>
          </w:tcPr>
          <w:p>
            <w:pPr>
              <w:jc w:val="center"/>
              <w:ind w:right="1000"/>
              <w:spacing w:after="0"/>
              <w:rPr>
                <w:sz w:val="20"/>
                <w:szCs w:val="20"/>
                <w:color w:val="auto"/>
              </w:rPr>
            </w:pPr>
            <w:r>
              <w:rPr>
                <w:rFonts w:ascii="Arial" w:cs="Arial" w:eastAsia="Arial" w:hAnsi="Arial"/>
                <w:sz w:val="18"/>
                <w:szCs w:val="18"/>
                <w:color w:val="auto"/>
                <w:w w:val="90"/>
              </w:rPr>
              <w:t>Age Analysis of Past Due Finance Receivables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6"/>
          </w:tcPr>
          <w:p>
            <w:pPr>
              <w:jc w:val="center"/>
              <w:ind w:left="30"/>
              <w:spacing w:after="0"/>
              <w:rPr>
                <w:sz w:val="20"/>
                <w:szCs w:val="20"/>
                <w:color w:val="auto"/>
              </w:rPr>
            </w:pPr>
            <w:r>
              <w:rPr>
                <w:rFonts w:ascii="Arial" w:cs="Arial" w:eastAsia="Arial" w:hAnsi="Arial"/>
                <w:sz w:val="18"/>
                <w:szCs w:val="18"/>
                <w:color w:val="auto"/>
                <w:w w:val="89"/>
              </w:rPr>
              <w:t>As of June 30, 2015</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9"/>
              </w:rPr>
              <w:t>31 – 60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9"/>
              </w:rPr>
              <w:t>61 – 90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Greater than</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 in thousands)</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7"/>
              </w:rPr>
              <w:t>Days Past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5"/>
              </w:rPr>
              <w:t>Days Past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90 Days Past</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Total Past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Finance</w:t>
            </w:r>
          </w:p>
        </w:tc>
        <w:tc>
          <w:tcPr>
            <w:tcW w:w="0" w:type="dxa"/>
            <w:vAlign w:val="bottom"/>
          </w:tcPr>
          <w:p>
            <w:pPr>
              <w:spacing w:after="0"/>
              <w:rPr>
                <w:sz w:val="1"/>
                <w:szCs w:val="1"/>
                <w:color w:val="auto"/>
              </w:rPr>
            </w:pPr>
          </w:p>
        </w:tc>
      </w:tr>
      <w:tr>
        <w:trPr>
          <w:trHeight w:val="237"/>
        </w:trPr>
        <w:tc>
          <w:tcPr>
            <w:tcW w:w="2640" w:type="dxa"/>
            <w:vAlign w:val="bottom"/>
            <w:gridSpan w:val="2"/>
            <w:vMerge w:val="continue"/>
          </w:tcPr>
          <w:p>
            <w:pPr>
              <w:spacing w:after="0"/>
              <w:rPr>
                <w:sz w:val="20"/>
                <w:szCs w:val="20"/>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15</w:t>
            </w:r>
          </w:p>
        </w:tc>
        <w:tc>
          <w:tcPr>
            <w:tcW w:w="380" w:type="dxa"/>
            <w:vAlign w:val="bottom"/>
            <w:gridSpan w:val="2"/>
            <w:shd w:val="clear" w:color="auto" w:fill="F0FFFF"/>
          </w:tcPr>
          <w:p>
            <w:pPr>
              <w:jc w:val="center"/>
              <w:ind w:left="1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4,619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6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gridSpan w:val="2"/>
          </w:tcPr>
          <w:p>
            <w:pPr>
              <w:jc w:val="center"/>
              <w:ind w:left="130"/>
              <w:spacing w:after="0"/>
              <w:rPr>
                <w:sz w:val="20"/>
                <w:szCs w:val="20"/>
                <w:color w:val="auto"/>
              </w:rPr>
            </w:pPr>
            <w:r>
              <w:rPr>
                <w:rFonts w:ascii="Arial" w:cs="Arial" w:eastAsia="Arial" w:hAnsi="Arial"/>
                <w:sz w:val="18"/>
                <w:szCs w:val="18"/>
                <w:color w:val="auto"/>
                <w:w w:val="79"/>
              </w:rPr>
              <w:t>13</w:t>
            </w:r>
          </w:p>
        </w:tc>
        <w:tc>
          <w:tcPr>
            <w:tcW w:w="11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Property and equipment, at cost, consist of the following:</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color w:val="auto"/>
              </w:rPr>
              <w:t>($'s in thousands)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gridSpan w:val="2"/>
            <w:vMerge w:val="continue"/>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Lives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Depreciation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5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4,858</w:t>
            </w:r>
          </w:p>
        </w:tc>
        <w:tc>
          <w:tcPr>
            <w:tcW w:w="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(4,188)</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(16,611)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5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(599)</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Lesser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90"/>
              </w:rPr>
              <w:t>life or lease term</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02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June 30, 2015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color w:val="auto"/>
              </w:rPr>
              <w:t>($'s in thousands)</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120"/>
              <w:spacing w:after="0" w:line="201" w:lineRule="exact"/>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20" w:type="dxa"/>
            <w:vAlign w:val="bottom"/>
            <w:gridSpan w:val="2"/>
            <w:vMerge w:val="continue"/>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Lives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Depreciation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5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4,670</w:t>
            </w:r>
          </w:p>
        </w:tc>
        <w:tc>
          <w:tcPr>
            <w:tcW w:w="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(14,476)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5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Lesser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90"/>
              </w:rPr>
              <w:t>life or lease term</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02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under capital lease totaled approximately $2.2 million and $2.1 million as of December 31, 2015 and June 30, 2015, respectively. Capital lease amortization of approximately $46 thousand and $34 thousand is included in depreciation expense for the three-month periods ended December 31, 2015 and 2014, respectively. Capital lease amortization of approximately $139 thousand and $141 thousand is included in depreciation expense for the six-month periods ended December 31,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was no amortization expense relating to acquired intangible assets during the three and six months ended December 31,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vMerge w:val="restart"/>
          </w:tcPr>
          <w:p>
            <w:pPr>
              <w:ind w:left="1720"/>
              <w:spacing w:after="0"/>
              <w:rPr>
                <w:sz w:val="20"/>
                <w:szCs w:val="20"/>
                <w:color w:val="auto"/>
              </w:rPr>
            </w:pPr>
            <w:r>
              <w:rPr>
                <w:rFonts w:ascii="Arial" w:cs="Arial" w:eastAsia="Arial" w:hAnsi="Arial"/>
                <w:sz w:val="18"/>
                <w:szCs w:val="18"/>
                <w:color w:val="auto"/>
              </w:rPr>
              <w:t>($ in thousands)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June 30,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20" w:type="dxa"/>
            <w:vAlign w:val="bottom"/>
            <w:gridSpan w:val="2"/>
            <w:vMerge w:val="continue"/>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25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Trademarks - Indefinite</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20" w:type="dxa"/>
            <w:vAlign w:val="bottom"/>
          </w:tcPr>
          <w:p>
            <w:pPr>
              <w:spacing w:after="0"/>
              <w:rPr>
                <w:sz w:val="21"/>
                <w:szCs w:val="21"/>
                <w:color w:val="auto"/>
              </w:rPr>
            </w:pPr>
          </w:p>
        </w:tc>
        <w:tc>
          <w:tcPr>
            <w:tcW w:w="28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Borders>
              <w:top w:val="single" w:sz="8" w:color="F0FFFF"/>
            </w:tcBorders>
          </w:tcPr>
          <w:p>
            <w:pPr>
              <w:spacing w:after="0" w:line="20" w:lineRule="exact"/>
              <w:rPr>
                <w:sz w:val="1"/>
                <w:szCs w:val="1"/>
                <w:color w:val="auto"/>
              </w:rPr>
            </w:pPr>
          </w:p>
        </w:tc>
        <w:tc>
          <w:tcPr>
            <w:tcW w:w="2400" w:type="dxa"/>
            <w:vAlign w:val="bottom"/>
            <w:tcBorders>
              <w:top w:val="single" w:sz="8" w:color="F0FFFF"/>
              <w:bottom w:val="single" w:sz="8" w:color="F0FFFF"/>
            </w:tcBorders>
            <w:vMerge w:val="restart"/>
          </w:tcPr>
          <w:p>
            <w:pPr>
              <w:jc w:val="right"/>
              <w:ind w:right="10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720" w:type="dxa"/>
            <w:vAlign w:val="bottom"/>
            <w:tcBorders>
              <w:bottom w:val="single" w:sz="8" w:color="DCDCDC"/>
            </w:tcBorders>
          </w:tcPr>
          <w:p>
            <w:pPr>
              <w:spacing w:after="0"/>
              <w:rPr>
                <w:sz w:val="24"/>
                <w:szCs w:val="24"/>
                <w:color w:val="auto"/>
              </w:rPr>
            </w:pPr>
          </w:p>
        </w:tc>
        <w:tc>
          <w:tcPr>
            <w:tcW w:w="280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340" w:type="dxa"/>
            <w:vAlign w:val="bottom"/>
            <w:gridSpan w:val="2"/>
            <w:vMerge w:val="restart"/>
          </w:tcPr>
          <w:p>
            <w:pPr>
              <w:ind w:left="1140"/>
              <w:spacing w:after="0"/>
              <w:rPr>
                <w:sz w:val="20"/>
                <w:szCs w:val="20"/>
                <w:color w:val="auto"/>
              </w:rPr>
            </w:pPr>
            <w:r>
              <w:rPr>
                <w:rFonts w:ascii="Arial" w:cs="Arial" w:eastAsia="Arial" w:hAnsi="Arial"/>
                <w:sz w:val="18"/>
                <w:szCs w:val="18"/>
                <w:color w:val="auto"/>
              </w:rPr>
              <w:t>($ in thousands)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7"/>
        </w:trPr>
        <w:tc>
          <w:tcPr>
            <w:tcW w:w="6340" w:type="dxa"/>
            <w:vAlign w:val="bottom"/>
            <w:gridSpan w:val="2"/>
            <w:vMerge w:val="continue"/>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1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Accrued other</w:t>
            </w:r>
          </w:p>
        </w:tc>
        <w:tc>
          <w:tcPr>
            <w:tcW w:w="13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5180" w:type="dxa"/>
            <w:vAlign w:val="bottom"/>
            <w:tcBorders>
              <w:top w:val="single" w:sz="8" w:color="F0FFFF"/>
              <w:bottom w:val="single" w:sz="8" w:color="F0FFFF"/>
            </w:tcBorders>
            <w:shd w:val="clear" w:color="auto" w:fill="F0FFFF"/>
          </w:tcPr>
          <w:p>
            <w:pPr>
              <w:spacing w:after="0"/>
              <w:rPr>
                <w:sz w:val="21"/>
                <w:szCs w:val="21"/>
                <w:color w:val="auto"/>
              </w:rPr>
            </w:pPr>
          </w:p>
        </w:tc>
        <w:tc>
          <w:tcPr>
            <w:tcW w:w="13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July 10, 2012, the Company entered into a Loan and Security Agreement and other ancillary documents (the “Loan Agreement”) with a commercial bank (the “Bank”), which, as amended, provides for a secured line of credit of up to $7 million, secured by substantially all of the Company’s assets, until August 17, 2017. The outstanding balance of the amounts advanced under the line of credit will bear interest at 2% above the prime rate as published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five percent (5%), whichever is higher.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Loan Agreement contains customary affirmative and negative covenants, including achieving a minimum Adjusted EBITDA and minimum liquidity, and customary events of default.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due on the Line of Credit was $7.0 million and $4.0 million at December 31, 2015 and June 30, 2015, respectively. At December 31, 2015, there was nothing available under the Line of Credit.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As of or for the Six Months Ended</w:t>
            </w:r>
          </w:p>
        </w:tc>
        <w:tc>
          <w:tcPr>
            <w:tcW w:w="1720" w:type="dxa"/>
            <w:vAlign w:val="bottom"/>
          </w:tcPr>
          <w:p>
            <w:pPr>
              <w:spacing w:after="0"/>
              <w:rPr>
                <w:sz w:val="19"/>
                <w:szCs w:val="19"/>
                <w:color w:val="auto"/>
              </w:rPr>
            </w:pPr>
          </w:p>
        </w:tc>
      </w:tr>
      <w:tr>
        <w:trPr>
          <w:trHeight w:val="237"/>
        </w:trPr>
        <w:tc>
          <w:tcPr>
            <w:tcW w:w="1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8"/>
              </w:rPr>
              <w:t>December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7"/>
        </w:trPr>
        <w:tc>
          <w:tcPr>
            <w:tcW w:w="544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37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period-end</w:t>
            </w:r>
          </w:p>
        </w:tc>
        <w:tc>
          <w:tcPr>
            <w:tcW w:w="13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F0FFFF"/>
            </w:tcBorders>
            <w:shd w:val="clear" w:color="auto" w:fill="F0FF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6"/>
              </w:rPr>
              <w:t>Maximum amount outstanding at any month end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Arial" w:cs="Arial" w:eastAsia="Arial" w:hAnsi="Arial"/>
                <w:sz w:val="18"/>
                <w:szCs w:val="18"/>
                <w:color w:val="auto"/>
                <w:w w:val="99"/>
              </w:rPr>
              <w:t>Average balance outstanding during the period</w:t>
            </w:r>
          </w:p>
        </w:tc>
        <w:tc>
          <w:tcPr>
            <w:tcW w:w="14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4,065</w:t>
            </w: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Weighted-average interest rate: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As of the period-end</w:t>
            </w:r>
          </w:p>
        </w:tc>
        <w:tc>
          <w:tcPr>
            <w:tcW w:w="1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5.25%</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Paid during the period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1720" w:type="dxa"/>
            <w:vAlign w:val="bottom"/>
          </w:tcPr>
          <w:p>
            <w:pPr>
              <w:spacing w:after="0"/>
              <w:rPr>
                <w:sz w:val="20"/>
                <w:szCs w:val="20"/>
                <w:color w:val="auto"/>
              </w:rPr>
            </w:pPr>
          </w:p>
        </w:tc>
      </w:tr>
      <w:tr>
        <w:trPr>
          <w:trHeight w:val="417"/>
        </w:trPr>
        <w:tc>
          <w:tcPr>
            <w:tcW w:w="1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60" w:type="dxa"/>
            <w:vAlign w:val="bottom"/>
            <w:gridSpan w:val="6"/>
          </w:tcPr>
          <w:p>
            <w:pPr>
              <w:jc w:val="center"/>
              <w:ind w:right="160"/>
              <w:spacing w:after="0"/>
              <w:rPr>
                <w:sz w:val="20"/>
                <w:szCs w:val="20"/>
                <w:color w:val="auto"/>
              </w:rPr>
            </w:pPr>
            <w:r>
              <w:rPr>
                <w:rFonts w:ascii="Arial" w:cs="Arial" w:eastAsia="Arial" w:hAnsi="Arial"/>
                <w:sz w:val="18"/>
                <w:szCs w:val="18"/>
                <w:color w:val="auto"/>
                <w:w w:val="92"/>
              </w:rPr>
              <w:t>As of or for the Three Months Ended</w:t>
            </w: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8"/>
              </w:rPr>
              <w:t>December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7"/>
        </w:trPr>
        <w:tc>
          <w:tcPr>
            <w:tcW w:w="544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37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period-end</w:t>
            </w:r>
          </w:p>
        </w:tc>
        <w:tc>
          <w:tcPr>
            <w:tcW w:w="13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F0FFFF"/>
            </w:tcBorders>
            <w:shd w:val="clear" w:color="auto" w:fill="F0FF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6"/>
              </w:rPr>
              <w:t>Maximum amount outstanding at any month end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shd w:val="clear" w:color="auto" w:fill="F0FFFF"/>
          </w:tcPr>
          <w:p>
            <w:pPr>
              <w:spacing w:after="0"/>
              <w:rPr>
                <w:sz w:val="20"/>
                <w:szCs w:val="20"/>
                <w:color w:val="auto"/>
              </w:rPr>
            </w:pPr>
            <w:r>
              <w:rPr>
                <w:rFonts w:ascii="Arial" w:cs="Arial" w:eastAsia="Arial" w:hAnsi="Arial"/>
                <w:sz w:val="18"/>
                <w:szCs w:val="18"/>
                <w:color w:val="auto"/>
                <w:w w:val="99"/>
              </w:rPr>
              <w:t>Average balance outstanding during the period</w:t>
            </w:r>
          </w:p>
        </w:tc>
        <w:tc>
          <w:tcPr>
            <w:tcW w:w="14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4,130</w:t>
            </w: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Weighted-average interest rate: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As of the period-end</w:t>
            </w:r>
          </w:p>
        </w:tc>
        <w:tc>
          <w:tcPr>
            <w:tcW w:w="1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5.25%</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Paid during the period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1720" w:type="dxa"/>
            <w:vAlign w:val="bottom"/>
          </w:tcPr>
          <w:p>
            <w:pPr>
              <w:spacing w:after="0"/>
              <w:rPr>
                <w:sz w:val="20"/>
                <w:szCs w:val="20"/>
                <w:color w:val="auto"/>
              </w:rPr>
            </w:pPr>
          </w:p>
        </w:tc>
      </w:tr>
      <w:tr>
        <w:trPr>
          <w:trHeight w:val="634"/>
        </w:trPr>
        <w:tc>
          <w:tcPr>
            <w:tcW w:w="1720" w:type="dxa"/>
            <w:vAlign w:val="bottom"/>
            <w:tcBorders>
              <w:bottom w:val="single" w:sz="8" w:color="DCDCDC"/>
            </w:tcBorders>
          </w:tcPr>
          <w:p>
            <w:pPr>
              <w:spacing w:after="0"/>
              <w:rPr>
                <w:sz w:val="24"/>
                <w:szCs w:val="24"/>
                <w:color w:val="auto"/>
              </w:rPr>
            </w:pPr>
          </w:p>
        </w:tc>
        <w:tc>
          <w:tcPr>
            <w:tcW w:w="37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jc w:val="right"/>
              <w:ind w:right="8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on the line of credit was approximately $54 thousand and $38 thousand during each of the three months ended December 31, 2015 and 2014, respectively. Interest expense on the line of credit was approximately $108 thousand and $103 thousand during the six months ended December 31,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periodically enters into capital lease obligations to finance certain office and network equipment for use in its daily operations. During the six-month period ended December 31, 2015 the Company entered into capital lease obligations of $35 thousand. The interest rates on these obligations were approximately 5.60%. The value of the acquired equipment is included in property and equipment and amortized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LOAN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other loan agreements to finance the purchase of various assets as needed, including computer equipment, insurance premiums, network equipment and software for use in its operations. During the six-month period ended December 31, 2015, the Company entered into loan agreements for $103 thousand. The interest rates on these obligations were approximately 5.27%. The value of these financed insurance premiums acquired is included in prepaid expenses and other assets and expensed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OF QUICKSTART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2015, the Company assigned its interest in certain finance receivables (various sixty-month QuickStart leases) to third-party finance companies in exchange for cash and the assumption of financing obligations in the aggregate of $1.8 million and $304 thousand, respectively. These assignment transactions contain recourse provisions for the Company which requires the proceeds from the assignment to be treated as long-term debt. The financing obligations range in rate from 9.41% to 9.45%.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6"/>
          </w:tcPr>
          <w:p>
            <w:pPr>
              <w:spacing w:after="0"/>
              <w:rPr>
                <w:sz w:val="20"/>
                <w:szCs w:val="20"/>
                <w:color w:val="auto"/>
              </w:rPr>
            </w:pPr>
            <w:r>
              <w:rPr>
                <w:rFonts w:ascii="Arial" w:cs="Arial" w:eastAsia="Arial" w:hAnsi="Arial"/>
                <w:sz w:val="18"/>
                <w:szCs w:val="18"/>
                <w:color w:val="auto"/>
                <w:w w:val="98"/>
              </w:rPr>
              <w:t>The balance of long-term debt as of December 31, 2015 and June 30, 2015 are shown in the table below.</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680" w:type="dxa"/>
            <w:vAlign w:val="bottom"/>
            <w:gridSpan w:val="2"/>
            <w:vMerge w:val="restart"/>
          </w:tcPr>
          <w:p>
            <w:pPr>
              <w:ind w:left="1720"/>
              <w:spacing w:after="0"/>
              <w:rPr>
                <w:sz w:val="20"/>
                <w:szCs w:val="20"/>
                <w:color w:val="auto"/>
              </w:rPr>
            </w:pPr>
            <w:r>
              <w:rPr>
                <w:rFonts w:ascii="Arial" w:cs="Arial" w:eastAsia="Arial" w:hAnsi="Arial"/>
                <w:sz w:val="18"/>
                <w:szCs w:val="18"/>
                <w:color w:val="auto"/>
              </w:rPr>
              <w:t>($ in thousands)</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8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2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288</w:t>
            </w: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 loan agreements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Lease financing obligations</w:t>
            </w:r>
          </w:p>
        </w:tc>
        <w:tc>
          <w:tcPr>
            <w:tcW w:w="22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1,994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960" w:type="dxa"/>
            <w:vAlign w:val="bottom"/>
            <w:tcBorders>
              <w:top w:val="single" w:sz="8" w:color="F0FFFF"/>
            </w:tcBorders>
          </w:tcPr>
          <w:p>
            <w:pPr>
              <w:spacing w:after="0"/>
              <w:rPr>
                <w:sz w:val="17"/>
                <w:szCs w:val="17"/>
                <w:color w:val="auto"/>
              </w:rPr>
            </w:pPr>
          </w:p>
        </w:tc>
        <w:tc>
          <w:tcPr>
            <w:tcW w:w="2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2,108</w:t>
            </w:r>
          </w:p>
        </w:tc>
        <w:tc>
          <w:tcPr>
            <w:tcW w:w="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2,332</w:t>
            </w:r>
          </w:p>
        </w:tc>
        <w:tc>
          <w:tcPr>
            <w:tcW w:w="60" w:type="dxa"/>
            <w:vAlign w:val="bottom"/>
            <w:tcBorders>
              <w:top w:val="single" w:sz="8" w:color="F0FFFF"/>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2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478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2960" w:type="dxa"/>
            <w:vAlign w:val="bottom"/>
            <w:tcBorders>
              <w:top w:val="single" w:sz="8" w:color="F0FFFF"/>
            </w:tcBorders>
          </w:tcPr>
          <w:p>
            <w:pPr>
              <w:spacing w:after="0"/>
              <w:rPr>
                <w:sz w:val="18"/>
                <w:szCs w:val="18"/>
                <w:color w:val="auto"/>
              </w:rPr>
            </w:pPr>
          </w:p>
        </w:tc>
        <w:tc>
          <w:tcPr>
            <w:tcW w:w="2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60" w:type="dxa"/>
            <w:vAlign w:val="bottom"/>
            <w:tcBorders>
              <w:top w:val="single" w:sz="8" w:color="F0FF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vMerge w:val="restart"/>
          </w:tcPr>
          <w:p>
            <w:pPr>
              <w:jc w:val="right"/>
              <w:ind w:right="10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720" w:type="dxa"/>
            <w:vAlign w:val="bottom"/>
            <w:tcBorders>
              <w:bottom w:val="single" w:sz="8" w:color="DCDCDC"/>
            </w:tcBorders>
          </w:tcPr>
          <w:p>
            <w:pPr>
              <w:spacing w:after="0"/>
              <w:rPr>
                <w:sz w:val="24"/>
                <w:szCs w:val="24"/>
                <w:color w:val="auto"/>
              </w:rPr>
            </w:pPr>
          </w:p>
        </w:tc>
        <w:tc>
          <w:tcPr>
            <w:tcW w:w="296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for each of the fiscal years following December 31, 2015 are as follows: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2016 (remaining six months)</w:t>
            </w:r>
          </w:p>
        </w:tc>
        <w:tc>
          <w:tcPr>
            <w:tcW w:w="520" w:type="dxa"/>
            <w:vAlign w:val="bottom"/>
            <w:shd w:val="clear" w:color="auto" w:fill="F0FF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481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358</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55"/>
        </w:trPr>
        <w:tc>
          <w:tcPr>
            <w:tcW w:w="5440" w:type="dxa"/>
            <w:vAlign w:val="bottom"/>
            <w:tcBorders>
              <w:top w:val="single" w:sz="8" w:color="F0FFFF"/>
              <w:bottom w:val="single" w:sz="8" w:color="F0FFFF"/>
            </w:tcBorders>
            <w:shd w:val="clear" w:color="auto" w:fill="F0FFFF"/>
          </w:tcPr>
          <w:p>
            <w:pPr>
              <w:spacing w:after="0"/>
              <w:rPr>
                <w:sz w:val="21"/>
                <w:szCs w:val="21"/>
                <w:color w:val="auto"/>
              </w:rPr>
            </w:pPr>
          </w:p>
        </w:tc>
        <w:tc>
          <w:tcPr>
            <w:tcW w:w="520" w:type="dxa"/>
            <w:vAlign w:val="bottom"/>
            <w:tcBorders>
              <w:top w:val="single" w:sz="8" w:color="auto"/>
              <w:bottom w:val="single" w:sz="8" w:color="auto"/>
            </w:tcBorders>
            <w:shd w:val="clear" w:color="auto" w:fill="F0FF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44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 that is required to be measured at fair value as of December 31, 2015 and June 30, 2015:</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December 31, 2015 (unaudited)</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6"/>
              </w:rPr>
              <w:t>Level 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warrants exercisable at $2.6058 from</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September 18, 2011 through September 18, 2016</w:t>
            </w:r>
          </w:p>
        </w:tc>
        <w:tc>
          <w:tcPr>
            <w:tcW w:w="900" w:type="dxa"/>
            <w:vAlign w:val="bottom"/>
            <w:gridSpan w:val="2"/>
            <w:shd w:val="clear" w:color="auto" w:fill="F0FFFF"/>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1,865</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70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6"/>
              </w:rPr>
              <w:t>Level 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warrants exercisable at $2.6058 from</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September 18, 2011 through September 18, 2016</w:t>
            </w:r>
          </w:p>
        </w:tc>
        <w:tc>
          <w:tcPr>
            <w:tcW w:w="900" w:type="dxa"/>
            <w:vAlign w:val="bottom"/>
            <w:gridSpan w:val="2"/>
            <w:shd w:val="clear" w:color="auto" w:fill="F0FFFF"/>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June 30, 2015, the Company held no Level 1 or Level 2 financial instruments.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2015 and June 30, 2015, the fair values of the Company’s Level 3 financial instrument totaled $1.865 million and $978 thousand,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three and six months ended December 31, 2015 and 2014.</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and six months ended December 31, 2015 and 2014:</w:t>
      </w:r>
    </w:p>
    <w:p>
      <w:pPr>
        <w:sectPr>
          <w:pgSz w:w="11900" w:h="16838" w:orient="portrait"/>
          <w:cols w:equalWidth="0" w:num="1">
            <w:col w:w="11420"/>
          </w:cols>
          <w:pgMar w:left="240" w:top="904" w:right="239" w:bottom="1440" w:gutter="0" w:footer="0" w:header="0"/>
        </w:sectPr>
      </w:pPr>
    </w:p>
    <w:p>
      <w:pPr>
        <w:spacing w:after="0" w:line="3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3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right="1420"/>
        <w:spacing w:after="0" w:line="292" w:lineRule="auto"/>
        <w:rPr>
          <w:sz w:val="20"/>
          <w:szCs w:val="20"/>
          <w:color w:val="auto"/>
        </w:rPr>
      </w:pPr>
      <w:r>
        <w:rPr>
          <w:rFonts w:ascii="Arial" w:cs="Arial" w:eastAsia="Arial" w:hAnsi="Arial"/>
          <w:sz w:val="18"/>
          <w:szCs w:val="18"/>
          <w:color w:val="auto"/>
        </w:rPr>
        <w:t>Gain due to change in fair value of warrant liabilities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-165100</wp:posOffset>
            </wp:positionV>
            <wp:extent cx="57975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3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right="1420"/>
        <w:spacing w:after="0" w:line="292" w:lineRule="auto"/>
        <w:rPr>
          <w:sz w:val="20"/>
          <w:szCs w:val="20"/>
          <w:color w:val="auto"/>
        </w:rPr>
      </w:pPr>
      <w:r>
        <w:rPr>
          <w:rFonts w:ascii="Arial" w:cs="Arial" w:eastAsia="Arial" w:hAnsi="Arial"/>
          <w:sz w:val="18"/>
          <w:szCs w:val="18"/>
          <w:color w:val="auto"/>
        </w:rPr>
        <w:t>Gain due to change in fair value of warrant liabilities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-165100</wp:posOffset>
            </wp:positionV>
            <wp:extent cx="57975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1"/>
                <w:szCs w:val="21"/>
                <w:color w:val="auto"/>
              </w:rPr>
            </w:pPr>
          </w:p>
        </w:tc>
      </w:tr>
      <w:tr>
        <w:trPr>
          <w:trHeight w:val="418"/>
        </w:trPr>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w:t>
            </w:r>
          </w:p>
        </w:tc>
      </w:tr>
      <w:tr>
        <w:trPr>
          <w:trHeight w:val="251"/>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9723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2310" cy="17145"/>
                    </a:xfrm>
                    <a:prstGeom prst="rect">
                      <a:avLst/>
                    </a:prstGeom>
                    <a:noFill/>
                  </pic:spPr>
                </pic:pic>
              </a:graphicData>
            </a:graphic>
          </wp:anchor>
        </w:drawing>
      </w:r>
    </w:p>
    <w:p>
      <w:pPr>
        <w:spacing w:after="0" w:line="29" w:lineRule="exact"/>
        <w:rPr>
          <w:sz w:val="20"/>
          <w:szCs w:val="20"/>
          <w:color w:val="auto"/>
        </w:rPr>
      </w:pPr>
    </w:p>
    <w:p>
      <w:pPr>
        <w:ind w:left="560"/>
        <w:spacing w:after="0"/>
        <w:tabs>
          <w:tab w:leader="none" w:pos="216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9723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231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(585)</w:t>
            </w:r>
          </w:p>
        </w:tc>
      </w:tr>
      <w:tr>
        <w:trPr>
          <w:trHeight w:val="25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six months ended December 31, 2015, warrants were exercised at $2.6058 per share resulting in the issuance of 11,000 shares of common stock with proceeds of $29 thousand. There were no exercises, issuances or expiration of warrants during the six months ended December 31, 2014. There have been no new warrants issued since January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Warrant activity for the three and six-month period ended December 31, 2015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Warrants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2015</w:t>
            </w:r>
          </w:p>
        </w:tc>
        <w:tc>
          <w:tcPr>
            <w:tcW w:w="2540" w:type="dxa"/>
            <w:vAlign w:val="bottom"/>
            <w:tcBorders>
              <w:top w:val="single" w:sz="8" w:color="F0FFFF"/>
            </w:tcBorders>
            <w:shd w:val="clear" w:color="auto" w:fill="F0FFFF"/>
          </w:tcPr>
          <w:p>
            <w:pPr>
              <w:spacing w:after="0"/>
              <w:rPr>
                <w:sz w:val="18"/>
                <w:szCs w:val="18"/>
                <w:color w:val="auto"/>
              </w:rPr>
            </w:pPr>
          </w:p>
        </w:tc>
        <w:tc>
          <w:tcPr>
            <w:tcW w:w="13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Issued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390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(11,000)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Expired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2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September 30, 2015</w:t>
            </w:r>
          </w:p>
        </w:tc>
        <w:tc>
          <w:tcPr>
            <w:tcW w:w="2540" w:type="dxa"/>
            <w:vAlign w:val="bottom"/>
            <w:tcBorders>
              <w:top w:val="single" w:sz="8" w:color="F0FFFF"/>
              <w:bottom w:val="single" w:sz="8" w:color="F0FFFF"/>
            </w:tcBorders>
            <w:shd w:val="clear" w:color="auto" w:fill="F0FFFF"/>
          </w:tcPr>
          <w:p>
            <w:pPr>
              <w:spacing w:after="0"/>
              <w:rPr>
                <w:sz w:val="20"/>
                <w:szCs w:val="20"/>
                <w:color w:val="auto"/>
              </w:rPr>
            </w:pPr>
          </w:p>
        </w:tc>
        <w:tc>
          <w:tcPr>
            <w:tcW w:w="13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Arial" w:cs="Arial" w:eastAsia="Arial" w:hAnsi="Arial"/>
                <w:sz w:val="18"/>
                <w:szCs w:val="18"/>
                <w:color w:val="auto"/>
              </w:rPr>
              <w:t>Issued</w:t>
            </w:r>
          </w:p>
        </w:tc>
        <w:tc>
          <w:tcPr>
            <w:tcW w:w="25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390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Expired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1"/>
                <w:szCs w:val="21"/>
                <w:color w:val="auto"/>
              </w:rPr>
            </w:pPr>
          </w:p>
        </w:tc>
        <w:tc>
          <w:tcPr>
            <w:tcW w:w="2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December 31, 2015</w:t>
            </w:r>
          </w:p>
        </w:tc>
        <w:tc>
          <w:tcPr>
            <w:tcW w:w="2540" w:type="dxa"/>
            <w:vAlign w:val="bottom"/>
            <w:tcBorders>
              <w:top w:val="single" w:sz="8" w:color="F0FFFF"/>
              <w:bottom w:val="single" w:sz="8" w:color="F0FFFF"/>
            </w:tcBorders>
            <w:shd w:val="clear" w:color="auto" w:fill="F0FFFF"/>
          </w:tcPr>
          <w:p>
            <w:pPr>
              <w:spacing w:after="0"/>
              <w:rPr>
                <w:sz w:val="21"/>
                <w:szCs w:val="21"/>
                <w:color w:val="auto"/>
              </w:rPr>
            </w:pPr>
          </w:p>
        </w:tc>
        <w:tc>
          <w:tcPr>
            <w:tcW w:w="13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40" w:type="dxa"/>
            <w:vAlign w:val="bottom"/>
            <w:tcBorders>
              <w:top w:val="single" w:sz="8" w:color="F0FFFF"/>
            </w:tcBorders>
          </w:tcPr>
          <w:p>
            <w:pPr>
              <w:spacing w:after="0" w:line="20" w:lineRule="exact"/>
              <w:rPr>
                <w:sz w:val="1"/>
                <w:szCs w:val="1"/>
                <w:color w:val="auto"/>
              </w:rPr>
            </w:pPr>
          </w:p>
        </w:tc>
        <w:tc>
          <w:tcPr>
            <w:tcW w:w="2540" w:type="dxa"/>
            <w:vAlign w:val="bottom"/>
            <w:tcBorders>
              <w:top w:val="single" w:sz="8" w:color="F0FFFF"/>
              <w:bottom w:val="single" w:sz="8" w:color="F0FFFF"/>
            </w:tcBorders>
            <w:vMerge w:val="restart"/>
          </w:tcPr>
          <w:p>
            <w:pPr>
              <w:jc w:val="right"/>
              <w:ind w:right="1870"/>
              <w:spacing w:after="0"/>
              <w:rPr>
                <w:sz w:val="20"/>
                <w:szCs w:val="20"/>
                <w:color w:val="auto"/>
              </w:rPr>
            </w:pPr>
            <w:r>
              <w:rPr>
                <w:rFonts w:ascii="Arial" w:cs="Arial" w:eastAsia="Arial" w:hAnsi="Arial"/>
                <w:sz w:val="18"/>
                <w:szCs w:val="18"/>
                <w:color w:val="auto"/>
              </w:rPr>
              <w:t>18</w:t>
            </w:r>
          </w:p>
        </w:tc>
        <w:tc>
          <w:tcPr>
            <w:tcW w:w="1360" w:type="dxa"/>
            <w:vAlign w:val="bottom"/>
            <w:tcBorders>
              <w:top w:val="single" w:sz="8" w:color="F0FFFF"/>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300" w:type="dxa"/>
            <w:vAlign w:val="bottom"/>
            <w:tcBorders>
              <w:bottom w:val="single" w:sz="8" w:color="DCDCDC"/>
            </w:tcBorders>
          </w:tcPr>
          <w:p>
            <w:pPr>
              <w:spacing w:after="0"/>
              <w:rPr>
                <w:sz w:val="24"/>
                <w:szCs w:val="24"/>
                <w:color w:val="auto"/>
              </w:rPr>
            </w:pPr>
          </w:p>
        </w:tc>
        <w:tc>
          <w:tcPr>
            <w:tcW w:w="2940" w:type="dxa"/>
            <w:vAlign w:val="bottom"/>
            <w:tcBorders>
              <w:bottom w:val="single" w:sz="8" w:color="DCDCDC"/>
            </w:tcBorders>
          </w:tcPr>
          <w:p>
            <w:pPr>
              <w:spacing w:after="0"/>
              <w:rPr>
                <w:sz w:val="24"/>
                <w:szCs w:val="24"/>
                <w:color w:val="auto"/>
              </w:rPr>
            </w:pPr>
          </w:p>
        </w:tc>
        <w:tc>
          <w:tcPr>
            <w:tcW w:w="2540" w:type="dxa"/>
            <w:vAlign w:val="bottom"/>
            <w:tcBorders>
              <w:bottom w:val="single" w:sz="8" w:color="DCDCDC"/>
            </w:tcBorders>
            <w:vMerge w:val="continue"/>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December 31, 2015, income tax provisions of $154 thousand and $181 thousand, respectively, (substantially all deferred income taxes) were recorded. The provisions consist of the tax effect of the change in the fair value of warrant liabilities which was treated discretely, offset by a tax benefit based upon loss before provision before income taxes using an estimated annual effective income tax rate of 41% for the fiscal year ending June 30, 2016.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and six months ended December 31, 2014, income tax provisions of $402 thousand and $42 thousand, respectively, (substantially all deferred income taxes) were recorded; of those amounts, $395 thousand was due to the decrease in the applicable tax rate utilized to tax affect the deferred tax assets that was caused by a state income tax law change. The remaining provision (benefit) of $7 thousand and $(353) thousand for the three and six months ended December 31, 2014, respectively, was based upon income (loss) before provision for income taxes using an estimated annual effective income tax rate of 51% for the fiscal year ending June 30, 2015 and a (benefit) for the tax effect of the change in the fair value of warrant liabilities which was treated discretely.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granted is estimated on the date of the grant using the Black-Scholes option pricing model with the following weighted-average assumptions used for options granted during:</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78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Six months ended</w:t>
            </w:r>
          </w:p>
        </w:tc>
      </w:tr>
      <w:tr>
        <w:trPr>
          <w:trHeight w:val="237"/>
        </w:trPr>
        <w:tc>
          <w:tcPr>
            <w:tcW w:w="520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8"/>
              </w:rPr>
              <w:t>December 31,</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200" w:type="dxa"/>
            <w:vAlign w:val="bottom"/>
            <w:tcBorders>
              <w:bottom w:val="single" w:sz="8" w:color="F0FF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F0FF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F0FFFF"/>
            </w:tcBorders>
          </w:tcPr>
          <w:p>
            <w:pPr>
              <w:spacing w:after="0"/>
              <w:rPr>
                <w:sz w:val="20"/>
                <w:szCs w:val="20"/>
                <w:color w:val="auto"/>
              </w:rPr>
            </w:pPr>
          </w:p>
        </w:tc>
      </w:tr>
      <w:tr>
        <w:trPr>
          <w:trHeight w:val="216"/>
        </w:trPr>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63-66%</w:t>
            </w:r>
          </w:p>
        </w:tc>
        <w:tc>
          <w:tcPr>
            <w:tcW w:w="1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F0FF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life</w:t>
            </w:r>
          </w:p>
        </w:tc>
        <w:tc>
          <w:tcPr>
            <w:tcW w:w="1880" w:type="dxa"/>
            <w:vAlign w:val="bottom"/>
            <w:gridSpan w:val="3"/>
          </w:tcPr>
          <w:p>
            <w:pPr>
              <w:ind w:left="400"/>
              <w:spacing w:after="0"/>
              <w:rPr>
                <w:sz w:val="20"/>
                <w:szCs w:val="20"/>
                <w:color w:val="auto"/>
              </w:rPr>
            </w:pPr>
            <w:r>
              <w:rPr>
                <w:rFonts w:ascii="Arial" w:cs="Arial" w:eastAsia="Arial" w:hAnsi="Arial"/>
                <w:sz w:val="18"/>
                <w:szCs w:val="18"/>
                <w:color w:val="auto"/>
              </w:rPr>
              <w:t>4 - 4.5 years</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94"/>
              </w:rPr>
              <w:t>7 years</w:t>
            </w:r>
          </w:p>
        </w:tc>
      </w:tr>
      <w:tr>
        <w:trPr>
          <w:trHeight w:val="216"/>
        </w:trPr>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14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0.00%</w:t>
            </w:r>
          </w:p>
        </w:tc>
        <w:tc>
          <w:tcPr>
            <w:tcW w:w="4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0.00%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1.34-1.49%</w:t>
            </w:r>
          </w:p>
        </w:tc>
        <w:tc>
          <w:tcPr>
            <w:tcW w:w="4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based compensation related to stock options for the six months ended December 31, 2015 and 2014 was $207 thousand and $154 thousand, respectively. Unrecognized compensation related to stock option grants as of December 31, 2015 was $189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outstanding stock options for the three months ended December 31, 2015 and 2014 consisted of the following:</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w w:val="92"/>
              </w:rPr>
              <w:t>For the three months ended December 31,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3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8"/>
              <w:spacing w:after="0" w:line="130"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8"/>
              <w:spacing w:after="0" w:line="130" w:lineRule="exact"/>
              <w:rPr>
                <w:sz w:val="20"/>
                <w:szCs w:val="20"/>
                <w:color w:val="auto"/>
              </w:rPr>
            </w:pPr>
            <w:r>
              <w:rPr>
                <w:rFonts w:ascii="Arial" w:cs="Arial" w:eastAsia="Arial" w:hAnsi="Arial"/>
                <w:sz w:val="14"/>
                <w:szCs w:val="14"/>
                <w:color w:val="auto"/>
                <w:w w:val="91"/>
              </w:rPr>
              <w:t>Weighted</w:t>
            </w:r>
          </w:p>
        </w:tc>
        <w:tc>
          <w:tcPr>
            <w:tcW w:w="120" w:type="dxa"/>
            <w:vAlign w:val="bottom"/>
          </w:tcPr>
          <w:p>
            <w:pPr>
              <w:spacing w:after="0"/>
              <w:rPr>
                <w:sz w:val="11"/>
                <w:szCs w:val="11"/>
                <w:color w:val="auto"/>
              </w:rPr>
            </w:pPr>
          </w:p>
        </w:tc>
      </w:tr>
      <w:tr>
        <w:trPr>
          <w:trHeight w:val="149"/>
        </w:trPr>
        <w:tc>
          <w:tcPr>
            <w:tcW w:w="3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4"/>
              </w:rPr>
              <w:t>Average Grant</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Average Grant</w:t>
            </w:r>
          </w:p>
        </w:tc>
      </w:tr>
      <w:tr>
        <w:trPr>
          <w:trHeight w:val="174"/>
        </w:trPr>
        <w:tc>
          <w:tcPr>
            <w:tcW w:w="3820" w:type="dxa"/>
            <w:vAlign w:val="bottom"/>
          </w:tcPr>
          <w:p>
            <w:pPr>
              <w:spacing w:after="0"/>
              <w:rPr>
                <w:sz w:val="15"/>
                <w:szCs w:val="15"/>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Options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color w:val="auto"/>
                <w:w w:val="93"/>
              </w:rPr>
              <w:t>Exercise Price</w:t>
            </w:r>
          </w:p>
        </w:tc>
        <w:tc>
          <w:tcPr>
            <w:tcW w:w="22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Date Fair Value</w:t>
            </w: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Options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color w:val="auto"/>
                <w:w w:val="91"/>
              </w:rPr>
              <w:t>Exercise Price</w:t>
            </w:r>
          </w:p>
        </w:tc>
        <w:tc>
          <w:tcPr>
            <w:tcW w:w="22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Date Fair Value</w:t>
            </w:r>
          </w:p>
        </w:tc>
      </w:tr>
      <w:tr>
        <w:trPr>
          <w:trHeight w:val="149"/>
        </w:trPr>
        <w:tc>
          <w:tcPr>
            <w:tcW w:w="382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Options outstanding, beginning of period</w:t>
            </w:r>
          </w:p>
        </w:tc>
        <w:tc>
          <w:tcPr>
            <w:tcW w:w="9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658,474</w:t>
            </w:r>
          </w:p>
        </w:tc>
        <w:tc>
          <w:tcPr>
            <w:tcW w:w="2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2.14</w:t>
            </w:r>
          </w:p>
        </w:tc>
        <w:tc>
          <w:tcPr>
            <w:tcW w:w="2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1.41</w:t>
            </w:r>
          </w:p>
        </w:tc>
        <w:tc>
          <w:tcPr>
            <w:tcW w:w="220" w:type="dxa"/>
            <w:vAlign w:val="bottom"/>
            <w:tcBorders>
              <w:top w:val="single" w:sz="8" w:color="F0FFFF"/>
            </w:tcBorders>
            <w:shd w:val="clear" w:color="auto" w:fill="F0FFFF"/>
          </w:tcPr>
          <w:p>
            <w:pPr>
              <w:spacing w:after="0"/>
              <w:rPr>
                <w:sz w:val="12"/>
                <w:szCs w:val="12"/>
                <w:color w:val="auto"/>
              </w:rPr>
            </w:pPr>
          </w:p>
        </w:tc>
        <w:tc>
          <w:tcPr>
            <w:tcW w:w="9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448,888</w:t>
            </w:r>
          </w:p>
        </w:tc>
        <w:tc>
          <w:tcPr>
            <w:tcW w:w="16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1.87</w:t>
            </w:r>
          </w:p>
        </w:tc>
        <w:tc>
          <w:tcPr>
            <w:tcW w:w="2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jc w:val="right"/>
              <w:ind w:right="15"/>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tcBorders>
              <w:top w:val="single" w:sz="8" w:color="F0FFFF"/>
            </w:tcBorders>
            <w:shd w:val="clear" w:color="auto" w:fill="F0FFFF"/>
          </w:tcPr>
          <w:p>
            <w:pPr>
              <w:spacing w:after="0"/>
              <w:rPr>
                <w:sz w:val="12"/>
                <w:szCs w:val="12"/>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38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Forfeited</w:t>
            </w:r>
          </w:p>
        </w:tc>
        <w:tc>
          <w:tcPr>
            <w:tcW w:w="9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9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1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F0FF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Expired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82"/>
        </w:trPr>
        <w:tc>
          <w:tcPr>
            <w:tcW w:w="38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Exercised</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0FFFF"/>
            </w:tcBorders>
            <w:shd w:val="clear" w:color="auto" w:fill="F0FFFF"/>
          </w:tcPr>
          <w:p>
            <w:pPr>
              <w:spacing w:after="0"/>
              <w:rPr>
                <w:sz w:val="15"/>
                <w:szCs w:val="15"/>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0FFFF"/>
            </w:tcBorders>
            <w:shd w:val="clear" w:color="auto" w:fill="F0FFFF"/>
          </w:tcPr>
          <w:p>
            <w:pPr>
              <w:spacing w:after="0"/>
              <w:rPr>
                <w:sz w:val="15"/>
                <w:szCs w:val="15"/>
                <w:color w:val="auto"/>
              </w:rPr>
            </w:pPr>
          </w:p>
        </w:tc>
        <w:tc>
          <w:tcPr>
            <w:tcW w:w="12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F0FFFF"/>
            </w:tcBorders>
            <w:gridSpan w:val="2"/>
            <w:shd w:val="clear" w:color="auto" w:fill="F0FFFF"/>
          </w:tcPr>
          <w:p>
            <w:pPr>
              <w:jc w:val="right"/>
              <w:ind w:right="15"/>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shd w:val="clear" w:color="auto" w:fill="F0FFFF"/>
          </w:tcPr>
          <w:p>
            <w:pPr>
              <w:spacing w:after="0"/>
              <w:rPr>
                <w:sz w:val="15"/>
                <w:szCs w:val="15"/>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Options outstanding, end of period</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658,474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448,888</w:t>
            </w: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r>
      <w:tr>
        <w:trPr>
          <w:trHeight w:val="21"/>
        </w:trPr>
        <w:tc>
          <w:tcPr>
            <w:tcW w:w="3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Changes in outstanding stock options for the six months ended December 31, 2015 and 2014 consisted of the following:</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color w:val="auto"/>
                <w:w w:val="93"/>
              </w:rPr>
              <w:t>For the six months ended December 31,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3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8"/>
              <w:spacing w:after="0" w:line="130"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8"/>
              <w:spacing w:after="0" w:line="130" w:lineRule="exact"/>
              <w:rPr>
                <w:sz w:val="20"/>
                <w:szCs w:val="20"/>
                <w:color w:val="auto"/>
              </w:rPr>
            </w:pPr>
            <w:r>
              <w:rPr>
                <w:rFonts w:ascii="Arial" w:cs="Arial" w:eastAsia="Arial" w:hAnsi="Arial"/>
                <w:sz w:val="14"/>
                <w:szCs w:val="14"/>
                <w:color w:val="auto"/>
                <w:w w:val="91"/>
              </w:rPr>
              <w:t>Weighted</w:t>
            </w:r>
          </w:p>
        </w:tc>
        <w:tc>
          <w:tcPr>
            <w:tcW w:w="120" w:type="dxa"/>
            <w:vAlign w:val="bottom"/>
          </w:tcPr>
          <w:p>
            <w:pPr>
              <w:spacing w:after="0"/>
              <w:rPr>
                <w:sz w:val="11"/>
                <w:szCs w:val="11"/>
                <w:color w:val="auto"/>
              </w:rPr>
            </w:pPr>
          </w:p>
        </w:tc>
      </w:tr>
      <w:tr>
        <w:trPr>
          <w:trHeight w:val="149"/>
        </w:trPr>
        <w:tc>
          <w:tcPr>
            <w:tcW w:w="3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4"/>
              </w:rPr>
              <w:t>Average Grant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Average Grant</w:t>
            </w:r>
          </w:p>
        </w:tc>
      </w:tr>
      <w:tr>
        <w:trPr>
          <w:trHeight w:val="174"/>
        </w:trPr>
        <w:tc>
          <w:tcPr>
            <w:tcW w:w="3820" w:type="dxa"/>
            <w:vAlign w:val="bottom"/>
          </w:tcPr>
          <w:p>
            <w:pPr>
              <w:spacing w:after="0"/>
              <w:rPr>
                <w:sz w:val="15"/>
                <w:szCs w:val="15"/>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Options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color w:val="auto"/>
                <w:w w:val="93"/>
              </w:rPr>
              <w:t>Exercise Price</w:t>
            </w:r>
          </w:p>
        </w:tc>
        <w:tc>
          <w:tcPr>
            <w:tcW w:w="22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Date Fair Value</w:t>
            </w:r>
          </w:p>
        </w:tc>
        <w:tc>
          <w:tcPr>
            <w:tcW w:w="1100" w:type="dxa"/>
            <w:vAlign w:val="bottom"/>
            <w:gridSpan w:val="2"/>
          </w:tcPr>
          <w:p>
            <w:pPr>
              <w:ind w:left="26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color w:val="auto"/>
                <w:w w:val="91"/>
              </w:rPr>
              <w:t>Exercise Price</w:t>
            </w:r>
          </w:p>
        </w:tc>
        <w:tc>
          <w:tcPr>
            <w:tcW w:w="22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Date Fair Value</w:t>
            </w:r>
          </w:p>
        </w:tc>
      </w:tr>
      <w:tr>
        <w:trPr>
          <w:trHeight w:val="149"/>
        </w:trPr>
        <w:tc>
          <w:tcPr>
            <w:tcW w:w="382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Options outstanding, beginning of period</w:t>
            </w:r>
          </w:p>
        </w:tc>
        <w:tc>
          <w:tcPr>
            <w:tcW w:w="9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538,888</w:t>
            </w:r>
          </w:p>
        </w:tc>
        <w:tc>
          <w:tcPr>
            <w:tcW w:w="2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Borders>
              <w:top w:val="single" w:sz="8" w:color="F0FFFF"/>
            </w:tcBorders>
            <w:shd w:val="clear" w:color="auto" w:fill="F0FFFF"/>
          </w:tcPr>
          <w:p>
            <w:pPr>
              <w:spacing w:after="0"/>
              <w:rPr>
                <w:sz w:val="12"/>
                <w:szCs w:val="12"/>
                <w:color w:val="auto"/>
              </w:rPr>
            </w:pPr>
          </w:p>
        </w:tc>
        <w:tc>
          <w:tcPr>
            <w:tcW w:w="9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120,000</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2.05</w:t>
            </w:r>
          </w:p>
        </w:tc>
        <w:tc>
          <w:tcPr>
            <w:tcW w:w="2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jc w:val="right"/>
              <w:ind w:right="15"/>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1.49</w:t>
            </w:r>
          </w:p>
        </w:tc>
        <w:tc>
          <w:tcPr>
            <w:tcW w:w="120" w:type="dxa"/>
            <w:vAlign w:val="bottom"/>
            <w:tcBorders>
              <w:top w:val="single" w:sz="8" w:color="F0FFFF"/>
            </w:tcBorders>
            <w:shd w:val="clear" w:color="auto" w:fill="F0FFFF"/>
          </w:tcPr>
          <w:p>
            <w:pPr>
              <w:spacing w:after="0"/>
              <w:rPr>
                <w:sz w:val="12"/>
                <w:szCs w:val="12"/>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119,586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328,888</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r>
      <w:tr>
        <w:trPr>
          <w:trHeight w:val="149"/>
        </w:trPr>
        <w:tc>
          <w:tcPr>
            <w:tcW w:w="38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Forfeited</w:t>
            </w:r>
          </w:p>
        </w:tc>
        <w:tc>
          <w:tcPr>
            <w:tcW w:w="9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9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16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F0FF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Expired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82"/>
        </w:trPr>
        <w:tc>
          <w:tcPr>
            <w:tcW w:w="38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Exercised</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0FFFF"/>
            </w:tcBorders>
            <w:shd w:val="clear" w:color="auto" w:fill="F0FFFF"/>
          </w:tcPr>
          <w:p>
            <w:pPr>
              <w:spacing w:after="0"/>
              <w:rPr>
                <w:sz w:val="15"/>
                <w:szCs w:val="15"/>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F0FFFF"/>
            </w:tcBorders>
            <w:gridSpan w:val="2"/>
            <w:shd w:val="clear" w:color="auto" w:fill="F0FFFF"/>
          </w:tcPr>
          <w:p>
            <w:pPr>
              <w:jc w:val="right"/>
              <w:ind w:right="15"/>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shd w:val="clear" w:color="auto" w:fill="F0FFFF"/>
          </w:tcPr>
          <w:p>
            <w:pPr>
              <w:spacing w:after="0"/>
              <w:rPr>
                <w:sz w:val="15"/>
                <w:szCs w:val="15"/>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color w:val="auto"/>
              </w:rPr>
              <w:t>Options outstanding, end of period</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658,474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448,888</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3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r>
      <w:tr>
        <w:trPr>
          <w:trHeight w:val="21"/>
        </w:trPr>
        <w:tc>
          <w:tcPr>
            <w:tcW w:w="3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unvested stock options for the three months ended December 31, 2015 and 2014 consisted of the following:</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5360" w:type="dxa"/>
            <w:vAlign w:val="bottom"/>
          </w:tcPr>
          <w:p>
            <w:pPr>
              <w:spacing w:after="0"/>
              <w:rPr>
                <w:sz w:val="20"/>
                <w:szCs w:val="20"/>
                <w:color w:val="auto"/>
              </w:rPr>
            </w:pPr>
          </w:p>
        </w:tc>
        <w:tc>
          <w:tcPr>
            <w:tcW w:w="4680" w:type="dxa"/>
            <w:vAlign w:val="bottom"/>
            <w:gridSpan w:val="12"/>
          </w:tcPr>
          <w:p>
            <w:pPr>
              <w:ind w:left="780"/>
              <w:spacing w:after="0"/>
              <w:rPr>
                <w:sz w:val="20"/>
                <w:szCs w:val="20"/>
                <w:color w:val="auto"/>
              </w:rPr>
            </w:pPr>
            <w:r>
              <w:rPr>
                <w:rFonts w:ascii="Arial" w:cs="Arial" w:eastAsia="Arial" w:hAnsi="Arial"/>
                <w:sz w:val="18"/>
                <w:szCs w:val="18"/>
                <w:color w:val="auto"/>
              </w:rPr>
              <w:t>For the three months ended December 31,</w:t>
            </w:r>
          </w:p>
        </w:tc>
      </w:tr>
      <w:tr>
        <w:trPr>
          <w:trHeight w:val="237"/>
        </w:trPr>
        <w:tc>
          <w:tcPr>
            <w:tcW w:w="5360" w:type="dxa"/>
            <w:vAlign w:val="bottom"/>
          </w:tcPr>
          <w:p>
            <w:pPr>
              <w:spacing w:after="0"/>
              <w:rPr>
                <w:sz w:val="20"/>
                <w:szCs w:val="20"/>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4"/>
              </w:rPr>
              <w:t>2014</w:t>
            </w: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6"/>
              </w:rPr>
              <w:t>Weighted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r>
      <w:tr>
        <w:trPr>
          <w:trHeight w:val="216"/>
        </w:trPr>
        <w:tc>
          <w:tcPr>
            <w:tcW w:w="5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Average Grant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9"/>
              </w:rPr>
              <w:t>Average Grant</w:t>
            </w:r>
          </w:p>
        </w:tc>
      </w:tr>
      <w:tr>
        <w:trPr>
          <w:trHeight w:val="237"/>
        </w:trPr>
        <w:tc>
          <w:tcPr>
            <w:tcW w:w="53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Options</w:t>
            </w: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Date Fair Value</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Date Fair Value</w:t>
            </w:r>
          </w:p>
        </w:tc>
      </w:tr>
      <w:tr>
        <w:trPr>
          <w:trHeight w:val="216"/>
        </w:trPr>
        <w:tc>
          <w:tcPr>
            <w:tcW w:w="53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beginning of period</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456,251</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(60,000)</w:t>
            </w:r>
          </w:p>
        </w:tc>
        <w:tc>
          <w:tcPr>
            <w:tcW w:w="2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1.27</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r>
      <w:tr>
        <w:trPr>
          <w:trHeight w:val="237"/>
        </w:trPr>
        <w:tc>
          <w:tcPr>
            <w:tcW w:w="53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280" w:type="dxa"/>
            <w:vAlign w:val="bottom"/>
            <w:tcBorders>
              <w:bottom w:val="single" w:sz="8" w:color="F0FFFF"/>
            </w:tcBorders>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tcPr>
          <w:p>
            <w:pPr>
              <w:spacing w:after="0"/>
              <w:rPr>
                <w:sz w:val="20"/>
                <w:szCs w:val="20"/>
                <w:color w:val="auto"/>
              </w:rPr>
            </w:pPr>
          </w:p>
        </w:tc>
        <w:tc>
          <w:tcPr>
            <w:tcW w:w="380" w:type="dxa"/>
            <w:vAlign w:val="bottom"/>
            <w:tcBorders>
              <w:bottom w:val="single" w:sz="8" w:color="F0FFFF"/>
            </w:tcBorders>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0"/>
                <w:szCs w:val="20"/>
                <w:color w:val="auto"/>
              </w:rPr>
            </w:pPr>
          </w:p>
        </w:tc>
      </w:tr>
      <w:tr>
        <w:trPr>
          <w:trHeight w:val="255"/>
        </w:trPr>
        <w:tc>
          <w:tcPr>
            <w:tcW w:w="5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396,251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2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1.33</w:t>
            </w:r>
          </w:p>
        </w:tc>
      </w:tr>
      <w:tr>
        <w:trPr>
          <w:trHeight w:val="20"/>
        </w:trPr>
        <w:tc>
          <w:tcPr>
            <w:tcW w:w="536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unvested stock options for the six months ended December 31, 2015 and 2014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40" w:type="dxa"/>
            <w:vAlign w:val="bottom"/>
            <w:tcBorders>
              <w:bottom w:val="single" w:sz="8" w:color="auto"/>
            </w:tcBorders>
            <w:gridSpan w:val="9"/>
          </w:tcPr>
          <w:p>
            <w:pPr>
              <w:jc w:val="right"/>
              <w:ind w:right="175"/>
              <w:spacing w:after="0"/>
              <w:rPr>
                <w:sz w:val="20"/>
                <w:szCs w:val="20"/>
                <w:color w:val="auto"/>
              </w:rPr>
            </w:pPr>
            <w:r>
              <w:rPr>
                <w:rFonts w:ascii="Arial" w:cs="Arial" w:eastAsia="Arial" w:hAnsi="Arial"/>
                <w:sz w:val="18"/>
                <w:szCs w:val="18"/>
                <w:color w:val="auto"/>
              </w:rPr>
              <w:t>For the six months 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color w:val="auto"/>
                <w:w w:val="94"/>
              </w:rPr>
              <w:t>2014</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6"/>
              </w:rPr>
              <w:t>Weighted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Average Grant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Grant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Options</w:t>
            </w: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Date Fair Value</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Options</w:t>
            </w:r>
          </w:p>
        </w:tc>
        <w:tc>
          <w:tcPr>
            <w:tcW w:w="1400" w:type="dxa"/>
            <w:vAlign w:val="bottom"/>
            <w:gridSpan w:val="4"/>
          </w:tcPr>
          <w:p>
            <w:pPr>
              <w:jc w:val="center"/>
              <w:ind w:left="10"/>
              <w:spacing w:after="0"/>
              <w:rPr>
                <w:sz w:val="20"/>
                <w:szCs w:val="20"/>
                <w:color w:val="auto"/>
              </w:rPr>
            </w:pPr>
            <w:r>
              <w:rPr>
                <w:rFonts w:ascii="Arial" w:cs="Arial" w:eastAsia="Arial" w:hAnsi="Arial"/>
                <w:sz w:val="18"/>
                <w:szCs w:val="18"/>
                <w:color w:val="auto"/>
                <w:w w:val="91"/>
              </w:rPr>
              <w:t>Date Fair Value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beginning of period</w:t>
            </w:r>
          </w:p>
        </w:tc>
        <w:tc>
          <w:tcPr>
            <w:tcW w:w="132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505,553</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20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auto"/>
            </w:tcBorders>
            <w:shd w:val="clear" w:color="auto" w:fill="F0FFFF"/>
          </w:tcPr>
          <w:p>
            <w:pPr>
              <w:jc w:val="right"/>
              <w:ind w:right="37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top w:val="single" w:sz="8" w:color="F0FFFF"/>
            </w:tcBorders>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119,586</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328,888</w:t>
            </w:r>
          </w:p>
        </w:tc>
        <w:tc>
          <w:tcPr>
            <w:tcW w:w="740" w:type="dxa"/>
            <w:vAlign w:val="bottom"/>
            <w:gridSpan w:val="2"/>
          </w:tcPr>
          <w:p>
            <w:pPr>
              <w:jc w:val="right"/>
              <w:ind w:right="37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(228,888)</w:t>
            </w:r>
          </w:p>
        </w:tc>
        <w:tc>
          <w:tcPr>
            <w:tcW w:w="2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F0FFFF"/>
          </w:tcPr>
          <w:p>
            <w:pPr>
              <w:jc w:val="right"/>
              <w:ind w:right="375"/>
              <w:spacing w:after="0"/>
              <w:rPr>
                <w:sz w:val="20"/>
                <w:szCs w:val="20"/>
                <w:color w:val="auto"/>
              </w:rPr>
            </w:pPr>
            <w:r>
              <w:rPr>
                <w:rFonts w:ascii="Arial" w:cs="Arial" w:eastAsia="Arial" w:hAnsi="Arial"/>
                <w:sz w:val="18"/>
                <w:szCs w:val="18"/>
                <w:color w:val="auto"/>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Forfeited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7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37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132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396,251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F0FFFF"/>
              <w:bottom w:val="single" w:sz="8" w:color="F0FFFF"/>
            </w:tcBorders>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448,888</w:t>
            </w:r>
          </w:p>
        </w:tc>
        <w:tc>
          <w:tcPr>
            <w:tcW w:w="740" w:type="dxa"/>
            <w:vAlign w:val="bottom"/>
            <w:tcBorders>
              <w:top w:val="single" w:sz="8" w:color="F0FFFF"/>
              <w:bottom w:val="single" w:sz="8" w:color="F0FFFF"/>
            </w:tcBorders>
            <w:gridSpan w:val="2"/>
            <w:shd w:val="clear" w:color="auto" w:fill="F0FFFF"/>
          </w:tcPr>
          <w:p>
            <w:pPr>
              <w:jc w:val="right"/>
              <w:ind w:right="37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6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bottom w:val="single" w:sz="8" w:color="F0FFFF"/>
            </w:tcBorders>
            <w:vMerge w:val="restart"/>
          </w:tcPr>
          <w:p>
            <w:pPr>
              <w:jc w:val="right"/>
              <w:ind w:right="50"/>
              <w:spacing w:after="0"/>
              <w:rPr>
                <w:sz w:val="20"/>
                <w:szCs w:val="20"/>
                <w:color w:val="auto"/>
              </w:rPr>
            </w:pPr>
            <w:r>
              <w:rPr>
                <w:rFonts w:ascii="Arial" w:cs="Arial" w:eastAsia="Arial" w:hAnsi="Arial"/>
                <w:sz w:val="18"/>
                <w:szCs w:val="18"/>
                <w:color w:val="auto"/>
              </w:rPr>
              <w:t>20</w:t>
            </w: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880" w:type="dxa"/>
            <w:vAlign w:val="bottom"/>
            <w:tcBorders>
              <w:bottom w:val="single" w:sz="8" w:color="DCDCDC"/>
            </w:tcBorders>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vMerge w:val="continue"/>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13"/>
          </w:tcPr>
          <w:p>
            <w:pPr>
              <w:spacing w:after="0"/>
              <w:rPr>
                <w:sz w:val="20"/>
                <w:szCs w:val="20"/>
                <w:color w:val="auto"/>
              </w:rPr>
            </w:pPr>
            <w:r>
              <w:rPr>
                <w:rFonts w:ascii="Arial" w:cs="Arial" w:eastAsia="Arial" w:hAnsi="Arial"/>
                <w:sz w:val="18"/>
                <w:szCs w:val="18"/>
                <w:color w:val="auto"/>
                <w:w w:val="91"/>
              </w:rPr>
              <w:t>Exercise prices of stock options outstanding as of December 31 and June 30, 2015 consisted of the following: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ind w:left="320"/>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9"/>
          </w:tcPr>
          <w:p>
            <w:pPr>
              <w:ind w:left="280"/>
              <w:spacing w:after="0"/>
              <w:rPr>
                <w:sz w:val="20"/>
                <w:szCs w:val="20"/>
                <w:color w:val="auto"/>
              </w:rPr>
            </w:pPr>
            <w:r>
              <w:rPr>
                <w:rFonts w:ascii="Arial" w:cs="Arial" w:eastAsia="Arial" w:hAnsi="Arial"/>
                <w:sz w:val="18"/>
                <w:szCs w:val="18"/>
                <w:color w:val="auto"/>
              </w:rPr>
              <w:t>June 30, 2015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6"/>
          </w:tcPr>
          <w:p>
            <w:pPr>
              <w:jc w:val="right"/>
              <w:ind w:right="610"/>
              <w:spacing w:after="0" w:line="201" w:lineRule="exact"/>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color w:val="auto"/>
              </w:rPr>
              <w:t>Options</w:t>
            </w:r>
          </w:p>
        </w:tc>
        <w:tc>
          <w:tcPr>
            <w:tcW w:w="1320" w:type="dxa"/>
            <w:vAlign w:val="bottom"/>
            <w:gridSpan w:val="6"/>
          </w:tcPr>
          <w:p>
            <w:pPr>
              <w:ind w:left="180"/>
              <w:spacing w:after="0"/>
              <w:rPr>
                <w:sz w:val="20"/>
                <w:szCs w:val="20"/>
                <w:color w:val="auto"/>
              </w:rPr>
            </w:pPr>
            <w:r>
              <w:rPr>
                <w:rFonts w:ascii="Arial" w:cs="Arial" w:eastAsia="Arial" w:hAnsi="Arial"/>
                <w:sz w:val="18"/>
                <w:szCs w:val="18"/>
                <w:color w:val="auto"/>
              </w:rPr>
              <w:t>Options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Range of Exercise Prices</w:t>
            </w:r>
          </w:p>
        </w:tc>
        <w:tc>
          <w:tcPr>
            <w:tcW w:w="100" w:type="dxa"/>
            <w:vAlign w:val="bottom"/>
          </w:tcPr>
          <w:p>
            <w:pPr>
              <w:spacing w:after="0"/>
              <w:rPr>
                <w:sz w:val="20"/>
                <w:szCs w:val="20"/>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0" w:type="dxa"/>
            <w:vAlign w:val="bottom"/>
            <w:gridSpan w:val="5"/>
          </w:tcPr>
          <w:p>
            <w:pPr>
              <w:ind w:left="80"/>
              <w:spacing w:after="0"/>
              <w:rPr>
                <w:sz w:val="20"/>
                <w:szCs w:val="20"/>
                <w:color w:val="auto"/>
              </w:rPr>
            </w:pPr>
            <w:r>
              <w:rPr>
                <w:rFonts w:ascii="Arial" w:cs="Arial" w:eastAsia="Arial" w:hAnsi="Arial"/>
                <w:sz w:val="18"/>
                <w:szCs w:val="18"/>
                <w:color w:val="auto"/>
              </w:rPr>
              <w:t>Exercisable</w:t>
            </w:r>
          </w:p>
        </w:tc>
        <w:tc>
          <w:tcPr>
            <w:tcW w:w="1200" w:type="dxa"/>
            <w:vAlign w:val="bottom"/>
            <w:gridSpan w:val="5"/>
          </w:tcPr>
          <w:p>
            <w:pPr>
              <w:jc w:val="right"/>
              <w:ind w:right="260"/>
              <w:spacing w:after="0"/>
              <w:rPr>
                <w:sz w:val="20"/>
                <w:szCs w:val="20"/>
                <w:color w:val="auto"/>
              </w:rPr>
            </w:pPr>
            <w:r>
              <w:rPr>
                <w:rFonts w:ascii="Arial" w:cs="Arial" w:eastAsia="Arial" w:hAnsi="Arial"/>
                <w:sz w:val="18"/>
                <w:szCs w:val="18"/>
                <w:color w:val="auto"/>
                <w:w w:val="94"/>
              </w:rPr>
              <w:t>Outstanding</w:t>
            </w:r>
          </w:p>
        </w:tc>
        <w:tc>
          <w:tcPr>
            <w:tcW w:w="1320" w:type="dxa"/>
            <w:vAlign w:val="bottom"/>
            <w:gridSpan w:val="6"/>
          </w:tcPr>
          <w:p>
            <w:pPr>
              <w:ind w:left="40"/>
              <w:spacing w:after="0"/>
              <w:rPr>
                <w:sz w:val="20"/>
                <w:szCs w:val="20"/>
                <w:color w:val="auto"/>
              </w:rPr>
            </w:pPr>
            <w:r>
              <w:rPr>
                <w:rFonts w:ascii="Arial" w:cs="Arial" w:eastAsia="Arial" w:hAnsi="Arial"/>
                <w:sz w:val="18"/>
                <w:szCs w:val="18"/>
                <w:color w:val="auto"/>
              </w:rPr>
              <w:t>Exercisable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$1.62 to $1.68</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328,888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328,888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80" w:type="dxa"/>
            <w:vAlign w:val="bottom"/>
            <w:shd w:val="clear" w:color="auto" w:fill="F0FFFF"/>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119,586</w:t>
            </w:r>
          </w:p>
        </w:tc>
        <w:tc>
          <w:tcPr>
            <w:tcW w:w="6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3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658,474</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262,223</w:t>
            </w:r>
          </w:p>
        </w:tc>
        <w:tc>
          <w:tcPr>
            <w:tcW w:w="1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spacing w:after="0"/>
              <w:rPr>
                <w:sz w:val="21"/>
                <w:szCs w:val="21"/>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6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auto"/>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80" w:type="dxa"/>
            <w:vAlign w:val="bottom"/>
            <w:tcBorders>
              <w:bottom w:val="single" w:sz="8" w:color="F0FFFF"/>
            </w:tcBorders>
            <w:shd w:val="clear" w:color="auto" w:fill="F0FFFF"/>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gridSpan w:val="2"/>
          </w:tcPr>
          <w:p>
            <w:pPr>
              <w:spacing w:after="0" w:line="20" w:lineRule="exact"/>
              <w:rPr>
                <w:sz w:val="1"/>
                <w:szCs w:val="1"/>
                <w:color w:val="auto"/>
              </w:rPr>
            </w:pPr>
          </w:p>
        </w:tc>
        <w:tc>
          <w:tcPr>
            <w:tcW w:w="780" w:type="dxa"/>
            <w:vAlign w:val="bottom"/>
            <w:tcBorders>
              <w:top w:val="single" w:sz="8" w:color="F0FFFF"/>
              <w:bottom w:val="single" w:sz="8" w:color="auto"/>
            </w:tcBorders>
            <w:gridSpan w:val="2"/>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ind w:left="380"/>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9"/>
          </w:tcPr>
          <w:p>
            <w:pPr>
              <w:ind w:left="480"/>
              <w:spacing w:after="0"/>
              <w:rPr>
                <w:sz w:val="20"/>
                <w:szCs w:val="20"/>
                <w:color w:val="auto"/>
              </w:rPr>
            </w:pPr>
            <w:r>
              <w:rPr>
                <w:rFonts w:ascii="Arial" w:cs="Arial" w:eastAsia="Arial" w:hAnsi="Arial"/>
                <w:sz w:val="18"/>
                <w:szCs w:val="18"/>
                <w:color w:val="auto"/>
              </w:rPr>
              <w:t>June 30, 2015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vMerge w:val="restart"/>
          </w:tcPr>
          <w:p>
            <w:pPr>
              <w:ind w:left="640"/>
              <w:spacing w:after="0"/>
              <w:rPr>
                <w:sz w:val="20"/>
                <w:szCs w:val="20"/>
                <w:color w:val="auto"/>
              </w:rPr>
            </w:pPr>
            <w:r>
              <w:rPr>
                <w:rFonts w:ascii="Arial" w:cs="Arial" w:eastAsia="Arial" w:hAnsi="Arial"/>
                <w:sz w:val="18"/>
                <w:szCs w:val="18"/>
                <w:color w:val="auto"/>
              </w:rPr>
              <w:t>($ in thousands, except per share price</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7"/>
          </w:tcPr>
          <w:p>
            <w:pPr>
              <w:jc w:val="right"/>
              <w:ind w:right="760"/>
              <w:spacing w:after="0"/>
              <w:rPr>
                <w:sz w:val="20"/>
                <w:szCs w:val="20"/>
                <w:color w:val="auto"/>
              </w:rPr>
            </w:pPr>
            <w:r>
              <w:rPr>
                <w:rFonts w:ascii="Arial" w:cs="Arial" w:eastAsia="Arial" w:hAnsi="Arial"/>
                <w:sz w:val="18"/>
                <w:szCs w:val="18"/>
                <w:color w:val="auto"/>
              </w:rPr>
              <w:t>(unaudited)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w w:val="99"/>
              </w:rPr>
              <w:t>Options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200"/>
              <w:spacing w:after="0" w:line="202" w:lineRule="exact"/>
              <w:rPr>
                <w:sz w:val="20"/>
                <w:szCs w:val="20"/>
                <w:color w:val="auto"/>
              </w:rPr>
            </w:pPr>
            <w:r>
              <w:rPr>
                <w:rFonts w:ascii="Arial" w:cs="Arial" w:eastAsia="Arial" w:hAnsi="Arial"/>
                <w:sz w:val="18"/>
                <w:szCs w:val="18"/>
                <w:color w:val="auto"/>
                <w:w w:val="90"/>
              </w:rPr>
              <w:t>Options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380" w:type="dxa"/>
            <w:vAlign w:val="bottom"/>
          </w:tcPr>
          <w:p>
            <w:pPr>
              <w:ind w:left="1200"/>
              <w:spacing w:after="0"/>
              <w:rPr>
                <w:sz w:val="20"/>
                <w:szCs w:val="20"/>
                <w:color w:val="auto"/>
              </w:rPr>
            </w:pPr>
            <w:r>
              <w:rPr>
                <w:rFonts w:ascii="Arial" w:cs="Arial" w:eastAsia="Arial" w:hAnsi="Arial"/>
                <w:sz w:val="18"/>
                <w:szCs w:val="18"/>
                <w:color w:val="auto"/>
              </w:rPr>
              <w:t>and number of options)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Exercisable</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6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Number of stock options</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658,474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262,223</w:t>
            </w: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538,888</w:t>
            </w:r>
          </w:p>
        </w:tc>
        <w:tc>
          <w:tcPr>
            <w:tcW w:w="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33,335</w:t>
            </w:r>
          </w:p>
        </w:tc>
        <w:tc>
          <w:tcPr>
            <w:tcW w:w="80" w:type="dxa"/>
            <w:vAlign w:val="bottom"/>
            <w:tcBorders>
              <w:top w:val="single" w:sz="8" w:color="F0FFFF"/>
            </w:tcBorders>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Weighted average exercise price</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1.86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Aggregate intrinsic value</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F0FFFF"/>
          </w:tcPr>
          <w:p>
            <w:pPr>
              <w:spacing w:after="0"/>
              <w:rPr>
                <w:sz w:val="18"/>
                <w:szCs w:val="18"/>
                <w:color w:val="auto"/>
              </w:rPr>
            </w:pP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Weighted average contractual life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Share price</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F0FFFF"/>
          </w:tcPr>
          <w:p>
            <w:pPr>
              <w:spacing w:after="0"/>
              <w:rPr>
                <w:sz w:val="18"/>
                <w:szCs w:val="18"/>
                <w:color w:val="auto"/>
              </w:rPr>
            </w:pP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438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gridSpan w:val="3"/>
          </w:tcPr>
          <w:p>
            <w:pPr>
              <w:ind w:left="100"/>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nonvested common shares as of December 31, 2015, and changes during the period then ended consisted of the following:</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2"/>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Nonvested at June 30, 2015</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18,604</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131,558</w:t>
            </w: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(21,664)</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Nonvested at September 30, 2015</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128,498</w:t>
            </w:r>
          </w:p>
        </w:tc>
        <w:tc>
          <w:tcPr>
            <w:tcW w:w="1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F0FFFF"/>
              <w:bottom w:val="single" w:sz="8" w:color="F0FFFF"/>
            </w:tcBorders>
          </w:tcPr>
          <w:p>
            <w:pPr>
              <w:spacing w:after="0"/>
              <w:rPr>
                <w:sz w:val="18"/>
                <w:szCs w:val="18"/>
                <w:color w:val="auto"/>
              </w:rPr>
            </w:pPr>
          </w:p>
        </w:tc>
        <w:tc>
          <w:tcPr>
            <w:tcW w:w="124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(7,396)</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Nonvested at December 31, 2015</w:t>
            </w: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121,102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F0FFFF"/>
            </w:tcBorders>
          </w:tcPr>
          <w:p>
            <w:pPr>
              <w:spacing w:after="0" w:line="20" w:lineRule="exact"/>
              <w:rPr>
                <w:sz w:val="1"/>
                <w:szCs w:val="1"/>
                <w:color w:val="auto"/>
              </w:rPr>
            </w:pPr>
          </w:p>
        </w:tc>
        <w:tc>
          <w:tcPr>
            <w:tcW w:w="12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December 31, 2015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Series A Preferred Stock may be called for redemption at the option of the Board of Directors for a price of $11.00 per share plus payment of all accrued and unpaid dividends. No such redemption has occurred as of December 31, 2015.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December 31, 2015 and June 30, 2015 is as follows:</w:t>
      </w:r>
    </w:p>
    <w:p>
      <w:pPr>
        <w:spacing w:after="0" w:line="17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 in thousands)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r>
      <w:tr>
        <w:trPr>
          <w:trHeight w:val="237"/>
        </w:trPr>
        <w:tc>
          <w:tcPr>
            <w:tcW w:w="4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Shares outstanding at $10.00 per share</w:t>
            </w:r>
          </w:p>
        </w:tc>
        <w:tc>
          <w:tcPr>
            <w:tcW w:w="15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4,430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4,430</w:t>
            </w: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Cumulative unpaid dividends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13,257</w:t>
            </w: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12,925</w:t>
            </w:r>
          </w:p>
        </w:tc>
      </w:tr>
      <w:tr>
        <w:trPr>
          <w:trHeight w:val="255"/>
        </w:trPr>
        <w:tc>
          <w:tcPr>
            <w:tcW w:w="4180" w:type="dxa"/>
            <w:vAlign w:val="bottom"/>
            <w:tcBorders>
              <w:top w:val="single" w:sz="8" w:color="F0FFFF"/>
              <w:bottom w:val="single" w:sz="8" w:color="F0FFFF"/>
            </w:tcBorders>
            <w:shd w:val="clear" w:color="auto" w:fill="F0FFFF"/>
          </w:tcPr>
          <w:p>
            <w:pPr>
              <w:spacing w:after="0"/>
              <w:rPr>
                <w:sz w:val="21"/>
                <w:szCs w:val="21"/>
                <w:color w:val="auto"/>
              </w:rPr>
            </w:pPr>
          </w:p>
        </w:tc>
        <w:tc>
          <w:tcPr>
            <w:tcW w:w="14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17,687</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17,355</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18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Cumulative unpaid dividends are convertible into common shares at $1,000 per common share at the option of the shareholder. During the three and six months ended December 31, 2015 and 2014, no shares of Preferred Stock nor cumulative preferred dividends were converted into shares of common stock.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401(k) Plan (the “Retirement Plan”) allows employees who have completed six months of service to make voluntary contributions up to a maximum of 100% of their annual compensation, as defined in the Retirement Plan and subject to IRS limitations.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For the plan year ending June 30, 2016, the Company has elected to make safe harbor matching contributions of 100% of the participant’s first 3% and 50% of the next 2% of compensation deferred into the Retirement Plan. The Company’s safe harbor contributions for the three months ended December 31, 2015 and 2014 approximated $49 thousand and $41 thousand, respectively. The Company’s safe harbor contributions for the six months ended December 31, 2015 and 2014 approximated $103 thousand and $88 thousand,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three or six-month periods ended December 31, 2015 and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and through the three months ended September 30, 2014, the Company and a third party finance company, entered into Sale Leaseback Agreements (the “Sale Leaseback Agreements” or a “Sale Leaseback Agreement”) pursuant to which a third-party finance company purchased ePort equipment owned by the Company and used by the Company in its JumpStart Program.</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completion of the sale under these agreements, the Company computed a gain on the sale of its ePort equipment, which is deferred and is amortized in proportion to the related gross rental charged to expense over the lease terms in accordance with the FASB topic ASC 840-40, “Sale Leaseback Transactions”. The computed gain on the sale is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the finance company a base monthly rental for this equipment during the 36-month lease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deferred gain from the sale-leaseback transactions: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2160" w:type="dxa"/>
            <w:vAlign w:val="bottom"/>
          </w:tcPr>
          <w:p>
            <w:pPr>
              <w:spacing w:after="0"/>
              <w:rPr>
                <w:sz w:val="19"/>
                <w:szCs w:val="19"/>
                <w:color w:val="auto"/>
              </w:rPr>
            </w:pPr>
          </w:p>
        </w:tc>
        <w:tc>
          <w:tcPr>
            <w:tcW w:w="244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420" w:type="dxa"/>
            <w:vAlign w:val="bottom"/>
            <w:vMerge w:val="continue"/>
          </w:tcPr>
          <w:p>
            <w:pPr>
              <w:spacing w:after="0"/>
              <w:rPr>
                <w:sz w:val="20"/>
                <w:szCs w:val="20"/>
                <w:color w:val="auto"/>
              </w:rPr>
            </w:pPr>
          </w:p>
        </w:tc>
        <w:tc>
          <w:tcPr>
            <w:tcW w:w="2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0"/>
              </w:rPr>
              <w:t>December 31,</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420" w:type="dxa"/>
            <w:vAlign w:val="bottom"/>
            <w:tcBorders>
              <w:bottom w:val="single" w:sz="8" w:color="F0FFFF"/>
            </w:tcBorders>
          </w:tcPr>
          <w:p>
            <w:pPr>
              <w:spacing w:after="0"/>
              <w:rPr>
                <w:sz w:val="20"/>
                <w:szCs w:val="20"/>
                <w:color w:val="auto"/>
              </w:rPr>
            </w:pPr>
          </w:p>
        </w:tc>
        <w:tc>
          <w:tcPr>
            <w:tcW w:w="2160" w:type="dxa"/>
            <w:vAlign w:val="bottom"/>
            <w:tcBorders>
              <w:bottom w:val="single" w:sz="8" w:color="F0FF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2160" w:type="dxa"/>
            <w:vAlign w:val="bottom"/>
            <w:shd w:val="clear" w:color="auto" w:fill="F0FFFF"/>
          </w:tcPr>
          <w:p>
            <w:pPr>
              <w:spacing w:after="0"/>
              <w:rPr>
                <w:sz w:val="18"/>
                <w:szCs w:val="18"/>
                <w:color w:val="auto"/>
              </w:rPr>
            </w:pPr>
          </w:p>
        </w:tc>
        <w:tc>
          <w:tcPr>
            <w:tcW w:w="900" w:type="dxa"/>
            <w:vAlign w:val="bottom"/>
            <w:shd w:val="clear" w:color="auto" w:fill="F0FFFF"/>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1,545</w:t>
            </w:r>
          </w:p>
        </w:tc>
        <w:tc>
          <w:tcPr>
            <w:tcW w:w="1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2,407</w:t>
            </w:r>
          </w:p>
        </w:tc>
        <w:tc>
          <w:tcPr>
            <w:tcW w:w="80" w:type="dxa"/>
            <w:vAlign w:val="bottom"/>
            <w:shd w:val="clear" w:color="auto" w:fill="F0FF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21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(215)</w:t>
            </w:r>
          </w:p>
        </w:tc>
        <w:tc>
          <w:tcPr>
            <w:tcW w:w="920" w:type="dxa"/>
            <w:vAlign w:val="bottom"/>
            <w:shd w:val="clear" w:color="auto" w:fill="F0FFFF"/>
          </w:tcPr>
          <w:p>
            <w:pPr>
              <w:spacing w:after="0"/>
              <w:rPr>
                <w:sz w:val="21"/>
                <w:szCs w:val="21"/>
                <w:color w:val="auto"/>
              </w:rPr>
            </w:pPr>
          </w:p>
        </w:tc>
        <w:tc>
          <w:tcPr>
            <w:tcW w:w="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42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2160" w:type="dxa"/>
            <w:vAlign w:val="bottom"/>
            <w:tcBorders>
              <w:top w:val="single" w:sz="8" w:color="F0FF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1,330</w:t>
            </w:r>
          </w:p>
        </w:tc>
        <w:tc>
          <w:tcPr>
            <w:tcW w:w="160" w:type="dxa"/>
            <w:vAlign w:val="bottom"/>
            <w:tcBorders>
              <w:top w:val="single" w:sz="8" w:color="F0FF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2,192</w:t>
            </w:r>
          </w:p>
        </w:tc>
        <w:tc>
          <w:tcPr>
            <w:tcW w:w="80" w:type="dxa"/>
            <w:vAlign w:val="bottom"/>
            <w:tcBorders>
              <w:top w:val="single" w:sz="8" w:color="F0FFFF"/>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1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6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860</w:t>
            </w:r>
          </w:p>
        </w:tc>
        <w:tc>
          <w:tcPr>
            <w:tcW w:w="920" w:type="dxa"/>
            <w:vAlign w:val="bottom"/>
            <w:shd w:val="clear" w:color="auto" w:fill="F0FFFF"/>
          </w:tcPr>
          <w:p>
            <w:pPr>
              <w:spacing w:after="0"/>
              <w:rPr>
                <w:sz w:val="21"/>
                <w:szCs w:val="21"/>
                <w:color w:val="auto"/>
              </w:rPr>
            </w:pPr>
          </w:p>
        </w:tc>
        <w:tc>
          <w:tcPr>
            <w:tcW w:w="5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860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4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2160" w:type="dxa"/>
            <w:vAlign w:val="bottom"/>
            <w:tcBorders>
              <w:top w:val="single" w:sz="8" w:color="F0FF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F0FF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1,332</w:t>
            </w:r>
          </w:p>
        </w:tc>
        <w:tc>
          <w:tcPr>
            <w:tcW w:w="80" w:type="dxa"/>
            <w:vAlign w:val="bottom"/>
            <w:tcBorders>
              <w:top w:val="single" w:sz="8" w:color="F0FFFF"/>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60" w:type="dxa"/>
            <w:vAlign w:val="bottom"/>
            <w:vMerge w:val="restart"/>
          </w:tcPr>
          <w:p>
            <w:pPr>
              <w:jc w:val="right"/>
              <w:ind w:right="111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44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c>
          <w:tcPr>
            <w:tcW w:w="2160" w:type="dxa"/>
            <w:vAlign w:val="bottom"/>
            <w:tcBorders>
              <w:bottom w:val="single" w:sz="8" w:color="DCDCDC"/>
            </w:tcBorders>
            <w:vMerge w:val="continue"/>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16. COMMITMENTS AND CONTINGENCIES (CONTINUED)</w:t>
            </w: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440" w:type="dxa"/>
            <w:vAlign w:val="bottom"/>
          </w:tcPr>
          <w:p>
            <w:pPr>
              <w:spacing w:after="0"/>
              <w:rPr>
                <w:sz w:val="24"/>
                <w:szCs w:val="24"/>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1020" w:type="dxa"/>
            <w:vAlign w:val="bottom"/>
          </w:tcPr>
          <w:p>
            <w:pPr>
              <w:spacing w:after="0"/>
              <w:rPr>
                <w:sz w:val="24"/>
                <w:szCs w:val="24"/>
                <w:color w:val="auto"/>
              </w:rPr>
            </w:pPr>
          </w:p>
        </w:tc>
        <w:tc>
          <w:tcPr>
            <w:tcW w:w="244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0"/>
              </w:rPr>
              <w:t>December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4560" w:type="dxa"/>
            <w:vAlign w:val="bottom"/>
            <w:tcBorders>
              <w:bottom w:val="single" w:sz="8" w:color="F0FFFF"/>
            </w:tcBorders>
          </w:tcPr>
          <w:p>
            <w:pPr>
              <w:spacing w:after="0"/>
              <w:rPr>
                <w:sz w:val="20"/>
                <w:szCs w:val="20"/>
                <w:color w:val="auto"/>
              </w:rPr>
            </w:pPr>
          </w:p>
        </w:tc>
        <w:tc>
          <w:tcPr>
            <w:tcW w:w="1020" w:type="dxa"/>
            <w:vAlign w:val="bottom"/>
            <w:tcBorders>
              <w:bottom w:val="single" w:sz="8" w:color="F0FF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F0FFFF"/>
          </w:tcPr>
          <w:p>
            <w:pPr>
              <w:spacing w:after="0"/>
              <w:rPr>
                <w:sz w:val="18"/>
                <w:szCs w:val="18"/>
                <w:color w:val="auto"/>
              </w:rPr>
            </w:pPr>
          </w:p>
        </w:tc>
        <w:tc>
          <w:tcPr>
            <w:tcW w:w="900" w:type="dxa"/>
            <w:vAlign w:val="bottom"/>
            <w:shd w:val="clear" w:color="auto" w:fill="F0FFFF"/>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1,760</w:t>
            </w:r>
          </w:p>
        </w:tc>
        <w:tc>
          <w:tcPr>
            <w:tcW w:w="1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1,143</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102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(430)</w:t>
            </w:r>
          </w:p>
        </w:tc>
        <w:tc>
          <w:tcPr>
            <w:tcW w:w="920" w:type="dxa"/>
            <w:vAlign w:val="bottom"/>
            <w:shd w:val="clear" w:color="auto" w:fill="F0FFFF"/>
          </w:tcPr>
          <w:p>
            <w:pPr>
              <w:spacing w:after="0"/>
              <w:rPr>
                <w:sz w:val="21"/>
                <w:szCs w:val="21"/>
                <w:color w:val="auto"/>
              </w:rPr>
            </w:pPr>
          </w:p>
        </w:tc>
        <w:tc>
          <w:tcPr>
            <w:tcW w:w="5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56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F0FF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1,330</w:t>
            </w:r>
          </w:p>
        </w:tc>
        <w:tc>
          <w:tcPr>
            <w:tcW w:w="160" w:type="dxa"/>
            <w:vAlign w:val="bottom"/>
            <w:tcBorders>
              <w:top w:val="single" w:sz="8" w:color="F0FF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2,192</w:t>
            </w:r>
          </w:p>
        </w:tc>
        <w:tc>
          <w:tcPr>
            <w:tcW w:w="2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6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860</w:t>
            </w:r>
          </w:p>
        </w:tc>
        <w:tc>
          <w:tcPr>
            <w:tcW w:w="920" w:type="dxa"/>
            <w:vAlign w:val="bottom"/>
            <w:shd w:val="clear" w:color="auto" w:fill="F0FFFF"/>
          </w:tcPr>
          <w:p>
            <w:pPr>
              <w:spacing w:after="0"/>
              <w:rPr>
                <w:sz w:val="21"/>
                <w:szCs w:val="21"/>
                <w:color w:val="auto"/>
              </w:rPr>
            </w:pPr>
          </w:p>
        </w:tc>
        <w:tc>
          <w:tcPr>
            <w:tcW w:w="4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45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1020" w:type="dxa"/>
            <w:vAlign w:val="bottom"/>
            <w:tcBorders>
              <w:top w:val="single" w:sz="8" w:color="F0FF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F0FF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1,332</w:t>
            </w:r>
          </w:p>
        </w:tc>
        <w:tc>
          <w:tcPr>
            <w:tcW w:w="20" w:type="dxa"/>
            <w:vAlign w:val="bottom"/>
            <w:tcBorders>
              <w:top w:val="single" w:sz="8" w:color="F0FFFF"/>
              <w:bottom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2015, Universal Clearing Solutions, LLC (“Universal Clearing”), a former non-vending customer of the Company, filed a complaint against the Company in the United States District Court for the District of Arizona. On April 10, 2015, Universal Clearing filed an amended complaint, and on June 19, 2015, Universal Clearing filed a second amended complaint, which alleged causes of action against the Company for breach of contract, breach of fiduciary duty, and defamation. On July 24, 2015, the Company filed an answer to the defamation count of the complaint denying the allegations, and filed a motion to dismiss the remaining counts. On January 29, 2016, the Court granted the Company's motion, and dismissed the breach of contract and breach of fiduciary duty claims against the Company. The Company does not believe that the remaining defamation count of the complaint has merit or represents a material legal proceeding, and intends to vigorously defend against the claim.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2015, the Company filed a counterclaim against Universal Clearing seeking damages of approximately $680 thousand which were incurred by the Company in connection with chargebacks relating to Universal Clearing’s sub-merchants which had been boarded on the Company’s service. The counterclaim alleges that Universal Clearing is responsible under the agreement for these chargebacks, and Universal Clearing misrepresented to the Company the business practices and other matters relating to these sub-merchants. On August 17, 2015, Universal Clearing filed an answer to the counterclaim denying that it was responsible for the chargebacks or had made any misrepresentations.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2015, the Company filed a third party complaint in the pending action against Steven Juliver, the manager of Universal Clearing, as well as against Universal Tranware, LLC, and Secureswype, LLC, entities affiliated with Universal Clearing. The third-party complaint sets forth, among other things, causes of action for fraud and breach of contract, and seeks to recover from these defendants the chargebacks relating to Universal Clearing’s sub-merchants described above. On September 14, 2015, the third party defendants filed a motion to dismiss the third party complaint and on January 29, 2016, the court denied the motion to dismiss the fraud and breach of contract claims. The Company intends to vigorously pursue its claims for damages set forth in the counterclaim and third party complaint.</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 2015, a purported class action complaint was filed in the United States District Court for the Eastern District of Pennsylvania by Steven P. Messner, individually and on behalf of all others similarly situated, against the Company and its executive officers, alleging violations under the Securities Exchange Act of 1934. The lawsuit was filed on behalf of a purported class of investors who purchased or otherwise acquired securities of the Company between September 29, 2014 through September 29, 2015. The complaint alleges that the defendants made materially false and misleading statements, relating to, among other things, the failure to identify a large number of doubtful small balance accounts. The complaint seeks certification as a class action and unspecified damages including attorneys’ fees and other costs.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alleging, among other things, the amended complaint does not satisfy the applicable pleading standards under the Private Securities Litigation Reform Act. The Court has not yet ruled on the motion to dismiss. Although the ultimate outcome of litigation cannot be predicted with certainty, the Company believes that this lawsuit is without merit and intends to vigorously defend against the action.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15, 2016, the Company entered into an Asset Purchase Agreement with VendScreen, Inc. (“VendScreen”) pursuant to which the Company purchased substantially all of the assets (the “Purchased Assets”) and assumed certain liabilities of VendScreen. VendScreen was in the business of developing vending industry cashless payment technology, including an interactive media, content delivery system for the self-service vending market.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Asset Purchase Agreement, the Company paid VendScreen the sum of approximately $5.6 million at closing for the Purchased Assets. The Purchased Assets include all of VendScreen’s intellectual property (including software, patents, domain names, and copyrights), inventory, customer agreements, goodwill, and certain accounts receivable. The Company assumed the lease agreement for the offices of VendScreen located in Portland, Oregon, which, subject to extension options, expires on September 30, 2016. At the time of closing, the employees of VendScreen became employees of or consultants to the Company. The Company and VendScreen also entered into a Transitional Services Agreement pursuant to which VendScreen may provide services to the Company following the closing and under which the Company will pay to VendScreen the sum of $250 thousand.</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Asset Purchase Agreement, on January 15, 2016, the Company and Avidbank Corporate Finance, a division of Avidbank (the “Bank”), entered into a Fifteenth Amendment (the “Amendment”) to the Loan and Security Agreement (as amended, the “Loan Agreement”) previously entered into between them. The Loan Agreement provided for a secured asset-based revolving line of credit facility (the “Line of Credit”) of up to $7.5 million.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Amendment, and as required by the Loan Agreement, the Bank consented to the purchase by the Company of substantially all of the assets of VendScreen. The Bank also made a three-year term loan to the Company in the principal amount of $3.0 million (the “Term Loan”). The Term Loan was used by the Company to repay to the Bank an advance that had been made to the Company under the Line of Credit in December 2015, and which had been used by the Company to pay for the Purchased Assets. The Term Loan provides that interest only is payable monthly during year one, interest and principal is payable monthly during years two and three, and all outstanding principal and accrued interest is due and payable on the third anniversary of the Term Loan. The Term Loan bears interest at an annual rate equal to 1.75% above the prime rate as published from time to time by The Wall Street Journal, or five percent (5%), whichever is higher. The Amendment also increases the amount available under the Line of Credit to $7.5 million less the amount then outstanding under the Term Loan. The Amendment amended the definition of Adjusted EBITDA set forth in the Loan Agreement to exclude the one-time costs and expenses incurred or accrued by the Company in connection with the purchase of VendScreen.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22, 2016, the Company and J. Duncan Smith entered into a Separation Agreement and Release pursuant to which, Mr. Smith resigned as CFO of the Company, effective January 22,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27, 2016, the Company entered into a letter agreement with Leland P. Maxwell pursuant to which he will serve as the Company’s interim CFO commencing January 28, 2016 through September 30, 2016. The letter agreement provides that Mr. Maxwell will receive monthly compensation of $23 thousand, and will be an independent contractor to the Company. Mr. Maxwell will also participate in the Fiscal Year 2016 Management Incentive Plan of the Company, and would receive a cash bonus equal to 50% of the compensation received by him from the Company during the fiscal year if the Company achieves certain annual financial goals during and for the entire fiscal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leasing companies under our QuickStart program in order to continue to significantly reduce net cash used in operating activities;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ongoing remediation of the material weakness that we identified in our internal controls over financial reporting, and which was reflected in our annual report on Form 10-K for the fiscal year ended June 30, 2015, would be effective;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p>
    <w:p>
      <w:pPr>
        <w:sectPr>
          <w:pgSz w:w="11900" w:h="16874" w:orient="portrait"/>
          <w:cols w:equalWidth="0" w:num="1">
            <w:col w:w="11420"/>
          </w:cols>
          <w:pgMar w:left="240" w:top="904" w:right="239" w:bottom="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 OF THE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other value-added services principally to the small ticket, unattended Point of Sale (“POS”) market.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can be installed and/or embedded into everyday devices such as vending machines, a variety of kiosks, amusement, commercial laundry, kiosk and smartphones via our ePort Mobile™ solution. Our associated service, ePort Connect</w:t>
      </w:r>
      <w:r>
        <w:rPr>
          <w:rFonts w:ascii="Arial" w:cs="Arial" w:eastAsia="Arial" w:hAnsi="Arial"/>
          <w:sz w:val="18"/>
          <w:szCs w:val="18"/>
          <w:i w:val="1"/>
          <w:iCs w:val="1"/>
          <w:color w:val="auto"/>
        </w:rPr>
        <w:t>®</w:t>
      </w:r>
      <w:r>
        <w:rPr>
          <w:rFonts w:ascii="Arial" w:cs="Arial" w:eastAsia="Arial" w:hAnsi="Arial"/>
          <w:sz w:val="18"/>
          <w:szCs w:val="18"/>
          <w:color w:val="auto"/>
        </w:rPr>
        <w: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revenue in multiple ways. During fiscal year 2015, we derived approximately 75% of our revenues from recurring license and transaction fees related to our ePort Connect service and approximately 25% of our revenue from equipment sales.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in 1992, USA Technologies, Inc. has been helping customers in self-serve retail, traditionally cash-based industries, seamlessly make the transition to cashless payment. Highlights of the Company are below:</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71 employees with its headquarters in Malvern, Pennsylvania as of December 31, 2015. On January 15, 2016, as a result of the acquisition of VendScreen, 12 additional employees were added.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10,600 customers and 369,000 connections to our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 direct sales teams at the national, regional, and local customer-level and a growing number of OEMs and national distribution partners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78 United States and foreign patents are in force</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The Company’s fiscal year ends June 30</w:t>
      </w:r>
      <w:r>
        <w:rPr>
          <w:rFonts w:ascii="Arial" w:cs="Arial" w:eastAsia="Arial" w:hAnsi="Arial"/>
          <w:sz w:val="30"/>
          <w:szCs w:val="30"/>
          <w:color w:val="auto"/>
          <w:vertAlign w:val="superscript"/>
        </w:rPr>
        <w:t>th</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deferred tax assets of approximately $27 million resulting from a series of operating loss carry forwards that may be available to offset future taxable income from federal income taxes over the next five or more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WE 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growing customer base is indicative of a broadening adoption and acceptance of cashless payments in the industries we serve. We estimate the United States market generates over $120 billion in annual cashless transaction revenues, representing 13-15 million potential connections in the self-serve retail market. Included in the self-service retail market is the Company’s largest market segment, vending. This supports the Company’s position in the market and opportunities for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management estimates that the Company’s existing customer base controls over 2.0 million potential connections. The Company views the total installed base of machines managed by its customers that have yet to transition to cashless payment, as a key strategic opportunity for future growth in connections.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condensed consolidated financial statements are prepared applying certain critical accounting policies. The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72"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period. If the factors described above were to deteriorate, additional amounts may need to be added to the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fiscal 2016, the Company changed the manner in which it treats certain costs for internally developed software with the capitalization of those costs. These capitalized costs for internal-use software are included in property and equipment in the consolidated balance sheet and are amortized over three years.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 At December 31, 2015, the Company had $85 thousand in capitalized software development of which will be amortized beginning with the third quarter of fiscal 2016.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440" w:type="dxa"/>
            <w:vAlign w:val="bottom"/>
            <w:gridSpan w:val="11"/>
          </w:tcPr>
          <w:p>
            <w:pPr>
              <w:spacing w:after="0"/>
              <w:rPr>
                <w:sz w:val="20"/>
                <w:szCs w:val="20"/>
                <w:color w:val="auto"/>
              </w:rPr>
            </w:pPr>
            <w:r>
              <w:rPr>
                <w:rFonts w:ascii="Arial" w:cs="Arial" w:eastAsia="Arial" w:hAnsi="Arial"/>
                <w:sz w:val="18"/>
                <w:szCs w:val="18"/>
                <w:b w:val="1"/>
                <w:bCs w:val="1"/>
                <w:color w:val="auto"/>
              </w:rPr>
              <w:t>HIGHLIGHTS FOR THE THREE AND SIX MONTHS ENDED DECEMBER 31, 2015 INCLUDE: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8"/>
                <w:szCs w:val="18"/>
                <w:b w:val="1"/>
                <w:bCs w:val="1"/>
                <w:color w:val="auto"/>
                <w:w w:val="89"/>
              </w:rPr>
              <w:t>As of and for the three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 Change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5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18,503</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12,822</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5,681</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License and transaction revenue</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13,674</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10,480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License and transaction gross profit</w:t>
            </w:r>
          </w:p>
        </w:tc>
        <w:tc>
          <w:tcPr>
            <w:tcW w:w="15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4,607</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3,322</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1,285</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License and transaction margin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Connections</w:t>
            </w:r>
          </w:p>
        </w:tc>
        <w:tc>
          <w:tcPr>
            <w:tcW w:w="14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369,000</w:t>
            </w: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288,000</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81,000</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Customers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5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2,260</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1,681</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579</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686</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Free cash flow (use of cash)</w:t>
            </w:r>
          </w:p>
        </w:tc>
        <w:tc>
          <w:tcPr>
            <w:tcW w:w="15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507</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(3,039)</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3,546</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w w:val="89"/>
              </w:rPr>
              <w:t>As of and for the six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 Change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5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35,103</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25,074</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10,029</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License and transaction revenue</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26,599</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20,636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5,963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License and transaction gross profit</w:t>
            </w:r>
          </w:p>
        </w:tc>
        <w:tc>
          <w:tcPr>
            <w:tcW w:w="15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8,827</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6,227</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2,600</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License and transaction margin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5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4,011</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2,627</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1,384</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747</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1,119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Free cash flow (use of cash)</w:t>
            </w:r>
          </w:p>
        </w:tc>
        <w:tc>
          <w:tcPr>
            <w:tcW w:w="15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869</w:t>
            </w:r>
          </w:p>
        </w:tc>
        <w:tc>
          <w:tcPr>
            <w:tcW w:w="5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(6,086)</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6,955</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0" w:type="dxa"/>
            <w:vAlign w:val="bottom"/>
            <w:tcBorders>
              <w:bottom w:val="single" w:sz="8" w:color="DCDCDC"/>
            </w:tcBorders>
          </w:tcPr>
          <w:p>
            <w:pPr>
              <w:spacing w:after="0"/>
              <w:rPr>
                <w:sz w:val="24"/>
                <w:szCs w:val="24"/>
                <w:color w:val="auto"/>
              </w:rPr>
            </w:pPr>
          </w:p>
        </w:tc>
        <w:tc>
          <w:tcPr>
            <w:tcW w:w="14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jc w:val="right"/>
              <w:ind w:right="810"/>
              <w:spacing w:after="0"/>
              <w:rPr>
                <w:sz w:val="20"/>
                <w:szCs w:val="20"/>
                <w:color w:val="auto"/>
              </w:rPr>
            </w:pPr>
            <w:r>
              <w:rPr>
                <w:rFonts w:ascii="Arial" w:cs="Arial" w:eastAsia="Arial" w:hAnsi="Arial"/>
                <w:sz w:val="18"/>
                <w:szCs w:val="18"/>
                <w:color w:val="auto"/>
                <w:w w:val="99"/>
              </w:rPr>
              <w:t>29</w:t>
            </w: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certain financial and non-financial data over a five-quarter period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20" w:type="dxa"/>
            <w:vAlign w:val="bottom"/>
            <w:gridSpan w:val="2"/>
          </w:tcPr>
          <w:p>
            <w:pPr>
              <w:spacing w:after="0" w:line="198" w:lineRule="exact"/>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17"/>
                <w:szCs w:val="17"/>
                <w:color w:val="auto"/>
              </w:rPr>
            </w:pPr>
          </w:p>
        </w:tc>
        <w:tc>
          <w:tcPr>
            <w:tcW w:w="1320" w:type="dxa"/>
            <w:vAlign w:val="bottom"/>
            <w:gridSpan w:val="3"/>
          </w:tcPr>
          <w:p>
            <w:pPr>
              <w:jc w:val="right"/>
              <w:ind w:right="15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7"/>
                <w:szCs w:val="17"/>
                <w:color w:val="auto"/>
              </w:rPr>
            </w:pP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90"/>
              <w:spacing w:after="0" w:line="198" w:lineRule="exact"/>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70"/>
              <w:spacing w:after="0" w:line="198" w:lineRule="exact"/>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Connections: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Gross New Connections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34,000</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 from Existing Customer Base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Net New Connections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16,000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31,000</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Connections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Customers: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New Customers Added</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Customers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Volumes: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Total Number of Transactions (millions)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Transaction Volume ($millions)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Financing Structure of Connections: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JumpStart</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QuickStart &amp; All Others *</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2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December 31, 2015 include:</w:t>
      </w:r>
    </w:p>
    <w:p>
      <w:pPr>
        <w:spacing w:after="0" w:line="225"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20,000 net new connections to our ePort Connect service in the quarter, compared to 12,000 net connections added in the same quarter last year, an increase of 8,000, or 67%;</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369,000 connections to the ePort Connect service compared to the same quarter last year of approximately 288,000 connections, an increase of 81,000 connections, or 28%;</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USAT has shifted from providing financing for the customer’s equipment purchases through month-to-month agreements under the JumpStart rental program, to using outside leasing companies through the QuickStart program with sixty month terms. This shift to QuickStart provides for an upfront payment by the leasing companies for the equipment which significantly improves the Company’s free cash flow**. It should be noted that the Company may hold QuickStart leases as finance receivables for customers that are not able to obtain third party leasing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 is defined as the Company’s cash flow from operating activities less cash used for purchases of property for the JumpStart rental program.</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100" w:type="dxa"/>
            <w:vAlign w:val="bottom"/>
            <w:gridSpan w:val="9"/>
          </w:tcPr>
          <w:p>
            <w:pPr>
              <w:spacing w:after="0"/>
              <w:rPr>
                <w:sz w:val="20"/>
                <w:szCs w:val="20"/>
                <w:color w:val="auto"/>
              </w:rPr>
            </w:pPr>
            <w:r>
              <w:rPr>
                <w:rFonts w:ascii="Arial" w:cs="Arial" w:eastAsia="Arial" w:hAnsi="Arial"/>
                <w:sz w:val="18"/>
                <w:szCs w:val="18"/>
                <w:b w:val="1"/>
                <w:bCs w:val="1"/>
                <w:color w:val="auto"/>
              </w:rPr>
              <w:t>Table 2: Quarter Ended December 31, 2015 compared to Quarter Ended December 31, 2014</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20" w:type="dxa"/>
            <w:vAlign w:val="bottom"/>
            <w:gridSpan w:val="2"/>
          </w:tcPr>
          <w:p>
            <w:pPr>
              <w:spacing w:after="0"/>
              <w:rPr>
                <w:sz w:val="20"/>
                <w:szCs w:val="20"/>
                <w:color w:val="auto"/>
              </w:rPr>
            </w:pPr>
            <w:r>
              <w:rPr>
                <w:rFonts w:ascii="Arial" w:cs="Arial" w:eastAsia="Arial" w:hAnsi="Arial"/>
                <w:sz w:val="18"/>
                <w:szCs w:val="18"/>
                <w:color w:val="auto"/>
              </w:rPr>
              <w:t>($ in thousands, except share and per share data)</w:t>
            </w:r>
          </w:p>
        </w:tc>
        <w:tc>
          <w:tcPr>
            <w:tcW w:w="100" w:type="dxa"/>
            <w:vAlign w:val="bottom"/>
          </w:tcPr>
          <w:p>
            <w:pPr>
              <w:spacing w:after="0"/>
              <w:rPr>
                <w:sz w:val="24"/>
                <w:szCs w:val="24"/>
                <w:color w:val="auto"/>
              </w:rPr>
            </w:pPr>
          </w:p>
        </w:tc>
        <w:tc>
          <w:tcPr>
            <w:tcW w:w="446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For the three months ended December 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50"/>
              <w:spacing w:after="0" w:line="198"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13,674</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10,480</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3,194</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4,829</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2,342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2,487</w:t>
            </w: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18,503</w:t>
            </w:r>
          </w:p>
        </w:tc>
        <w:tc>
          <w:tcPr>
            <w:tcW w:w="8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12,822</w:t>
            </w:r>
          </w:p>
        </w:tc>
        <w:tc>
          <w:tcPr>
            <w:tcW w:w="26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5,681</w:t>
            </w:r>
          </w:p>
        </w:tc>
        <w:tc>
          <w:tcPr>
            <w:tcW w:w="11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9,067</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7,158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1,909</w:t>
            </w: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3,953</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1,930</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13,020</w:t>
            </w:r>
          </w:p>
        </w:tc>
        <w:tc>
          <w:tcPr>
            <w:tcW w:w="80" w:type="dxa"/>
            <w:vAlign w:val="bottom"/>
            <w:tcBorders>
              <w:top w:val="single" w:sz="8" w:color="F0FFFF"/>
              <w:bottom w:val="single" w:sz="8" w:color="F0FFFF"/>
            </w:tcBorders>
          </w:tcPr>
          <w:p>
            <w:pPr>
              <w:spacing w:after="0"/>
              <w:rPr>
                <w:sz w:val="18"/>
                <w:szCs w:val="18"/>
                <w:color w:val="auto"/>
              </w:rPr>
            </w:pPr>
          </w:p>
        </w:tc>
        <w:tc>
          <w:tcPr>
            <w:tcW w:w="1300" w:type="dxa"/>
            <w:vAlign w:val="bottom"/>
            <w:tcBorders>
              <w:top w:val="single" w:sz="8" w:color="F0FFFF"/>
              <w:bottom w:val="single" w:sz="8" w:color="F0FFFF"/>
            </w:tcBorders>
          </w:tcPr>
          <w:p>
            <w:pPr>
              <w:jc w:val="right"/>
              <w:ind w:right="30"/>
              <w:spacing w:after="0" w:line="203" w:lineRule="exact"/>
              <w:rPr>
                <w:sz w:val="20"/>
                <w:szCs w:val="20"/>
                <w:color w:val="auto"/>
              </w:rPr>
            </w:pPr>
            <w:r>
              <w:rPr>
                <w:rFonts w:ascii="Arial" w:cs="Arial" w:eastAsia="Arial" w:hAnsi="Arial"/>
                <w:sz w:val="18"/>
                <w:szCs w:val="18"/>
                <w:color w:val="auto"/>
              </w:rPr>
              <w:t>70.4%</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9,088</w:t>
            </w:r>
          </w:p>
        </w:tc>
        <w:tc>
          <w:tcPr>
            <w:tcW w:w="260" w:type="dxa"/>
            <w:vAlign w:val="bottom"/>
            <w:tcBorders>
              <w:top w:val="single" w:sz="8" w:color="F0FFFF"/>
              <w:bottom w:val="single" w:sz="8" w:color="F0FFFF"/>
            </w:tcBorders>
          </w:tcPr>
          <w:p>
            <w:pPr>
              <w:spacing w:after="0"/>
              <w:rPr>
                <w:sz w:val="18"/>
                <w:szCs w:val="18"/>
                <w:color w:val="auto"/>
              </w:rPr>
            </w:pPr>
          </w:p>
        </w:tc>
        <w:tc>
          <w:tcPr>
            <w:tcW w:w="108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70.9%</w:t>
            </w:r>
          </w:p>
        </w:tc>
        <w:tc>
          <w:tcPr>
            <w:tcW w:w="180" w:type="dxa"/>
            <w:vAlign w:val="bottom"/>
            <w:tcBorders>
              <w:top w:val="single" w:sz="8" w:color="F0FFFF"/>
              <w:bottom w:val="single" w:sz="8" w:color="F0FFFF"/>
            </w:tcBorders>
          </w:tcPr>
          <w:p>
            <w:pPr>
              <w:spacing w:after="0"/>
              <w:rPr>
                <w:sz w:val="18"/>
                <w:szCs w:val="18"/>
                <w:color w:val="auto"/>
              </w:rPr>
            </w:pPr>
          </w:p>
        </w:tc>
        <w:tc>
          <w:tcPr>
            <w:tcW w:w="940" w:type="dxa"/>
            <w:vAlign w:val="bottom"/>
            <w:tcBorders>
              <w:top w:val="single" w:sz="8" w:color="F0FFFF"/>
              <w:bottom w:val="single" w:sz="8" w:color="F0FFFF"/>
            </w:tcBorders>
          </w:tcPr>
          <w:p>
            <w:pPr>
              <w:jc w:val="right"/>
              <w:ind w:right="70"/>
              <w:spacing w:after="0" w:line="203" w:lineRule="exact"/>
              <w:rPr>
                <w:sz w:val="20"/>
                <w:szCs w:val="20"/>
                <w:color w:val="auto"/>
              </w:rPr>
            </w:pPr>
            <w:r>
              <w:rPr>
                <w:rFonts w:ascii="Arial" w:cs="Arial" w:eastAsia="Arial" w:hAnsi="Arial"/>
                <w:sz w:val="18"/>
                <w:szCs w:val="18"/>
                <w:color w:val="auto"/>
              </w:rPr>
              <w:t>3,932</w:t>
            </w:r>
          </w:p>
        </w:tc>
        <w:tc>
          <w:tcPr>
            <w:tcW w:w="11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4,607</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3,322</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1,285</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464</w:t>
            </w:r>
          </w:p>
        </w:tc>
        <w:tc>
          <w:tcPr>
            <w:tcW w:w="112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gross profit</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5,483</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30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3,734</w:t>
            </w:r>
          </w:p>
        </w:tc>
        <w:tc>
          <w:tcPr>
            <w:tcW w:w="260" w:type="dxa"/>
            <w:vAlign w:val="bottom"/>
            <w:tcBorders>
              <w:top w:val="single" w:sz="8" w:color="F0FFFF"/>
              <w:bottom w:val="single" w:sz="8" w:color="F0FFFF"/>
            </w:tcBorders>
            <w:shd w:val="clear" w:color="auto" w:fill="F0FFFF"/>
          </w:tcPr>
          <w:p>
            <w:pPr>
              <w:spacing w:after="0"/>
              <w:rPr>
                <w:sz w:val="19"/>
                <w:szCs w:val="19"/>
                <w:color w:val="auto"/>
              </w:rPr>
            </w:pPr>
          </w:p>
        </w:tc>
        <w:tc>
          <w:tcPr>
            <w:tcW w:w="108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940" w:type="dxa"/>
            <w:vAlign w:val="bottom"/>
            <w:tcBorders>
              <w:top w:val="single" w:sz="8" w:color="F0FFFF"/>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1,749</w:t>
            </w:r>
          </w:p>
        </w:tc>
        <w:tc>
          <w:tcPr>
            <w:tcW w:w="1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4,762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3,531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1,231</w:t>
            </w: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152</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4,889</w:t>
            </w:r>
          </w:p>
        </w:tc>
        <w:tc>
          <w:tcPr>
            <w:tcW w:w="80" w:type="dxa"/>
            <w:vAlign w:val="bottom"/>
            <w:tcBorders>
              <w:top w:val="single" w:sz="8" w:color="F0FFFF"/>
              <w:bottom w:val="single" w:sz="8" w:color="F0FFFF"/>
            </w:tcBorders>
          </w:tcPr>
          <w:p>
            <w:pPr>
              <w:spacing w:after="0"/>
              <w:rPr>
                <w:sz w:val="18"/>
                <w:szCs w:val="18"/>
                <w:color w:val="auto"/>
              </w:rPr>
            </w:pPr>
          </w:p>
        </w:tc>
        <w:tc>
          <w:tcPr>
            <w:tcW w:w="1300" w:type="dxa"/>
            <w:vAlign w:val="bottom"/>
            <w:tcBorders>
              <w:top w:val="single" w:sz="8" w:color="F0FFFF"/>
              <w:bottom w:val="single" w:sz="8" w:color="F0FFFF"/>
            </w:tcBorders>
          </w:tcPr>
          <w:p>
            <w:pPr>
              <w:jc w:val="right"/>
              <w:ind w:right="30"/>
              <w:spacing w:after="0" w:line="203" w:lineRule="exact"/>
              <w:rPr>
                <w:sz w:val="20"/>
                <w:szCs w:val="20"/>
                <w:color w:val="auto"/>
              </w:rPr>
            </w:pPr>
            <w:r>
              <w:rPr>
                <w:rFonts w:ascii="Arial" w:cs="Arial" w:eastAsia="Arial" w:hAnsi="Arial"/>
                <w:sz w:val="18"/>
                <w:szCs w:val="18"/>
                <w:color w:val="auto"/>
              </w:rPr>
              <w:t>26.4%</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3,683</w:t>
            </w:r>
          </w:p>
        </w:tc>
        <w:tc>
          <w:tcPr>
            <w:tcW w:w="260" w:type="dxa"/>
            <w:vAlign w:val="bottom"/>
            <w:tcBorders>
              <w:top w:val="single" w:sz="8" w:color="F0FFFF"/>
              <w:bottom w:val="single" w:sz="8" w:color="F0FFFF"/>
            </w:tcBorders>
          </w:tcPr>
          <w:p>
            <w:pPr>
              <w:spacing w:after="0"/>
              <w:rPr>
                <w:sz w:val="18"/>
                <w:szCs w:val="18"/>
                <w:color w:val="auto"/>
              </w:rPr>
            </w:pPr>
          </w:p>
        </w:tc>
        <w:tc>
          <w:tcPr>
            <w:tcW w:w="108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28.7%</w:t>
            </w:r>
          </w:p>
        </w:tc>
        <w:tc>
          <w:tcPr>
            <w:tcW w:w="180" w:type="dxa"/>
            <w:vAlign w:val="bottom"/>
            <w:tcBorders>
              <w:top w:val="single" w:sz="8" w:color="F0FFFF"/>
              <w:bottom w:val="single" w:sz="8" w:color="F0FFFF"/>
            </w:tcBorders>
          </w:tcPr>
          <w:p>
            <w:pPr>
              <w:spacing w:after="0"/>
              <w:rPr>
                <w:sz w:val="18"/>
                <w:szCs w:val="18"/>
                <w:color w:val="auto"/>
              </w:rPr>
            </w:pPr>
          </w:p>
        </w:tc>
        <w:tc>
          <w:tcPr>
            <w:tcW w:w="940" w:type="dxa"/>
            <w:vAlign w:val="bottom"/>
            <w:tcBorders>
              <w:top w:val="single" w:sz="8" w:color="F0FFFF"/>
              <w:bottom w:val="single" w:sz="8" w:color="F0FFFF"/>
            </w:tcBorders>
          </w:tcPr>
          <w:p>
            <w:pPr>
              <w:jc w:val="right"/>
              <w:ind w:right="70"/>
              <w:spacing w:after="0" w:line="203" w:lineRule="exact"/>
              <w:rPr>
                <w:sz w:val="20"/>
                <w:szCs w:val="20"/>
                <w:color w:val="auto"/>
              </w:rPr>
            </w:pPr>
            <w:r>
              <w:rPr>
                <w:rFonts w:ascii="Arial" w:cs="Arial" w:eastAsia="Arial" w:hAnsi="Arial"/>
                <w:sz w:val="18"/>
                <w:szCs w:val="18"/>
                <w:color w:val="auto"/>
              </w:rPr>
              <w:t>1,206</w:t>
            </w:r>
          </w:p>
        </w:tc>
        <w:tc>
          <w:tcPr>
            <w:tcW w:w="11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543</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(104)</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112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F0FFFF"/>
              <w:bottom w:val="single" w:sz="8" w:color="F0FFFF"/>
            </w:tcBorders>
            <w:shd w:val="clear" w:color="auto" w:fill="F0FFFF"/>
          </w:tcPr>
          <w:p>
            <w:pPr>
              <w:spacing w:after="0"/>
              <w:rPr>
                <w:sz w:val="19"/>
                <w:szCs w:val="19"/>
                <w:color w:val="auto"/>
              </w:rPr>
            </w:pPr>
          </w:p>
        </w:tc>
        <w:tc>
          <w:tcPr>
            <w:tcW w:w="108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940" w:type="dxa"/>
            <w:vAlign w:val="bottom"/>
            <w:tcBorders>
              <w:top w:val="single" w:sz="8" w:color="F0FFFF"/>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(1,404)</w:t>
            </w:r>
          </w:p>
        </w:tc>
        <w:tc>
          <w:tcPr>
            <w:tcW w:w="1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(720)</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141</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(861)</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12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tcBorders>
              <w:bottom w:val="single" w:sz="8" w:color="auto"/>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auto"/>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 applicable to common shares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12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F0FFFF"/>
            </w:tcBorders>
            <w:shd w:val="clear" w:color="auto" w:fill="F0FFFF"/>
          </w:tcPr>
          <w:p>
            <w:pPr>
              <w:jc w:val="right"/>
              <w:ind w:right="120"/>
              <w:spacing w:after="0"/>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F0FFFF"/>
              <w:bottom w:val="single" w:sz="8" w:color="F0FFFF"/>
            </w:tcBorders>
            <w:vMerge w:val="restart"/>
          </w:tcPr>
          <w:p>
            <w:pPr>
              <w:spacing w:after="0" w:line="189" w:lineRule="exact"/>
              <w:rPr>
                <w:sz w:val="20"/>
                <w:szCs w:val="20"/>
                <w:color w:val="auto"/>
              </w:rPr>
            </w:pPr>
            <w:r>
              <w:rPr>
                <w:rFonts w:ascii="Arial" w:cs="Arial" w:eastAsia="Arial" w:hAnsi="Arial"/>
                <w:sz w:val="18"/>
                <w:szCs w:val="18"/>
                <w:color w:val="auto"/>
              </w:rPr>
              <w:t>Basic and diluted weighted average number of common</w:t>
            </w: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35,828,776</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35,657,519</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171,257</w:t>
            </w: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1,681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579</w:t>
            </w: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Non-GAAP net income (loss) applicable to common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1120" w:type="dxa"/>
            <w:vAlign w:val="bottom"/>
          </w:tcPr>
          <w:p>
            <w:pPr>
              <w:jc w:val="right"/>
              <w:spacing w:after="0"/>
              <w:rPr>
                <w:sz w:val="20"/>
                <w:szCs w:val="20"/>
                <w:color w:val="auto"/>
              </w:rPr>
            </w:pPr>
            <w:r>
              <w:rPr>
                <w:rFonts w:ascii="Arial" w:cs="Arial" w:eastAsia="Arial" w:hAnsi="Arial"/>
                <w:sz w:val="18"/>
                <w:szCs w:val="18"/>
                <w:color w:val="auto"/>
              </w:rPr>
              <w:t>11,333.3%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connections at period-end</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369,000</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288,000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Net new connections in period</w:t>
            </w: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20,000</w:t>
            </w: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12,000</w:t>
            </w: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jc w:val="right"/>
              <w:ind w:right="1010"/>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10"/>
          </w:tcPr>
          <w:p>
            <w:pPr>
              <w:spacing w:after="0"/>
              <w:rPr>
                <w:sz w:val="20"/>
                <w:szCs w:val="20"/>
                <w:color w:val="auto"/>
              </w:rPr>
            </w:pPr>
            <w:r>
              <w:rPr>
                <w:rFonts w:ascii="Arial" w:cs="Arial" w:eastAsia="Arial" w:hAnsi="Arial"/>
                <w:sz w:val="18"/>
                <w:szCs w:val="18"/>
                <w:b w:val="1"/>
                <w:bCs w:val="1"/>
                <w:color w:val="auto"/>
                <w:w w:val="95"/>
              </w:rPr>
              <w:t>Table 3: Six Months Ended December 31, 2015 compared to the Six Months Ended December 31, 2014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60" w:type="dxa"/>
            <w:vAlign w:val="bottom"/>
            <w:gridSpan w:val="2"/>
          </w:tcPr>
          <w:p>
            <w:pPr>
              <w:spacing w:after="0"/>
              <w:rPr>
                <w:sz w:val="20"/>
                <w:szCs w:val="20"/>
                <w:color w:val="auto"/>
              </w:rPr>
            </w:pPr>
            <w:r>
              <w:rPr>
                <w:rFonts w:ascii="Arial" w:cs="Arial" w:eastAsia="Arial" w:hAnsi="Arial"/>
                <w:sz w:val="18"/>
                <w:szCs w:val="18"/>
                <w:color w:val="auto"/>
              </w:rPr>
              <w:t>($ in thousands, except share and per share data)</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six months ended December 31,</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26,599</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400"/>
              <w:spacing w:after="0"/>
              <w:rPr>
                <w:sz w:val="20"/>
                <w:szCs w:val="20"/>
                <w:color w:val="auto"/>
              </w:rPr>
            </w:pPr>
            <w:r>
              <w:rPr>
                <w:rFonts w:ascii="Arial" w:cs="Arial" w:eastAsia="Arial" w:hAnsi="Arial"/>
                <w:sz w:val="18"/>
                <w:szCs w:val="18"/>
                <w:color w:val="auto"/>
              </w:rPr>
              <w:t>20,636</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5,963</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8,504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4,438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4,066</w:t>
            </w: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35,103</w:t>
            </w:r>
          </w:p>
        </w:tc>
        <w:tc>
          <w:tcPr>
            <w:tcW w:w="8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25,074</w:t>
            </w:r>
          </w:p>
        </w:tc>
        <w:tc>
          <w:tcPr>
            <w:tcW w:w="48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10,029</w:t>
            </w:r>
          </w:p>
        </w:tc>
        <w:tc>
          <w:tcPr>
            <w:tcW w:w="11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17,772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14,409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3,363</w:t>
            </w: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6,801</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400"/>
              <w:spacing w:after="0"/>
              <w:rPr>
                <w:sz w:val="20"/>
                <w:szCs w:val="20"/>
                <w:color w:val="auto"/>
              </w:rPr>
            </w:pPr>
            <w:r>
              <w:rPr>
                <w:rFonts w:ascii="Arial" w:cs="Arial" w:eastAsia="Arial" w:hAnsi="Arial"/>
                <w:sz w:val="18"/>
                <w:szCs w:val="18"/>
                <w:color w:val="auto"/>
              </w:rPr>
              <w:t>3,796</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3,005</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24,573</w:t>
            </w:r>
          </w:p>
        </w:tc>
        <w:tc>
          <w:tcPr>
            <w:tcW w:w="80" w:type="dxa"/>
            <w:vAlign w:val="bottom"/>
            <w:tcBorders>
              <w:top w:val="single" w:sz="8" w:color="F0FFFF"/>
              <w:bottom w:val="single" w:sz="8" w:color="F0FFFF"/>
            </w:tcBorders>
          </w:tcPr>
          <w:p>
            <w:pPr>
              <w:spacing w:after="0"/>
              <w:rPr>
                <w:sz w:val="18"/>
                <w:szCs w:val="18"/>
                <w:color w:val="auto"/>
              </w:rPr>
            </w:pPr>
          </w:p>
        </w:tc>
        <w:tc>
          <w:tcPr>
            <w:tcW w:w="1300" w:type="dxa"/>
            <w:vAlign w:val="bottom"/>
            <w:tcBorders>
              <w:top w:val="single" w:sz="8" w:color="F0FFFF"/>
              <w:bottom w:val="single" w:sz="8" w:color="F0FFFF"/>
            </w:tcBorders>
          </w:tcPr>
          <w:p>
            <w:pPr>
              <w:jc w:val="right"/>
              <w:ind w:right="30"/>
              <w:spacing w:after="0" w:line="203" w:lineRule="exact"/>
              <w:rPr>
                <w:sz w:val="20"/>
                <w:szCs w:val="20"/>
                <w:color w:val="auto"/>
              </w:rPr>
            </w:pPr>
            <w:r>
              <w:rPr>
                <w:rFonts w:ascii="Arial" w:cs="Arial" w:eastAsia="Arial" w:hAnsi="Arial"/>
                <w:sz w:val="18"/>
                <w:szCs w:val="18"/>
                <w:color w:val="auto"/>
              </w:rPr>
              <w:t>70.0%</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18,205</w:t>
            </w:r>
          </w:p>
        </w:tc>
        <w:tc>
          <w:tcPr>
            <w:tcW w:w="480" w:type="dxa"/>
            <w:vAlign w:val="bottom"/>
            <w:tcBorders>
              <w:top w:val="single" w:sz="8" w:color="F0FFFF"/>
              <w:bottom w:val="single" w:sz="8" w:color="F0FFFF"/>
            </w:tcBorders>
          </w:tcPr>
          <w:p>
            <w:pPr>
              <w:spacing w:after="0"/>
              <w:rPr>
                <w:sz w:val="18"/>
                <w:szCs w:val="18"/>
                <w:color w:val="auto"/>
              </w:rPr>
            </w:pPr>
          </w:p>
        </w:tc>
        <w:tc>
          <w:tcPr>
            <w:tcW w:w="86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72.6%</w:t>
            </w:r>
          </w:p>
        </w:tc>
        <w:tc>
          <w:tcPr>
            <w:tcW w:w="180" w:type="dxa"/>
            <w:vAlign w:val="bottom"/>
            <w:tcBorders>
              <w:top w:val="single" w:sz="8" w:color="F0FFFF"/>
              <w:bottom w:val="single" w:sz="8" w:color="F0FFFF"/>
            </w:tcBorders>
          </w:tcPr>
          <w:p>
            <w:pPr>
              <w:spacing w:after="0"/>
              <w:rPr>
                <w:sz w:val="18"/>
                <w:szCs w:val="18"/>
                <w:color w:val="auto"/>
              </w:rPr>
            </w:pPr>
          </w:p>
        </w:tc>
        <w:tc>
          <w:tcPr>
            <w:tcW w:w="940" w:type="dxa"/>
            <w:vAlign w:val="bottom"/>
            <w:tcBorders>
              <w:top w:val="single" w:sz="8" w:color="F0FFFF"/>
              <w:bottom w:val="single" w:sz="8" w:color="F0FFFF"/>
            </w:tcBorders>
          </w:tcPr>
          <w:p>
            <w:pPr>
              <w:jc w:val="right"/>
              <w:ind w:right="70"/>
              <w:spacing w:after="0" w:line="203" w:lineRule="exact"/>
              <w:rPr>
                <w:sz w:val="20"/>
                <w:szCs w:val="20"/>
                <w:color w:val="auto"/>
              </w:rPr>
            </w:pPr>
            <w:r>
              <w:rPr>
                <w:rFonts w:ascii="Arial" w:cs="Arial" w:eastAsia="Arial" w:hAnsi="Arial"/>
                <w:sz w:val="18"/>
                <w:szCs w:val="18"/>
                <w:color w:val="auto"/>
              </w:rPr>
              <w:t>6,368</w:t>
            </w:r>
          </w:p>
        </w:tc>
        <w:tc>
          <w:tcPr>
            <w:tcW w:w="11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8,827</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400"/>
              <w:spacing w:after="0"/>
              <w:rPr>
                <w:sz w:val="20"/>
                <w:szCs w:val="20"/>
                <w:color w:val="auto"/>
              </w:rPr>
            </w:pPr>
            <w:r>
              <w:rPr>
                <w:rFonts w:ascii="Arial" w:cs="Arial" w:eastAsia="Arial" w:hAnsi="Arial"/>
                <w:sz w:val="18"/>
                <w:szCs w:val="18"/>
                <w:color w:val="auto"/>
              </w:rPr>
              <w:t>6,227</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2,600</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1,703</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1,061</w:t>
            </w:r>
          </w:p>
        </w:tc>
        <w:tc>
          <w:tcPr>
            <w:tcW w:w="112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10,530</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30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6,869</w:t>
            </w:r>
          </w:p>
        </w:tc>
        <w:tc>
          <w:tcPr>
            <w:tcW w:w="480" w:type="dxa"/>
            <w:vAlign w:val="bottom"/>
            <w:tcBorders>
              <w:top w:val="single" w:sz="8" w:color="F0FFFF"/>
              <w:bottom w:val="single" w:sz="8" w:color="F0FFFF"/>
            </w:tcBorders>
            <w:shd w:val="clear" w:color="auto" w:fill="F0FFFF"/>
          </w:tcPr>
          <w:p>
            <w:pPr>
              <w:spacing w:after="0"/>
              <w:rPr>
                <w:sz w:val="19"/>
                <w:szCs w:val="19"/>
                <w:color w:val="auto"/>
              </w:rPr>
            </w:pPr>
          </w:p>
        </w:tc>
        <w:tc>
          <w:tcPr>
            <w:tcW w:w="86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27.4%</w:t>
            </w: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940" w:type="dxa"/>
            <w:vAlign w:val="bottom"/>
            <w:tcBorders>
              <w:top w:val="single" w:sz="8" w:color="F0FFFF"/>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3,661</w:t>
            </w:r>
          </w:p>
        </w:tc>
        <w:tc>
          <w:tcPr>
            <w:tcW w:w="1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9,558</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7,163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2,395</w:t>
            </w: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266</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400"/>
              <w:spacing w:after="0"/>
              <w:rPr>
                <w:sz w:val="20"/>
                <w:szCs w:val="20"/>
                <w:color w:val="auto"/>
              </w:rPr>
            </w:pPr>
            <w:r>
              <w:rPr>
                <w:rFonts w:ascii="Arial" w:cs="Arial" w:eastAsia="Arial" w:hAnsi="Arial"/>
                <w:sz w:val="18"/>
                <w:szCs w:val="18"/>
                <w:color w:val="auto"/>
              </w:rPr>
              <w:t>321</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9,824</w:t>
            </w:r>
          </w:p>
        </w:tc>
        <w:tc>
          <w:tcPr>
            <w:tcW w:w="80" w:type="dxa"/>
            <w:vAlign w:val="bottom"/>
            <w:tcBorders>
              <w:top w:val="single" w:sz="8" w:color="F0FFFF"/>
              <w:bottom w:val="single" w:sz="8" w:color="F0FFFF"/>
            </w:tcBorders>
          </w:tcPr>
          <w:p>
            <w:pPr>
              <w:spacing w:after="0"/>
              <w:rPr>
                <w:sz w:val="18"/>
                <w:szCs w:val="18"/>
                <w:color w:val="auto"/>
              </w:rPr>
            </w:pPr>
          </w:p>
        </w:tc>
        <w:tc>
          <w:tcPr>
            <w:tcW w:w="1300" w:type="dxa"/>
            <w:vAlign w:val="bottom"/>
            <w:tcBorders>
              <w:top w:val="single" w:sz="8" w:color="F0FFFF"/>
              <w:bottom w:val="single" w:sz="8" w:color="F0FFFF"/>
            </w:tcBorders>
          </w:tcPr>
          <w:p>
            <w:pPr>
              <w:jc w:val="right"/>
              <w:ind w:right="30"/>
              <w:spacing w:after="0" w:line="203" w:lineRule="exact"/>
              <w:rPr>
                <w:sz w:val="20"/>
                <w:szCs w:val="20"/>
                <w:color w:val="auto"/>
              </w:rPr>
            </w:pPr>
            <w:r>
              <w:rPr>
                <w:rFonts w:ascii="Arial" w:cs="Arial" w:eastAsia="Arial" w:hAnsi="Arial"/>
                <w:sz w:val="18"/>
                <w:szCs w:val="18"/>
                <w:color w:val="auto"/>
              </w:rPr>
              <w:t>28.0%</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480" w:type="dxa"/>
            <w:vAlign w:val="bottom"/>
            <w:tcBorders>
              <w:top w:val="single" w:sz="8" w:color="F0FFFF"/>
              <w:bottom w:val="single" w:sz="8" w:color="F0FFFF"/>
            </w:tcBorders>
          </w:tcPr>
          <w:p>
            <w:pPr>
              <w:spacing w:after="0"/>
              <w:rPr>
                <w:sz w:val="18"/>
                <w:szCs w:val="18"/>
                <w:color w:val="auto"/>
              </w:rPr>
            </w:pPr>
          </w:p>
        </w:tc>
        <w:tc>
          <w:tcPr>
            <w:tcW w:w="860" w:type="dxa"/>
            <w:vAlign w:val="bottom"/>
            <w:tcBorders>
              <w:top w:val="single" w:sz="8" w:color="F0FFFF"/>
              <w:bottom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29.8%</w:t>
            </w:r>
          </w:p>
        </w:tc>
        <w:tc>
          <w:tcPr>
            <w:tcW w:w="180" w:type="dxa"/>
            <w:vAlign w:val="bottom"/>
            <w:tcBorders>
              <w:top w:val="single" w:sz="8" w:color="F0FFFF"/>
              <w:bottom w:val="single" w:sz="8" w:color="F0FFFF"/>
            </w:tcBorders>
          </w:tcPr>
          <w:p>
            <w:pPr>
              <w:spacing w:after="0"/>
              <w:rPr>
                <w:sz w:val="18"/>
                <w:szCs w:val="18"/>
                <w:color w:val="auto"/>
              </w:rPr>
            </w:pPr>
          </w:p>
        </w:tc>
        <w:tc>
          <w:tcPr>
            <w:tcW w:w="940" w:type="dxa"/>
            <w:vAlign w:val="bottom"/>
            <w:tcBorders>
              <w:top w:val="single" w:sz="8" w:color="F0FFFF"/>
              <w:bottom w:val="single" w:sz="8" w:color="F0FFFF"/>
            </w:tcBorders>
          </w:tcPr>
          <w:p>
            <w:pPr>
              <w:jc w:val="right"/>
              <w:ind w:right="70"/>
              <w:spacing w:after="0" w:line="203" w:lineRule="exact"/>
              <w:rPr>
                <w:sz w:val="20"/>
                <w:szCs w:val="20"/>
                <w:color w:val="auto"/>
              </w:rPr>
            </w:pPr>
            <w:r>
              <w:rPr>
                <w:rFonts w:ascii="Arial" w:cs="Arial" w:eastAsia="Arial" w:hAnsi="Arial"/>
                <w:sz w:val="18"/>
                <w:szCs w:val="18"/>
                <w:color w:val="auto"/>
              </w:rPr>
              <w:t>2,340</w:t>
            </w:r>
          </w:p>
        </w:tc>
        <w:tc>
          <w:tcPr>
            <w:tcW w:w="11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(615)</w:t>
            </w:r>
          </w:p>
        </w:tc>
        <w:tc>
          <w:tcPr>
            <w:tcW w:w="4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1,321</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120" w:type="dxa"/>
            <w:vAlign w:val="bottom"/>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(223)</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(99)</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445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Borders>
              <w:top w:val="single" w:sz="8" w:color="F0FFFF"/>
              <w:bottom w:val="single" w:sz="8" w:color="F0FFFF"/>
            </w:tcBorders>
            <w:shd w:val="clear" w:color="auto" w:fill="F0FFFF"/>
          </w:tcPr>
          <w:p>
            <w:pPr>
              <w:spacing w:after="0"/>
              <w:rPr>
                <w:sz w:val="19"/>
                <w:szCs w:val="19"/>
                <w:color w:val="auto"/>
              </w:rPr>
            </w:pPr>
          </w:p>
        </w:tc>
        <w:tc>
          <w:tcPr>
            <w:tcW w:w="86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940" w:type="dxa"/>
            <w:vAlign w:val="bottom"/>
            <w:tcBorders>
              <w:top w:val="single" w:sz="8" w:color="F0FFFF"/>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(1,374)</w:t>
            </w:r>
          </w:p>
        </w:tc>
        <w:tc>
          <w:tcPr>
            <w:tcW w:w="1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(333)</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(280)</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(53)</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6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1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(332)</w:t>
            </w: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loss applicable to common shares</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8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F0FFFF"/>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480" w:type="dxa"/>
            <w:vAlign w:val="bottom"/>
            <w:tcBorders>
              <w:top w:val="single" w:sz="8" w:color="F0FFFF"/>
            </w:tcBorders>
          </w:tcPr>
          <w:p>
            <w:pPr>
              <w:jc w:val="right"/>
              <w:ind w:right="34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F0FFFF"/>
            </w:tcBorders>
          </w:tcPr>
          <w:p>
            <w:pPr>
              <w:jc w:val="right"/>
              <w:ind w:right="10"/>
              <w:spacing w:after="0"/>
              <w:rPr>
                <w:sz w:val="20"/>
                <w:szCs w:val="20"/>
                <w:color w:val="auto"/>
              </w:rPr>
            </w:pPr>
            <w:r>
              <w:rPr>
                <w:rFonts w:ascii="Arial" w:cs="Arial" w:eastAsia="Arial" w:hAnsi="Arial"/>
                <w:sz w:val="18"/>
                <w:szCs w:val="18"/>
                <w:color w:val="auto"/>
              </w:rPr>
              <w:t>(192)</w:t>
            </w:r>
          </w:p>
        </w:tc>
        <w:tc>
          <w:tcPr>
            <w:tcW w:w="11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1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Borders>
              <w:bottom w:val="single" w:sz="8" w:color="F0FFFF"/>
            </w:tcBorders>
            <w:shd w:val="clear" w:color="auto" w:fill="F0FFFF"/>
          </w:tcPr>
          <w:p>
            <w:pPr>
              <w:jc w:val="right"/>
              <w:ind w:right="340"/>
              <w:spacing w:after="0"/>
              <w:rPr>
                <w:sz w:val="20"/>
                <w:szCs w:val="20"/>
                <w:color w:val="auto"/>
              </w:rPr>
            </w:pPr>
            <w:r>
              <w:rPr>
                <w:rFonts w:ascii="Arial" w:cs="Arial" w:eastAsia="Arial" w:hAnsi="Arial"/>
                <w:sz w:val="16"/>
                <w:szCs w:val="16"/>
                <w:color w:val="auto"/>
                <w:w w:val="74"/>
              </w:rPr>
              <w:t>)</w:t>
            </w:r>
          </w:p>
        </w:tc>
        <w:tc>
          <w:tcPr>
            <w:tcW w:w="64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bottom w:val="single" w:sz="8" w:color="F0FFFF"/>
            </w:tcBorders>
            <w:vMerge w:val="restart"/>
          </w:tcPr>
          <w:p>
            <w:pPr>
              <w:spacing w:after="0" w:line="189" w:lineRule="exact"/>
              <w:rPr>
                <w:sz w:val="20"/>
                <w:szCs w:val="20"/>
                <w:color w:val="auto"/>
              </w:rPr>
            </w:pPr>
            <w:r>
              <w:rPr>
                <w:rFonts w:ascii="Arial" w:cs="Arial" w:eastAsia="Arial" w:hAnsi="Arial"/>
                <w:sz w:val="18"/>
                <w:szCs w:val="18"/>
                <w:color w:val="auto"/>
                <w:w w:val="99"/>
              </w:rPr>
              <w:t>Basic and diluted weighted average number of common</w:t>
            </w: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35,808,488</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35,625,199</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183,289</w:t>
            </w: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4,011</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2,627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1,384</w:t>
            </w: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Non-GAAP net income (loss) applicable to common shares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(704)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1,119</w:t>
            </w:r>
          </w:p>
        </w:tc>
        <w:tc>
          <w:tcPr>
            <w:tcW w:w="112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connections at period-end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369,000</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288,000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Net new connections in period</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36,000</w:t>
            </w:r>
          </w:p>
        </w:tc>
        <w:tc>
          <w:tcPr>
            <w:tcW w:w="1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400"/>
              <w:spacing w:after="0"/>
              <w:rPr>
                <w:sz w:val="20"/>
                <w:szCs w:val="20"/>
                <w:color w:val="auto"/>
              </w:rPr>
            </w:pPr>
            <w:r>
              <w:rPr>
                <w:rFonts w:ascii="Arial" w:cs="Arial" w:eastAsia="Arial" w:hAnsi="Arial"/>
                <w:sz w:val="18"/>
                <w:szCs w:val="18"/>
                <w:color w:val="auto"/>
              </w:rPr>
              <w:t>22,000</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4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jc w:val="right"/>
              <w:ind w:right="1010"/>
              <w:spacing w:after="0"/>
              <w:rPr>
                <w:sz w:val="20"/>
                <w:szCs w:val="20"/>
                <w:color w:val="auto"/>
              </w:rPr>
            </w:pPr>
            <w:r>
              <w:rPr>
                <w:rFonts w:ascii="Arial" w:cs="Arial" w:eastAsia="Arial" w:hAnsi="Arial"/>
                <w:sz w:val="18"/>
                <w:szCs w:val="18"/>
                <w:color w:val="auto"/>
                <w:w w:val="89"/>
              </w:rPr>
              <w:t>32</w:t>
            </w: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The increase in net new connections of approximately 20,000 for the three-month period ended December 31, 2015 compared to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12,000 in the same period last year represents an increase of 66.7%. The increase in net new connections of 36,000 for the six-month period ended December 31, 2015 compared to 22,000 for the same period last year represents an increase of 63.6%. The Company’s total connections have grown to 369,000 at December 31, 2015 compared to 288,000 at December 31, 2014, or a 28.1% increase year-over-year. The increase in total connections is driving the growth in license and transaction fees of 30.5% quarter-over-quarter and 28.9% year-over-year.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Equipment gross margins have expanded from 17.6% for the three-month period ended December 31, 2014 to 18.1% for the three-month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ended December 31, 2015. Equipment gross margins have expanded from 14.5% for the six-month period ended December 31, 2014 to 20.0% for the six-month period ended December 31, 2015. The increases in both periods are primarily due to increases in sales under the QuickStart program. License and transaction fees gross margin for the three-month period ended December 31, 2015 has expanded from 31.7% to 33.7% when compared to the three-month period ended December 31, 2014, and from 30.2% to 33.2% for the respective six-month periods as promotional grace-periods for customers ended.</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$1.2 million or 32.7% for the three-month period ended December 31, 2015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Operating expenses increased $2.3 million or 31.3% for the six-month period ended December 31, 2015 compared to the same period in 2014. However, operating expenses as a percentage of sales decreased for the three months ended December 31, 2015 to 26.4% compared to 28.7% for the three months ended December 31, 2014. Operating expenses as a percentage of sales decreased for the six months ended December 31, 2015 to 28.0% compared to 29.8% for the six months ended December 31, 2014. As revenues continue to grow over time, management expects operating expenses as a percentage of sales to decrease gradually over time. Although in the near term there will be variations from quarter to quarter based on business needs. Specifically, the Company anticipates additional selling, general and administrative (“SG&amp;A”) spending on research and development, sales and customer service support, along with accounting and professional fees to be incurred by the Company in connection with compliance issues related to Section 404 of the Sarbanes-Oxley Act of 2002, as amended (“SOX”), during this fiscal year. In this regard, we will need to comply with Section 404(b) of SOX for the 2016 fiscal year, which will require us to obtain from our registered public accounting firm an attestation, and report on, management's assessment of the effectiveness of our internal control over financial reporting as of June 30, 2016. We are implementing additional procedures to support the requirements of Section 404(b), which are expected to be costly and time consuming. See Table 5 in Item 2 for a breakdown SG&amp;A expenses.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Total Other Income (Expense). </w:t>
      </w:r>
      <w:r>
        <w:rPr>
          <w:rFonts w:ascii="Arial" w:cs="Arial" w:eastAsia="Arial" w:hAnsi="Arial"/>
          <w:sz w:val="17"/>
          <w:szCs w:val="17"/>
          <w:color w:val="auto"/>
        </w:rPr>
        <w:t>Includes interest expense, other income, and the change in the fair value of warrants. The primary driver for volatility 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 (Expense) has been non-cash changes to the fair value of the warrant liabilities which are based on the Company’s stock price. The Company adjusts the warrant liability for fair value using the Black-Scholes model through the income statement quarterly. For the three-month period ended December 31, 2015 the Company recorded expense of $1.2 million for the change in the fair value of warrant liabilities compared to recording income of $135 thousand for the three months ended December 31, 2014. For the six-month period ended December 31, 2015 the Company recorded expense of $887 thousand for the change in the fair value of warrant liabilities compared to recording income of $445 thousand for the six months ended December 31, 2014. The change in both periods can be primarily attributed to the increase in market price of the Company’s stock at the valuation date which was $3.08 at December 31, 2015 and $1.61 at December 31, 2014.</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is a function of the items described above. The increase in net loss is primarily attributed to the increase in the fair value of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partially offset by the improved gross margin in license and transaction fees and equipment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December 31, 2015 adjusted EBITDA increased 34.4% from $1.7 million at December 31,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at December 31, 2015. For the six months ended December 31, 2015 adjusted EBITDA increased 52.7% from $2.6 million at December 31, 2014 compared to $4.0 million at December 31, 2015. The increase in adjusted EBITDA in both periods can be attributed to the increased gross margin on license and transaction fees and equipment sales.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Non-GAAP Net Income. </w:t>
      </w:r>
      <w:r>
        <w:rPr>
          <w:rFonts w:ascii="Arial" w:cs="Arial" w:eastAsia="Arial" w:hAnsi="Arial"/>
          <w:sz w:val="18"/>
          <w:szCs w:val="18"/>
          <w:color w:val="auto"/>
        </w:rPr>
        <w:t>For the three months ended December 31, 2015 non-GAAP net income increased 11,333.3% from $6 thousand at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$686 thousand at December 31, 2015. For the six months ended December 31, 2015 non-GAAP net income increased 158.9% from a loss of $704 thousand at December 31, 2014 compared to $415 thousand at December 31, 2015. The increase in non-GAAP net income in both periods can be attributed to the increased gross margin on license and transaction fees and equipment sales.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gradual increase in the basic weighted average number of common shares has been due to stock issued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based compensation programs.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w w:val="96"/>
              </w:rPr>
              <w:t>Table 4: Reconciliation of Net Loss to Adjusted EBITDA: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11"/>
        </w:trPr>
        <w:tc>
          <w:tcPr>
            <w:tcW w:w="4640" w:type="dxa"/>
            <w:vAlign w:val="bottom"/>
            <w:gridSpan w:val="2"/>
            <w:vMerge w:val="restart"/>
          </w:tcPr>
          <w:p>
            <w:pPr>
              <w:ind w:left="580"/>
              <w:spacing w:after="0"/>
              <w:rPr>
                <w:sz w:val="20"/>
                <w:szCs w:val="20"/>
                <w:color w:val="auto"/>
              </w:rPr>
            </w:pPr>
            <w:r>
              <w:rPr>
                <w:rFonts w:ascii="Arial" w:cs="Arial" w:eastAsia="Arial" w:hAnsi="Arial"/>
                <w:sz w:val="18"/>
                <w:szCs w:val="18"/>
                <w:color w:val="auto"/>
              </w:rPr>
              <w:t>($ 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interest income</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(71)</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Plus interest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income tax provision</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Plus depreciation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6"/>
              </w:rPr>
              <w:t>Plus (less) change in fair value of warrant liabilities</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Plus stock-based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Plus due diligence/ acquisition costs</w:t>
            </w:r>
          </w:p>
        </w:tc>
        <w:tc>
          <w:tcPr>
            <w:tcW w:w="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As used herein, Adjusted EBITDA represents net income (loss) before interest income, interest expense, income taxes, depreciation, amortization, non-recurring professional service fees recorded in SG&amp;A that were incurred in connection with the VendScreen, Inc. (“VendScreen”) transaction,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professional service fees incurred in connection with the VendScreen transaction in order to allow more accurate comparisons of the financial results to historical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allows management and investors to consider the ongoing operations of the business both with, and without, such expenses. Additionally, the Company utilizes Adjusted EBITDA as a metric in its management incentive compensation plans.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Table 5: Selling General &amp; Administrative (SG&amp;A)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December 31,</w:t>
            </w:r>
          </w:p>
        </w:tc>
        <w:tc>
          <w:tcPr>
            <w:tcW w:w="84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4"/>
          </w:tcPr>
          <w:p>
            <w:pPr>
              <w:ind w:left="20"/>
              <w:spacing w:after="0" w:line="126" w:lineRule="exact"/>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jc w:val="right"/>
              <w:ind w:right="400"/>
              <w:spacing w:after="0" w:line="126"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right"/>
              <w:ind w:right="340"/>
              <w:spacing w:after="0" w:line="126" w:lineRule="exact"/>
              <w:rPr>
                <w:sz w:val="20"/>
                <w:szCs w:val="20"/>
                <w:color w:val="auto"/>
              </w:rPr>
            </w:pPr>
            <w:r>
              <w:rPr>
                <w:rFonts w:ascii="Arial" w:cs="Arial" w:eastAsia="Arial" w:hAnsi="Arial"/>
                <w:sz w:val="14"/>
                <w:szCs w:val="14"/>
                <w:b w:val="1"/>
                <w:bCs w:val="1"/>
                <w:color w:val="auto"/>
                <w:w w:val="96"/>
              </w:rPr>
              <w:t>June 30,</w:t>
            </w:r>
          </w:p>
        </w:tc>
        <w:tc>
          <w:tcPr>
            <w:tcW w:w="1020" w:type="dxa"/>
            <w:vAlign w:val="bottom"/>
            <w:gridSpan w:val="3"/>
          </w:tcPr>
          <w:p>
            <w:pPr>
              <w:ind w:left="240"/>
              <w:spacing w:after="0" w:line="126"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0"/>
                <w:szCs w:val="10"/>
                <w:color w:val="auto"/>
              </w:rPr>
            </w:pPr>
          </w:p>
        </w:tc>
        <w:tc>
          <w:tcPr>
            <w:tcW w:w="8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March 30,</w:t>
            </w:r>
          </w:p>
        </w:tc>
        <w:tc>
          <w:tcPr>
            <w:tcW w:w="60" w:type="dxa"/>
            <w:vAlign w:val="bottom"/>
          </w:tcPr>
          <w:p>
            <w:pPr>
              <w:spacing w:after="0"/>
              <w:rPr>
                <w:sz w:val="10"/>
                <w:szCs w:val="10"/>
                <w:color w:val="auto"/>
              </w:rPr>
            </w:pPr>
          </w:p>
        </w:tc>
        <w:tc>
          <w:tcPr>
            <w:tcW w:w="900" w:type="dxa"/>
            <w:vAlign w:val="bottom"/>
            <w:gridSpan w:val="4"/>
          </w:tcPr>
          <w:p>
            <w:pPr>
              <w:jc w:val="right"/>
              <w:ind w:right="270"/>
              <w:spacing w:after="0" w:line="126"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0"/>
                <w:szCs w:val="10"/>
                <w:color w:val="auto"/>
              </w:rPr>
            </w:pPr>
          </w:p>
        </w:tc>
        <w:tc>
          <w:tcPr>
            <w:tcW w:w="1080" w:type="dxa"/>
            <w:vAlign w:val="bottom"/>
            <w:gridSpan w:val="5"/>
          </w:tcPr>
          <w:p>
            <w:pPr>
              <w:ind w:left="20"/>
              <w:spacing w:after="0" w:line="126" w:lineRule="exact"/>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169"/>
              <w:spacing w:after="0" w:line="12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SG&amp;A</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SG&amp;A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SG&amp;A</w:t>
            </w:r>
          </w:p>
        </w:tc>
        <w:tc>
          <w:tcPr>
            <w:tcW w:w="80" w:type="dxa"/>
            <w:vAlign w:val="bottom"/>
          </w:tcPr>
          <w:p>
            <w:pPr>
              <w:spacing w:after="0"/>
              <w:rPr>
                <w:sz w:val="16"/>
                <w:szCs w:val="16"/>
                <w:color w:val="auto"/>
              </w:rPr>
            </w:pPr>
          </w:p>
        </w:tc>
        <w:tc>
          <w:tcPr>
            <w:tcW w:w="7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SG&amp;A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SG&amp;A</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Salaries and</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340"/>
              <w:spacing w:after="0"/>
              <w:rPr>
                <w:sz w:val="20"/>
                <w:szCs w:val="20"/>
                <w:color w:val="auto"/>
              </w:rPr>
            </w:pPr>
            <w:r>
              <w:rPr>
                <w:rFonts w:ascii="Arial" w:cs="Arial" w:eastAsia="Arial" w:hAnsi="Arial"/>
                <w:sz w:val="14"/>
                <w:szCs w:val="14"/>
                <w:color w:val="auto"/>
                <w:w w:val="99"/>
              </w:rPr>
              <w:t>benefit costs</w:t>
            </w:r>
          </w:p>
        </w:tc>
        <w:tc>
          <w:tcPr>
            <w:tcW w:w="18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ind w:left="440"/>
              <w:spacing w:after="0"/>
              <w:rPr>
                <w:sz w:val="20"/>
                <w:szCs w:val="20"/>
                <w:color w:val="auto"/>
              </w:rPr>
            </w:pPr>
            <w:r>
              <w:rPr>
                <w:rFonts w:ascii="Arial" w:cs="Arial" w:eastAsia="Arial" w:hAnsi="Arial"/>
                <w:sz w:val="14"/>
                <w:szCs w:val="14"/>
                <w:color w:val="auto"/>
              </w:rPr>
              <w:t>2,786</w:t>
            </w: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58.6%</w:t>
            </w:r>
          </w:p>
        </w:tc>
        <w:tc>
          <w:tcPr>
            <w:tcW w:w="2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2,685</w:t>
            </w: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56.0%</w:t>
            </w: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2,295</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45.8%</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2,533</w:t>
            </w:r>
          </w:p>
        </w:tc>
        <w:tc>
          <w:tcPr>
            <w:tcW w:w="960" w:type="dxa"/>
            <w:vAlign w:val="bottom"/>
            <w:gridSpan w:val="5"/>
            <w:shd w:val="clear" w:color="auto" w:fill="F0FFFF"/>
          </w:tcPr>
          <w:p>
            <w:pPr>
              <w:jc w:val="right"/>
              <w:spacing w:after="0"/>
              <w:rPr>
                <w:sz w:val="20"/>
                <w:szCs w:val="20"/>
                <w:color w:val="auto"/>
              </w:rPr>
            </w:pPr>
            <w:r>
              <w:rPr>
                <w:rFonts w:ascii="Arial" w:cs="Arial" w:eastAsia="Arial" w:hAnsi="Arial"/>
                <w:sz w:val="14"/>
                <w:szCs w:val="14"/>
                <w:color w:val="auto"/>
              </w:rPr>
              <w:t>59.2%</w:t>
            </w:r>
          </w:p>
        </w:tc>
        <w:tc>
          <w:tcPr>
            <w:tcW w:w="380" w:type="dxa"/>
            <w:vAlign w:val="bottom"/>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2,132</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Marketing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340"/>
              <w:spacing w:after="0" w:line="149" w:lineRule="exact"/>
              <w:rPr>
                <w:sz w:val="20"/>
                <w:szCs w:val="20"/>
                <w:color w:val="auto"/>
              </w:rPr>
            </w:pPr>
            <w:r>
              <w:rPr>
                <w:rFonts w:ascii="Arial" w:cs="Arial" w:eastAsia="Arial" w:hAnsi="Arial"/>
                <w:sz w:val="14"/>
                <w:szCs w:val="14"/>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34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580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184</w:t>
            </w:r>
          </w:p>
        </w:tc>
        <w:tc>
          <w:tcPr>
            <w:tcW w:w="16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215</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Professional</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340"/>
              <w:spacing w:after="0"/>
              <w:rPr>
                <w:sz w:val="20"/>
                <w:szCs w:val="20"/>
                <w:color w:val="auto"/>
              </w:rPr>
            </w:pPr>
            <w:r>
              <w:rPr>
                <w:rFonts w:ascii="Arial" w:cs="Arial" w:eastAsia="Arial" w:hAnsi="Arial"/>
                <w:sz w:val="14"/>
                <w:szCs w:val="14"/>
                <w:color w:val="auto"/>
              </w:rPr>
              <w:t>services</w:t>
            </w:r>
          </w:p>
        </w:tc>
        <w:tc>
          <w:tcPr>
            <w:tcW w:w="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17.6%</w:t>
            </w: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782</w:t>
            </w:r>
          </w:p>
        </w:tc>
        <w:tc>
          <w:tcPr>
            <w:tcW w:w="220" w:type="dxa"/>
            <w:vAlign w:val="bottom"/>
            <w:shd w:val="clear" w:color="auto" w:fill="F0FFFF"/>
          </w:tcPr>
          <w:p>
            <w:pPr>
              <w:spacing w:after="0"/>
              <w:rPr>
                <w:sz w:val="14"/>
                <w:szCs w:val="14"/>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16.3%</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844</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16.8%</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708</w:t>
            </w:r>
          </w:p>
        </w:tc>
        <w:tc>
          <w:tcPr>
            <w:tcW w:w="160" w:type="dxa"/>
            <w:vAlign w:val="bottom"/>
            <w:shd w:val="clear" w:color="auto" w:fill="F0FFFF"/>
          </w:tcPr>
          <w:p>
            <w:pPr>
              <w:spacing w:after="0"/>
              <w:rPr>
                <w:sz w:val="14"/>
                <w:szCs w:val="14"/>
                <w:color w:val="auto"/>
              </w:rPr>
            </w:pPr>
          </w:p>
        </w:tc>
        <w:tc>
          <w:tcPr>
            <w:tcW w:w="960" w:type="dxa"/>
            <w:vAlign w:val="bottom"/>
            <w:gridSpan w:val="5"/>
            <w:shd w:val="clear" w:color="auto" w:fill="F0FF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8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460</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Bad debt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340"/>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497</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16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Premises,</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0FFFF"/>
          </w:tcPr>
          <w:p>
            <w:pPr>
              <w:ind w:left="340"/>
              <w:spacing w:after="0" w:line="149" w:lineRule="exact"/>
              <w:rPr>
                <w:sz w:val="20"/>
                <w:szCs w:val="20"/>
                <w:color w:val="auto"/>
              </w:rPr>
            </w:pPr>
            <w:r>
              <w:rPr>
                <w:rFonts w:ascii="Arial" w:cs="Arial" w:eastAsia="Arial" w:hAnsi="Arial"/>
                <w:sz w:val="14"/>
                <w:szCs w:val="14"/>
                <w:color w:val="auto"/>
              </w:rPr>
              <w:t>equipment</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0FFFF"/>
          </w:tcPr>
          <w:p>
            <w:pPr>
              <w:ind w:left="340"/>
              <w:spacing w:after="0" w:line="149" w:lineRule="exact"/>
              <w:rPr>
                <w:sz w:val="20"/>
                <w:szCs w:val="20"/>
                <w:color w:val="auto"/>
              </w:rPr>
            </w:pPr>
            <w:r>
              <w:rPr>
                <w:rFonts w:ascii="Arial" w:cs="Arial" w:eastAsia="Arial" w:hAnsi="Arial"/>
                <w:sz w:val="14"/>
                <w:szCs w:val="14"/>
                <w:color w:val="auto"/>
                <w:w w:val="88"/>
              </w:rPr>
              <w:t>and insurance</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340"/>
              <w:spacing w:after="0"/>
              <w:rPr>
                <w:sz w:val="20"/>
                <w:szCs w:val="20"/>
                <w:color w:val="auto"/>
              </w:rPr>
            </w:pPr>
            <w:r>
              <w:rPr>
                <w:rFonts w:ascii="Arial" w:cs="Arial" w:eastAsia="Arial" w:hAnsi="Arial"/>
                <w:sz w:val="14"/>
                <w:szCs w:val="14"/>
                <w:color w:val="auto"/>
              </w:rPr>
              <w:t>costs</w:t>
            </w:r>
          </w:p>
        </w:tc>
        <w:tc>
          <w:tcPr>
            <w:tcW w:w="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347</w:t>
            </w: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7.3%</w:t>
            </w: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399</w:t>
            </w:r>
          </w:p>
        </w:tc>
        <w:tc>
          <w:tcPr>
            <w:tcW w:w="220" w:type="dxa"/>
            <w:vAlign w:val="bottom"/>
            <w:shd w:val="clear" w:color="auto" w:fill="F0FFFF"/>
          </w:tcPr>
          <w:p>
            <w:pPr>
              <w:spacing w:after="0"/>
              <w:rPr>
                <w:sz w:val="14"/>
                <w:szCs w:val="14"/>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8.3%</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475</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9.5%</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372</w:t>
            </w:r>
          </w:p>
        </w:tc>
        <w:tc>
          <w:tcPr>
            <w:tcW w:w="160" w:type="dxa"/>
            <w:vAlign w:val="bottom"/>
            <w:shd w:val="clear" w:color="auto" w:fill="F0FFFF"/>
          </w:tcPr>
          <w:p>
            <w:pPr>
              <w:spacing w:after="0"/>
              <w:rPr>
                <w:sz w:val="14"/>
                <w:szCs w:val="14"/>
                <w:color w:val="auto"/>
              </w:rPr>
            </w:pPr>
          </w:p>
        </w:tc>
        <w:tc>
          <w:tcPr>
            <w:tcW w:w="960" w:type="dxa"/>
            <w:vAlign w:val="bottom"/>
            <w:gridSpan w:val="5"/>
            <w:shd w:val="clear" w:color="auto" w:fill="F0FF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8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370</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1140" w:type="dxa"/>
            <w:vAlign w:val="bottom"/>
          </w:tcPr>
          <w:p>
            <w:pPr>
              <w:ind w:left="180"/>
              <w:spacing w:after="0" w:line="130" w:lineRule="exact"/>
              <w:rPr>
                <w:sz w:val="20"/>
                <w:szCs w:val="20"/>
                <w:color w:val="auto"/>
              </w:rPr>
            </w:pPr>
            <w:r>
              <w:rPr>
                <w:rFonts w:ascii="Arial" w:cs="Arial" w:eastAsia="Arial" w:hAnsi="Arial"/>
                <w:sz w:val="14"/>
                <w:szCs w:val="14"/>
                <w:color w:val="auto"/>
              </w:rPr>
              <w:t>Research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340"/>
              <w:spacing w:after="0" w:line="149" w:lineRule="exact"/>
              <w:rPr>
                <w:sz w:val="20"/>
                <w:szCs w:val="20"/>
                <w:color w:val="auto"/>
              </w:rPr>
            </w:pPr>
            <w:r>
              <w:rPr>
                <w:rFonts w:ascii="Arial" w:cs="Arial" w:eastAsia="Arial" w:hAnsi="Arial"/>
                <w:sz w:val="14"/>
                <w:szCs w:val="14"/>
                <w:color w:val="auto"/>
                <w:w w:val="97"/>
              </w:rPr>
              <w:t>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ind w:left="34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154</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4"/>
                <w:szCs w:val="14"/>
                <w:color w:val="auto"/>
              </w:rPr>
              <w:t>115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0"/>
        </w:trPr>
        <w:tc>
          <w:tcPr>
            <w:tcW w:w="11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Due Diligence/</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0FFFF"/>
          </w:tcPr>
          <w:p>
            <w:pPr>
              <w:ind w:left="340"/>
              <w:spacing w:after="0" w:line="149" w:lineRule="exact"/>
              <w:rPr>
                <w:sz w:val="20"/>
                <w:szCs w:val="20"/>
                <w:color w:val="auto"/>
              </w:rPr>
            </w:pPr>
            <w:r>
              <w:rPr>
                <w:rFonts w:ascii="Arial" w:cs="Arial" w:eastAsia="Arial" w:hAnsi="Arial"/>
                <w:sz w:val="14"/>
                <w:szCs w:val="14"/>
                <w:color w:val="auto"/>
              </w:rPr>
              <w:t>Acquisition</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shd w:val="clear" w:color="auto" w:fill="F0FFFF"/>
          </w:tcPr>
          <w:p>
            <w:pPr>
              <w:ind w:left="340"/>
              <w:spacing w:after="0"/>
              <w:rPr>
                <w:sz w:val="20"/>
                <w:szCs w:val="20"/>
                <w:color w:val="auto"/>
              </w:rPr>
            </w:pPr>
            <w:r>
              <w:rPr>
                <w:rFonts w:ascii="Arial" w:cs="Arial" w:eastAsia="Arial" w:hAnsi="Arial"/>
                <w:sz w:val="14"/>
                <w:szCs w:val="14"/>
                <w:color w:val="auto"/>
              </w:rPr>
              <w:t>Costs</w:t>
            </w:r>
          </w:p>
        </w:tc>
        <w:tc>
          <w:tcPr>
            <w:tcW w:w="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w:t>
            </w: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F0FFFF"/>
          </w:tcPr>
          <w:p>
            <w:pPr>
              <w:spacing w:after="0"/>
              <w:rPr>
                <w:sz w:val="14"/>
                <w:szCs w:val="14"/>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0.4%</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0.0%</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960" w:type="dxa"/>
            <w:vAlign w:val="bottom"/>
            <w:gridSpan w:val="5"/>
            <w:shd w:val="clear" w:color="auto" w:fill="F0FF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8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9"/>
        </w:trPr>
        <w:tc>
          <w:tcPr>
            <w:tcW w:w="1140" w:type="dxa"/>
            <w:vAlign w:val="bottom"/>
          </w:tcPr>
          <w:p>
            <w:pPr>
              <w:ind w:left="180"/>
              <w:spacing w:after="0"/>
              <w:rPr>
                <w:sz w:val="20"/>
                <w:szCs w:val="20"/>
                <w:color w:val="auto"/>
              </w:rPr>
            </w:pPr>
            <w:r>
              <w:rPr>
                <w:rFonts w:ascii="Arial" w:cs="Arial" w:eastAsia="Arial" w:hAnsi="Arial"/>
                <w:sz w:val="14"/>
                <w:szCs w:val="14"/>
                <w:color w:val="auto"/>
                <w:w w:val="95"/>
              </w:rPr>
              <w:t>Other 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164</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16"/>
        </w:trPr>
        <w:tc>
          <w:tcPr>
            <w:tcW w:w="1140" w:type="dxa"/>
            <w:vAlign w:val="bottom"/>
            <w:tcBorders>
              <w:top w:val="single" w:sz="8" w:color="F0FFFF"/>
            </w:tcBorders>
            <w:shd w:val="clear" w:color="auto" w:fill="F0FFFF"/>
          </w:tcPr>
          <w:p>
            <w:pPr>
              <w:spacing w:after="0" w:line="116" w:lineRule="exact"/>
              <w:rPr>
                <w:sz w:val="20"/>
                <w:szCs w:val="20"/>
                <w:color w:val="auto"/>
              </w:rPr>
            </w:pPr>
            <w:r>
              <w:rPr>
                <w:rFonts w:ascii="Arial" w:cs="Arial" w:eastAsia="Arial" w:hAnsi="Arial"/>
                <w:sz w:val="13"/>
                <w:szCs w:val="13"/>
                <w:color w:val="auto"/>
              </w:rPr>
              <w:t>Total SG&amp;A</w:t>
            </w:r>
          </w:p>
        </w:tc>
        <w:tc>
          <w:tcPr>
            <w:tcW w:w="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7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2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400" w:type="dxa"/>
            <w:vAlign w:val="bottom"/>
            <w:tcBorders>
              <w:top w:val="single" w:sz="8" w:color="auto"/>
            </w:tcBorders>
            <w:shd w:val="clear" w:color="auto" w:fill="F0FFFF"/>
          </w:tcPr>
          <w:p>
            <w:pPr>
              <w:spacing w:after="0"/>
              <w:rPr>
                <w:sz w:val="10"/>
                <w:szCs w:val="10"/>
                <w:color w:val="auto"/>
              </w:rPr>
            </w:pPr>
          </w:p>
        </w:tc>
        <w:tc>
          <w:tcPr>
            <w:tcW w:w="38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50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62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34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28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auto"/>
            </w:tcBorders>
            <w:shd w:val="clear" w:color="auto" w:fill="F0FFFF"/>
          </w:tcPr>
          <w:p>
            <w:pPr>
              <w:spacing w:after="0"/>
              <w:rPr>
                <w:sz w:val="10"/>
                <w:szCs w:val="10"/>
                <w:color w:val="auto"/>
              </w:rPr>
            </w:pPr>
          </w:p>
        </w:tc>
        <w:tc>
          <w:tcPr>
            <w:tcW w:w="400" w:type="dxa"/>
            <w:vAlign w:val="bottom"/>
            <w:tcBorders>
              <w:top w:val="single" w:sz="8" w:color="auto"/>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140" w:type="dxa"/>
            <w:vAlign w:val="bottom"/>
            <w:shd w:val="clear" w:color="auto" w:fill="F0FFFF"/>
          </w:tcPr>
          <w:p>
            <w:pPr>
              <w:ind w:left="180"/>
              <w:spacing w:after="0"/>
              <w:rPr>
                <w:sz w:val="20"/>
                <w:szCs w:val="20"/>
                <w:color w:val="auto"/>
              </w:rPr>
            </w:pPr>
            <w:r>
              <w:rPr>
                <w:rFonts w:ascii="Arial" w:cs="Arial" w:eastAsia="Arial" w:hAnsi="Arial"/>
                <w:sz w:val="14"/>
                <w:szCs w:val="14"/>
                <w:color w:val="auto"/>
              </w:rPr>
              <w:t>expenses</w:t>
            </w:r>
          </w:p>
        </w:tc>
        <w:tc>
          <w:tcPr>
            <w:tcW w:w="18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ind w:left="440"/>
              <w:spacing w:after="0"/>
              <w:rPr>
                <w:sz w:val="20"/>
                <w:szCs w:val="20"/>
                <w:color w:val="auto"/>
              </w:rPr>
            </w:pPr>
            <w:r>
              <w:rPr>
                <w:rFonts w:ascii="Arial" w:cs="Arial" w:eastAsia="Arial" w:hAnsi="Arial"/>
                <w:sz w:val="14"/>
                <w:szCs w:val="14"/>
                <w:color w:val="auto"/>
              </w:rPr>
              <w:t>4,762</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0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2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4,796</w:t>
            </w:r>
          </w:p>
        </w:tc>
        <w:tc>
          <w:tcPr>
            <w:tcW w:w="940" w:type="dxa"/>
            <w:vAlign w:val="bottom"/>
            <w:gridSpan w:val="3"/>
            <w:shd w:val="clear" w:color="auto" w:fill="F0FFFF"/>
          </w:tcPr>
          <w:p>
            <w:pPr>
              <w:jc w:val="right"/>
              <w:ind w:right="4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5,009</w:t>
            </w:r>
          </w:p>
        </w:tc>
        <w:tc>
          <w:tcPr>
            <w:tcW w:w="940" w:type="dxa"/>
            <w:vAlign w:val="bottom"/>
            <w:gridSpan w:val="2"/>
            <w:shd w:val="clear" w:color="auto" w:fill="F0FFFF"/>
          </w:tcPr>
          <w:p>
            <w:pPr>
              <w:jc w:val="right"/>
              <w:ind w:right="4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4,280</w:t>
            </w:r>
          </w:p>
        </w:tc>
        <w:tc>
          <w:tcPr>
            <w:tcW w:w="960" w:type="dxa"/>
            <w:vAlign w:val="bottom"/>
            <w:gridSpan w:val="5"/>
            <w:shd w:val="clear" w:color="auto" w:fill="F0FFFF"/>
          </w:tcPr>
          <w:p>
            <w:pPr>
              <w:jc w:val="right"/>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380" w:type="dxa"/>
            <w:vAlign w:val="bottom"/>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F0FFFF"/>
          </w:tcPr>
          <w:p>
            <w:pPr>
              <w:jc w:val="right"/>
              <w:ind w:right="220"/>
              <w:spacing w:after="0"/>
              <w:rPr>
                <w:sz w:val="20"/>
                <w:szCs w:val="20"/>
                <w:color w:val="auto"/>
              </w:rPr>
            </w:pPr>
            <w:r>
              <w:rPr>
                <w:rFonts w:ascii="Arial" w:cs="Arial" w:eastAsia="Arial" w:hAnsi="Arial"/>
                <w:sz w:val="14"/>
                <w:szCs w:val="14"/>
                <w:color w:val="auto"/>
              </w:rPr>
              <w:t>3,531</w:t>
            </w:r>
          </w:p>
        </w:tc>
        <w:tc>
          <w:tcPr>
            <w:tcW w:w="900" w:type="dxa"/>
            <w:vAlign w:val="bottom"/>
            <w:gridSpan w:val="2"/>
            <w:shd w:val="clear" w:color="auto" w:fill="F0FFFF"/>
          </w:tcPr>
          <w:p>
            <w:pPr>
              <w:jc w:val="right"/>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Arial" w:cs="Arial" w:eastAsia="Arial" w:hAnsi="Arial"/>
                <w:sz w:val="18"/>
                <w:szCs w:val="18"/>
                <w:color w:val="auto"/>
                <w:w w:val="87"/>
              </w:rPr>
              <w:t>($</w:t>
            </w:r>
          </w:p>
        </w:tc>
        <w:tc>
          <w:tcPr>
            <w:tcW w:w="1140" w:type="dxa"/>
            <w:vAlign w:val="bottom"/>
            <w:gridSpan w:val="3"/>
          </w:tcPr>
          <w:p>
            <w:pPr>
              <w:ind w:left="20"/>
              <w:spacing w:after="0" w:line="198" w:lineRule="exact"/>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gridSpan w:val="8"/>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December 31,</w:t>
            </w:r>
          </w:p>
        </w:tc>
        <w:tc>
          <w:tcPr>
            <w:tcW w:w="1020" w:type="dxa"/>
            <w:vAlign w:val="bottom"/>
            <w:gridSpan w:val="3"/>
          </w:tcPr>
          <w:p>
            <w:pPr>
              <w:ind w:left="160"/>
              <w:spacing w:after="0" w:line="198"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7"/>
          </w:tcPr>
          <w:p>
            <w:pPr>
              <w:jc w:val="center"/>
              <w:ind w:right="47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3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(unaudited)</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SG&amp;A</w:t>
            </w:r>
          </w:p>
        </w:tc>
        <w:tc>
          <w:tcPr>
            <w:tcW w:w="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9"/>
              </w:rPr>
              <w:t>SG&amp;A</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980" w:type="dxa"/>
            <w:vAlign w:val="bottom"/>
            <w:gridSpan w:val="5"/>
            <w:shd w:val="clear" w:color="auto" w:fill="F0FFFF"/>
          </w:tcPr>
          <w:p>
            <w:pPr>
              <w:spacing w:after="0"/>
              <w:rPr>
                <w:sz w:val="20"/>
                <w:szCs w:val="20"/>
                <w:color w:val="auto"/>
              </w:rPr>
            </w:pPr>
            <w:r>
              <w:rPr>
                <w:rFonts w:ascii="Arial" w:cs="Arial" w:eastAsia="Arial" w:hAnsi="Arial"/>
                <w:sz w:val="18"/>
                <w:szCs w:val="18"/>
                <w:color w:val="auto"/>
                <w:w w:val="95"/>
              </w:rPr>
              <w:t>Salaries and benefit costs</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5,471</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57.2%</w:t>
            </w:r>
          </w:p>
        </w:tc>
        <w:tc>
          <w:tcPr>
            <w:tcW w:w="700" w:type="dxa"/>
            <w:vAlign w:val="bottom"/>
            <w:gridSpan w:val="2"/>
            <w:shd w:val="clear" w:color="auto" w:fill="F0FFFF"/>
          </w:tcPr>
          <w:p>
            <w:pPr>
              <w:jc w:val="right"/>
              <w:ind w:right="457"/>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84"/>
              </w:rPr>
              <w:t>4,336</w:t>
            </w:r>
          </w:p>
        </w:tc>
        <w:tc>
          <w:tcPr>
            <w:tcW w:w="1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8"/>
                <w:szCs w:val="18"/>
                <w:color w:val="auto"/>
                <w:w w:val="88"/>
              </w:rPr>
              <w:t>Marketing related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98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8"/>
                <w:szCs w:val="18"/>
                <w:color w:val="auto"/>
              </w:rPr>
              <w:t>Bad debt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gridSpan w:val="9"/>
            <w:shd w:val="clear" w:color="auto" w:fill="F0FFFF"/>
          </w:tcPr>
          <w:p>
            <w:pPr>
              <w:spacing w:after="0"/>
              <w:rPr>
                <w:sz w:val="20"/>
                <w:szCs w:val="20"/>
                <w:color w:val="auto"/>
              </w:rPr>
            </w:pPr>
            <w:r>
              <w:rPr>
                <w:rFonts w:ascii="Arial" w:cs="Arial" w:eastAsia="Arial" w:hAnsi="Arial"/>
                <w:sz w:val="18"/>
                <w:szCs w:val="18"/>
                <w:color w:val="auto"/>
                <w:w w:val="92"/>
              </w:rPr>
              <w:t>Premises, equipment and insurance costs</w:t>
            </w:r>
          </w:p>
        </w:tc>
        <w:tc>
          <w:tcPr>
            <w:tcW w:w="4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9"/>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gridSpan w:val="9"/>
            <w:shd w:val="clear" w:color="auto" w:fill="F0FFFF"/>
          </w:tcPr>
          <w:p>
            <w:pPr>
              <w:spacing w:after="0"/>
              <w:rPr>
                <w:sz w:val="20"/>
                <w:szCs w:val="20"/>
                <w:color w:val="auto"/>
              </w:rPr>
            </w:pPr>
            <w:r>
              <w:rPr>
                <w:rFonts w:ascii="Arial" w:cs="Arial" w:eastAsia="Arial" w:hAnsi="Arial"/>
                <w:sz w:val="18"/>
                <w:szCs w:val="18"/>
                <w:color w:val="auto"/>
              </w:rPr>
              <w:t>Due Diligence/ Acquisition Costs</w:t>
            </w:r>
          </w:p>
        </w:tc>
        <w:tc>
          <w:tcPr>
            <w:tcW w:w="4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88"/>
              </w:rPr>
              <w:t>Other expenses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Borders>
              <w:top w:val="single" w:sz="8" w:color="F0FFFF"/>
              <w:bottom w:val="single" w:sz="8" w:color="F0FFFF"/>
            </w:tcBorders>
            <w:gridSpan w:val="7"/>
            <w:shd w:val="clear" w:color="auto" w:fill="F0FFFF"/>
          </w:tcPr>
          <w:p>
            <w:pPr>
              <w:jc w:val="right"/>
              <w:ind w:right="540"/>
              <w:spacing w:after="0"/>
              <w:rPr>
                <w:sz w:val="20"/>
                <w:szCs w:val="20"/>
                <w:color w:val="auto"/>
              </w:rPr>
            </w:pPr>
            <w:r>
              <w:rPr>
                <w:rFonts w:ascii="Arial" w:cs="Arial" w:eastAsia="Arial" w:hAnsi="Arial"/>
                <w:sz w:val="18"/>
                <w:szCs w:val="18"/>
                <w:color w:val="auto"/>
                <w:w w:val="89"/>
              </w:rPr>
              <w:t>Total SG&amp;A expenses</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7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40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auto"/>
              <w:bottom w:val="single" w:sz="8" w:color="auto"/>
            </w:tcBorders>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F0FFFF"/>
          </w:tcPr>
          <w:p>
            <w:pPr>
              <w:spacing w:after="0"/>
              <w:rPr>
                <w:sz w:val="21"/>
                <w:szCs w:val="21"/>
                <w:color w:val="auto"/>
              </w:rPr>
            </w:pPr>
          </w:p>
        </w:tc>
        <w:tc>
          <w:tcPr>
            <w:tcW w:w="60" w:type="dxa"/>
            <w:vAlign w:val="bottom"/>
            <w:tcBorders>
              <w:top w:val="single" w:sz="8" w:color="auto"/>
              <w:bottom w:val="single" w:sz="8" w:color="auto"/>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9,558</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auto"/>
              <w:bottom w:val="single" w:sz="8" w:color="auto"/>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F0FFFF"/>
              <w:bottom w:val="single" w:sz="8" w:color="F0FFFF"/>
            </w:tcBorders>
            <w:gridSpan w:val="3"/>
            <w:shd w:val="clear" w:color="auto" w:fill="F0FFFF"/>
          </w:tcPr>
          <w:p>
            <w:pPr>
              <w:jc w:val="right"/>
              <w:ind w:right="25"/>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F0FFFF"/>
          </w:tcPr>
          <w:p>
            <w:pPr>
              <w:jc w:val="right"/>
              <w:ind w:right="45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F0FF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w w:val="84"/>
              </w:rPr>
              <w:t>7,163</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4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Salaries and Benefit Costs</w:t>
      </w:r>
      <w:r>
        <w:rPr>
          <w:rFonts w:ascii="Arial" w:cs="Arial" w:eastAsia="Arial" w:hAnsi="Arial"/>
          <w:sz w:val="18"/>
          <w:szCs w:val="18"/>
          <w:color w:val="auto"/>
        </w:rPr>
        <w:t>. Includes employee compensation and benefits, directors’ fees, incentives, and stock-based compensation. The increase in cost</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six months ended December 31, 2014 to the six months ended December 31, 2015 was due to increased headcount, benefits, bonuses and stock based compensation.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Marketing Related. </w:t>
      </w:r>
      <w:r>
        <w:rPr>
          <w:rFonts w:ascii="Arial" w:cs="Arial" w:eastAsia="Arial" w:hAnsi="Arial"/>
          <w:sz w:val="18"/>
          <w:szCs w:val="18"/>
          <w:color w:val="auto"/>
        </w:rPr>
        <w:t>Marketing related costs were higher for the three and six-month periods ended December 31, 2015 due to trade show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initiatives for sales support and sales deployment.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include information technology, legal, public relations, accounting, and other consulting costs.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anticipates continued use of professional services to support its growing sales and service structure.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Premises, Equipment and Insurance Costs. </w:t>
      </w:r>
      <w:r>
        <w:rPr>
          <w:rFonts w:ascii="Arial" w:cs="Arial" w:eastAsia="Arial" w:hAnsi="Arial"/>
          <w:sz w:val="18"/>
          <w:szCs w:val="18"/>
          <w:color w:val="auto"/>
        </w:rPr>
        <w:t>Includes facilities, sales &amp; use taxes, and workers compensation. The increase for the three and six-month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compared to the same periods in 2014 was from sales &amp; use tax and printing expenses related to marketing initiatives in the same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product development costs that cannot be capitalized including materials and contractors.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Due Diligence/Acquisition Costs. </w:t>
      </w:r>
      <w:r>
        <w:rPr>
          <w:rFonts w:ascii="Arial" w:cs="Arial" w:eastAsia="Arial" w:hAnsi="Arial"/>
          <w:sz w:val="18"/>
          <w:szCs w:val="18"/>
          <w:color w:val="auto"/>
        </w:rPr>
        <w:t>Represents non-recurring professional service fees incurred in connection with the VendScreen transaction which closed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15,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and subscriptions.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Table 6: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in thousands)</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Non-GAAP adjustments:</w:t>
      </w:r>
    </w:p>
    <w:p>
      <w:pPr>
        <w:spacing w:after="0" w:line="9" w:lineRule="exact"/>
        <w:rPr>
          <w:sz w:val="20"/>
          <w:szCs w:val="20"/>
          <w:color w:val="auto"/>
        </w:rPr>
      </w:pPr>
    </w:p>
    <w:p>
      <w:pPr>
        <w:ind w:left="740" w:right="320"/>
        <w:spacing w:after="0" w:line="281" w:lineRule="auto"/>
        <w:rPr>
          <w:sz w:val="20"/>
          <w:szCs w:val="20"/>
          <w:color w:val="auto"/>
        </w:rPr>
      </w:pPr>
      <w:r>
        <w:rPr>
          <w:rFonts w:ascii="Arial" w:cs="Arial" w:eastAsia="Arial" w:hAnsi="Arial"/>
          <w:sz w:val="16"/>
          <w:szCs w:val="16"/>
          <w:color w:val="auto"/>
        </w:rPr>
        <w:t>Non-cash portion of income tax provision Fair value of warrant adjustment</w:t>
      </w:r>
    </w:p>
    <w:p>
      <w:pPr>
        <w:spacing w:after="0" w:line="1" w:lineRule="exact"/>
        <w:rPr>
          <w:sz w:val="20"/>
          <w:szCs w:val="20"/>
          <w:color w:val="auto"/>
        </w:rPr>
      </w:pPr>
    </w:p>
    <w:p>
      <w:pPr>
        <w:ind w:left="580" w:right="1040" w:firstLine="162"/>
        <w:spacing w:after="0" w:line="358" w:lineRule="auto"/>
        <w:rPr>
          <w:sz w:val="20"/>
          <w:szCs w:val="20"/>
          <w:color w:val="auto"/>
        </w:rPr>
      </w:pPr>
      <w:r>
        <w:rPr>
          <w:rFonts w:ascii="Arial" w:cs="Arial" w:eastAsia="Arial" w:hAnsi="Arial"/>
          <w:sz w:val="16"/>
          <w:szCs w:val="16"/>
          <w:color w:val="auto"/>
        </w:rPr>
        <w:t>Due diligence/ acquisition costs Non-GAAP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6"/>
          </w:tcPr>
          <w:p>
            <w:pPr>
              <w:jc w:val="right"/>
              <w:ind w:right="86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0"/>
              </w:rPr>
              <w:t>December 31,</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1"/>
              </w:rPr>
              <w:t>December 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0"/>
              </w:rPr>
              <w:t>December 31,</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0"/>
              </w:rPr>
              <w:t>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-891540</wp:posOffset>
            </wp:positionV>
            <wp:extent cx="65176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-616585</wp:posOffset>
            </wp:positionV>
            <wp:extent cx="651764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-342265</wp:posOffset>
            </wp:positionV>
            <wp:extent cx="651764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080" w:space="720"/>
            <w:col w:w="6620"/>
          </w:cols>
          <w:pgMar w:left="240" w:top="904" w:right="239" w:bottom="1440" w:gutter="0" w:footer="0" w:header="0"/>
        </w:sect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loss applicable to common shares</w:t>
            </w:r>
          </w:p>
        </w:tc>
        <w:tc>
          <w:tcPr>
            <w:tcW w:w="6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F0FFFF"/>
            </w:tcBorders>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top w:val="single" w:sz="8" w:color="F0FFFF"/>
            </w:tcBorders>
          </w:tcPr>
          <w:p>
            <w:pPr>
              <w:spacing w:after="0" w:line="176" w:lineRule="exact"/>
              <w:rPr>
                <w:sz w:val="20"/>
                <w:szCs w:val="20"/>
                <w:color w:val="auto"/>
              </w:rPr>
            </w:pPr>
            <w:r>
              <w:rPr>
                <w:rFonts w:ascii="Arial" w:cs="Arial" w:eastAsia="Arial" w:hAnsi="Arial"/>
                <w:sz w:val="18"/>
                <w:szCs w:val="18"/>
                <w:color w:val="auto"/>
              </w:rPr>
              <w:t>Non-GAAP net income (loss) applicable to common</w:t>
            </w:r>
          </w:p>
        </w:tc>
        <w:tc>
          <w:tcPr>
            <w:tcW w:w="60" w:type="dxa"/>
            <w:vAlign w:val="bottom"/>
            <w:tcBorders>
              <w:top w:val="single" w:sz="8" w:color="F0FF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60" w:type="dxa"/>
            <w:vAlign w:val="bottom"/>
            <w:tcBorders>
              <w:top w:val="single" w:sz="8" w:color="F0FF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shares</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2"/>
                <w:szCs w:val="22"/>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F0FFFF"/>
          </w:tcPr>
          <w:p>
            <w:pPr>
              <w:spacing w:after="0" w:line="169" w:lineRule="exact"/>
              <w:rPr>
                <w:sz w:val="20"/>
                <w:szCs w:val="20"/>
                <w:color w:val="auto"/>
              </w:rPr>
            </w:pPr>
            <w:r>
              <w:rPr>
                <w:rFonts w:ascii="Arial" w:cs="Arial" w:eastAsia="Arial" w:hAnsi="Arial"/>
                <w:sz w:val="18"/>
                <w:szCs w:val="18"/>
                <w:color w:val="auto"/>
                <w:w w:val="90"/>
              </w:rPr>
              <w:t>Non-GAAP net earnings (loss) per common share - basic</w:t>
            </w:r>
          </w:p>
        </w:tc>
        <w:tc>
          <w:tcPr>
            <w:tcW w:w="6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and diluted</w:t>
            </w:r>
          </w:p>
        </w:tc>
        <w:tc>
          <w:tcPr>
            <w:tcW w:w="36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F0FFFF"/>
          </w:tcPr>
          <w:p>
            <w:pPr>
              <w:spacing w:after="0"/>
              <w:rPr>
                <w:sz w:val="20"/>
                <w:szCs w:val="20"/>
                <w:color w:val="auto"/>
              </w:rPr>
            </w:pPr>
          </w:p>
        </w:tc>
        <w:tc>
          <w:tcPr>
            <w:tcW w:w="400" w:type="dxa"/>
            <w:vAlign w:val="bottom"/>
            <w:gridSpan w:val="2"/>
            <w:shd w:val="clear" w:color="auto" w:fill="F0FF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36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F0FFFF"/>
          </w:tcPr>
          <w:p>
            <w:pPr>
              <w:spacing w:after="0"/>
              <w:rPr>
                <w:sz w:val="20"/>
                <w:szCs w:val="20"/>
                <w:color w:val="auto"/>
              </w:rPr>
            </w:pPr>
          </w:p>
        </w:tc>
        <w:tc>
          <w:tcPr>
            <w:tcW w:w="36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w w:val="93"/>
              </w:rPr>
              <w:t>Basic and diluted weighted average number of common</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35,828,776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35,657,519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35,808,488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35,625,199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gradual increase in the basic weighted average number of common shares has been due to stock issued through the Company’s stock based compensation programs.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As used herein, non-GAAP net income (loss) represents GAAP net income (loss) excluding costs or benefits relating to any adjustment for fair value of warrant liabilities and non-cash portions of the Company’s income tax benefit (provision), and non-recurring professional service fees recorded in SG&amp;A that were incurred in connection with the VendScreen transaction. Non-GAAP net earnings (loss) per common share - diluted is calculated by dividing non-GAAP net income (loss) applicable to common shares by the number of diluted weighted average shares outstanding. Non-GAAP net income (loss)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common share - diluted are important measures of the Company's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as a metric in its management incentive compensation plans.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w w:val="91"/>
              </w:rPr>
              <w:t>Table 7: Balance Sheet as of December 31, 2015 Compared to June 30, 2015</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46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1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 Change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78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14,809</w:t>
            </w: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11,374</w:t>
            </w: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3,435</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Accounts receivable, less allowance</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562</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28,297</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3,963</w:t>
            </w:r>
          </w:p>
        </w:tc>
        <w:tc>
          <w:tcPr>
            <w:tcW w:w="22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(1,263)</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10,856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Goodwill and intangbiles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8,095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25,607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25,788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75,616</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Borders>
              <w:top w:val="single" w:sz="8" w:color="F0FFFF"/>
            </w:tcBorders>
          </w:tcPr>
          <w:p>
            <w:pPr>
              <w:spacing w:after="0"/>
              <w:rPr>
                <w:sz w:val="18"/>
                <w:szCs w:val="18"/>
                <w:color w:val="auto"/>
              </w:rPr>
            </w:pPr>
          </w:p>
        </w:tc>
        <w:tc>
          <w:tcPr>
            <w:tcW w:w="140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7,876</w:t>
            </w:r>
          </w:p>
        </w:tc>
        <w:tc>
          <w:tcPr>
            <w:tcW w:w="14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10,542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(2,666)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46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18,376</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18,042</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220" w:type="dxa"/>
            <w:vAlign w:val="bottom"/>
            <w:tcBorders>
              <w:top w:val="single" w:sz="8" w:color="F0FFFF"/>
            </w:tcBorders>
          </w:tcPr>
          <w:p>
            <w:pPr>
              <w:spacing w:after="0"/>
              <w:rPr>
                <w:sz w:val="17"/>
                <w:szCs w:val="17"/>
                <w:color w:val="auto"/>
              </w:rPr>
            </w:pPr>
          </w:p>
        </w:tc>
        <w:tc>
          <w:tcPr>
            <w:tcW w:w="1400" w:type="dxa"/>
            <w:vAlign w:val="bottom"/>
            <w:tcBorders>
              <w:top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Warrant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1"/>
              </w:rPr>
              <w:t>Deferred gain from sale-leaseback transactions, less current portion</w:t>
            </w:r>
          </w:p>
        </w:tc>
        <w:tc>
          <w:tcPr>
            <w:tcW w:w="46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(430)</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46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3,945</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3,781</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220" w:type="dxa"/>
            <w:vAlign w:val="bottom"/>
            <w:tcBorders>
              <w:top w:val="single" w:sz="8" w:color="F0FFFF"/>
              <w:bottom w:val="single" w:sz="8" w:color="F0FFFF"/>
            </w:tcBorders>
          </w:tcPr>
          <w:p>
            <w:pPr>
              <w:spacing w:after="0"/>
              <w:rPr>
                <w:sz w:val="18"/>
                <w:szCs w:val="18"/>
                <w:color w:val="auto"/>
              </w:rPr>
            </w:pPr>
          </w:p>
        </w:tc>
        <w:tc>
          <w:tcPr>
            <w:tcW w:w="1400" w:type="dxa"/>
            <w:vAlign w:val="bottom"/>
            <w:tcBorders>
              <w:top w:val="single" w:sz="8" w:color="F0FFFF"/>
              <w:bottom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F0FFFF"/>
            </w:tcBorders>
            <w:shd w:val="clear" w:color="auto" w:fill="F0FFFF"/>
          </w:tcPr>
          <w:p>
            <w:pPr>
              <w:spacing w:after="0"/>
              <w:rPr>
                <w:sz w:val="19"/>
                <w:szCs w:val="19"/>
                <w:color w:val="auto"/>
              </w:rPr>
            </w:pPr>
          </w:p>
        </w:tc>
        <w:tc>
          <w:tcPr>
            <w:tcW w:w="32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22,321</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21,823</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F0FFFF"/>
            </w:tcBorders>
            <w:shd w:val="clear" w:color="auto" w:fill="F0FFFF"/>
          </w:tcPr>
          <w:p>
            <w:pPr>
              <w:spacing w:after="0"/>
              <w:rPr>
                <w:sz w:val="19"/>
                <w:szCs w:val="19"/>
                <w:color w:val="auto"/>
              </w:rPr>
            </w:pPr>
          </w:p>
        </w:tc>
        <w:tc>
          <w:tcPr>
            <w:tcW w:w="1400" w:type="dxa"/>
            <w:vAlign w:val="bottom"/>
            <w:tcBorders>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Preferred stock, no par value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stock, no par value</w:t>
            </w: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225,372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224,874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498</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(175,215)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(174,701)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53,295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53,311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F0FFFF"/>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28,297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24,334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3,963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18,376</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18,042</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334</w:t>
            </w:r>
          </w:p>
        </w:tc>
        <w:tc>
          <w:tcPr>
            <w:tcW w:w="14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Net working capital</w:t>
            </w:r>
          </w:p>
        </w:tc>
        <w:tc>
          <w:tcPr>
            <w:tcW w:w="46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9,921</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6,292</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3,629</w:t>
            </w:r>
          </w:p>
        </w:tc>
        <w:tc>
          <w:tcPr>
            <w:tcW w:w="220" w:type="dxa"/>
            <w:vAlign w:val="bottom"/>
            <w:tcBorders>
              <w:top w:val="single" w:sz="8" w:color="F0FFFF"/>
            </w:tcBorders>
          </w:tcPr>
          <w:p>
            <w:pPr>
              <w:spacing w:after="0"/>
              <w:rPr>
                <w:sz w:val="17"/>
                <w:szCs w:val="17"/>
                <w:color w:val="auto"/>
              </w:rPr>
            </w:pPr>
          </w:p>
        </w:tc>
        <w:tc>
          <w:tcPr>
            <w:tcW w:w="1400" w:type="dxa"/>
            <w:vAlign w:val="bottom"/>
            <w:tcBorders>
              <w:top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8"/>
              </w:rPr>
              <w:t>* Accounts receivable, net of allowance for doubtful accounts and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accounts payable have increase by the following amounts due to</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14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gridSpan w:val="2"/>
          </w:tcPr>
          <w:p>
            <w:pPr>
              <w:jc w:val="right"/>
              <w:ind w:right="30"/>
              <w:spacing w:after="0"/>
              <w:rPr>
                <w:sz w:val="20"/>
                <w:szCs w:val="20"/>
                <w:color w:val="auto"/>
              </w:rPr>
            </w:pPr>
            <w:r>
              <w:rPr>
                <w:rFonts w:ascii="Arial" w:cs="Arial" w:eastAsia="Arial" w:hAnsi="Arial"/>
                <w:sz w:val="18"/>
                <w:szCs w:val="18"/>
                <w:color w:val="auto"/>
              </w:rPr>
              <w:t>37</w:t>
            </w:r>
          </w:p>
        </w:tc>
        <w:tc>
          <w:tcPr>
            <w:tcW w:w="9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Highlights from the balance sheet as of December 31, 2015 compared to June 30, 2015 include:</w:t>
      </w:r>
    </w:p>
    <w:p>
      <w:pPr>
        <w:spacing w:after="0" w:line="225" w:lineRule="exact"/>
        <w:rPr>
          <w:sz w:val="20"/>
          <w:szCs w:val="20"/>
          <w:color w:val="auto"/>
        </w:rPr>
      </w:pPr>
    </w:p>
    <w:p>
      <w:pPr>
        <w:ind w:left="820" w:hanging="326"/>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and Equipment (“PP&amp;E”) includes mostly JumpStart rental equipment and has declined $2.0 million pursuant to the Company’s strategy of using third-party leasing programs through QuickStart. Net PP&amp;E is expected to continue to decline over time.</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payable declined $2.7 million as the Company paid down its vendors over the normal course of business.</w:t>
      </w:r>
    </w:p>
    <w:p>
      <w:pPr>
        <w:spacing w:after="0" w:line="9" w:lineRule="exact"/>
        <w:rPr>
          <w:rFonts w:ascii="Arial" w:cs="Arial" w:eastAsia="Arial" w:hAnsi="Arial"/>
          <w:sz w:val="18"/>
          <w:szCs w:val="18"/>
          <w:color w:val="auto"/>
        </w:rPr>
      </w:pPr>
    </w:p>
    <w:p>
      <w:pPr>
        <w:jc w:val="both"/>
        <w:ind w:left="820" w:hanging="326"/>
        <w:spacing w:after="0" w:line="25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receivable as of June 30, 2015 includes amounts in aged receivables (&gt;90 days) of a large equipment sale due from a third-party leasing company under our QuickStart program. Collection was delayed due to document requirements but was received subsequent to September 30, 2015 and prior to December 31, 2015. The Company continues working to improve its lease document workflow to accelerate collections and improve cash flow.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statement of cash flow include:</w:t>
      </w:r>
    </w:p>
    <w:p>
      <w:pPr>
        <w:spacing w:after="0" w:line="225" w:lineRule="exact"/>
        <w:rPr>
          <w:sz w:val="20"/>
          <w:szCs w:val="20"/>
          <w:color w:val="auto"/>
        </w:rPr>
      </w:pPr>
    </w:p>
    <w:p>
      <w:pPr>
        <w:ind w:left="820" w:hanging="326"/>
        <w:spacing w:after="0" w:line="274"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experienced positive operating cash flow in the last four quarters and expects continued growth of cash flow from operations and free cash flow (cash flow from operating activities less cash used for purchases of property for the JumpStart rental program).</w:t>
      </w:r>
    </w:p>
    <w:p>
      <w:pPr>
        <w:ind w:left="820" w:hanging="32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Finance receivables decreased $701 thousand from June 30, 2015 compared to December 31, 2015 due to the Company’s efforts to consummate sales utilizing the QuickStart third-party leasing program.</w:t>
      </w:r>
    </w:p>
    <w:p>
      <w:pPr>
        <w:ind w:left="820" w:hanging="32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in property for the JumpStart rental program has been zero during the past five quarters due to the QuickStart program and transfers from inventory.</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2014, the Company reintroduced QuickStart, a program whereby our customers are able to purchase our ePort hardware via a five-year, non-cancellable lease. Under the QuickStart program, the Company provides the equipment to customers in a rent-to-own agreement and creates a long-term and current finance receivable for five-year leases. In the third and fourth quarters of fiscal 2015, the Company signed vendor agreements with two leasing companies, whereby our customers would enter into leases directly with the leasing companies. Under this scenario, the Company invoices the leasing company for the equipment leased by our customer, and records the full equipment sales amount to accounts receivable. Unlike finance receivables, where the cash from the equipment sale would be collected over a five-year period, the accounts receivable due from the leasing company is typically collected within 30 days. QuickStart, through third-party leasing companies, reduces cash flow needed for investing activities and improves the cash flow from operations which, when combined, increases the Company’s free cash flow. The Company previously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entering into vendor agreements with two third-party leasing companies, the majority of QuickStart sales consummated have been with customers entering into a lease directly with the leasing companies. Our customers have shifted from acquiring our products via JumpStart, which accounted for 60% of our gross connections in fiscal year 2014, to QuickStart and sales under normal trade receivable terms, which accounted for 88% of our gross connections in fiscal year 2015, and was approximately 90% of gross connections in the first six months of fiscal year 2016. The Company is actively working to expand its outside leasing partners. The goal of the program would be to have enough leasing partners so that the Company would not need to provide financing to its customers. Accordingly, with continued success of the QuickStart third-party leasing program, the Company should continue to generate positive cash flow from operations during the remainder of the 2016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Primary: </w:t>
      </w:r>
      <w:r>
        <w:rPr>
          <w:rFonts w:ascii="Arial" w:cs="Arial" w:eastAsia="Arial" w:hAnsi="Arial"/>
          <w:sz w:val="18"/>
          <w:szCs w:val="18"/>
          <w:color w:val="auto"/>
        </w:rPr>
        <w:t>The Company’s primary sources of cash include: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cash on hand of approximately $14.8 million as of December 31, 2015;</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cash on hand, the Company generated cash flow from operations of $869 thousand for the six-month period ended December 31, 2015. The Company’s increased liquidity position is further demonstrated by increases in net working capital, which is defined as current assets less current liabilities, which were $9.9, $7.5, $6.3, $5.7 and $2.6 million over the last five quarters beginning with the quarter ended December 31, 2015. These positive trends are expected to continue and result in continued free cash flow; and</w:t>
      </w:r>
    </w:p>
    <w:p>
      <w:pPr>
        <w:spacing w:after="0" w:line="1"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January 15, 2016, the Bank also made a three-year term loan to the Company in the principal amount of $3.0 million (the “Term Loan”). The Term Loan provides that interest only is payable monthly during year one, interest and principal is payable monthly during years two and three, and all outstanding principal and accrued interest is due and payable on the third anniversary of the Term Loan. The Term Loan bears interest at an annual rate equal to 1.75% above the prime rate as published from time to time by The Wall Street Journal, or five percent (5%), whichever is higher. The Bank also increased the amount available under the Line of Credit to $7.5 million less the amount then outstanding under the Term Loan. As of December 31, 2015, the balance outstanding under the Line of Credit was $7.0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Other sources of cash include:</w:t>
      </w:r>
    </w:p>
    <w:p>
      <w:pPr>
        <w:spacing w:after="0" w:line="225"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$11.1 million of potential cash from unexercised stock warrants exercisable at $2.6058 per share that are set to expire on September 18, 2016;</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Company exhausted its primary sources of cash and required capital, it believes it could sell a portion of its finance receivables at a discount to a third-party lender; and</w:t>
      </w: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had success in accessing capital markets, debt and equity in the past. However, the current focus is on profitability and generating free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2015.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December 31, 2015.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December 31, 2015 in the Company’s internal controls over financial reporting that have materially affected, or are reasonably likely to materially affect,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Universal Clearing Solutions, LLC (“Universal Clearing”), a former non-vending customer of the Company, filed an action in the United States District Court for the District of Arizona against the Company alleging breach of contract, breach of fiduciary duty, and defamation. During July 2015, the Company filed an answer to the defamation count of the complaint denying the allegations, and filed a motion to dismiss the remaining counts. On January 29, 2016, the Court granted the Company’s motion, and dismissed the breach of contract and breach of fiduciary duty claims against the Company. The Company does not believe that the remaining defamation count of the complaint has merit or represents a material legal proceeding, and intends to vigorously defend against the claim.</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July 2015, the Company filed a counterclaim against Universal Clearing seeking damages of approximately $680,000 which were incurred by the Company in connection with chargebacks relating to Universal Clearing’s sub-merchants which had been boarded on the Company’s service. The Company also filed a third party complaint in the pending action against Steven Juliver, the manager of Universal Clearing, as well as against Universal Tranware, LLC, and Secureswype, LLC, entities affiliated with Universal Clearing. The third party complaint sets forth, among other things, causes of action for fraud and breach of contract, and seeks to recover from these defendants the chargebacks relating to Universal Clearing’s sub-merchants described above. On September 14, 2015, the third party defendants filed a motion to dismiss the third party complaint, and on January 29, 2016, the court denied the motion to dismiss the fraud and breach of contract claims. The Company intends to vigorously pursue its claims for damages set forth in the counterclaim and third party complaint.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alleging that, among other things, the amended complaint does not satisfy the applicable pleading standards under the Private Securities Litigation Reform Act. The court has not yet ruled on the motion to dismiss. Although the ultimate outcome of litigation cannot be predicted with certainty, the Company believes that this lawsuit is without merit and intends to vigorously defend against the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w w:val="96"/>
              </w:rPr>
              <w:t>Item 6. Exhibits</w:t>
            </w:r>
          </w:p>
        </w:tc>
        <w:tc>
          <w:tcPr>
            <w:tcW w:w="156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w:t>
            </w:r>
          </w:p>
        </w:tc>
        <w:tc>
          <w:tcPr>
            <w:tcW w:w="156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Description</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Sarbanes-Oxley</w:t>
            </w:r>
          </w:p>
        </w:tc>
      </w:tr>
      <w:tr>
        <w:trPr>
          <w:trHeight w:val="230"/>
        </w:trPr>
        <w:tc>
          <w:tcPr>
            <w:tcW w:w="1300" w:type="dxa"/>
            <w:vAlign w:val="bottom"/>
          </w:tcPr>
          <w:p>
            <w:pPr>
              <w:spacing w:after="0"/>
              <w:rPr>
                <w:sz w:val="20"/>
                <w:szCs w:val="20"/>
                <w:color w:val="auto"/>
              </w:rPr>
            </w:pP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Act of 2002.</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Sarbanes-Oxley</w:t>
            </w:r>
          </w:p>
        </w:tc>
      </w:tr>
      <w:tr>
        <w:trPr>
          <w:trHeight w:val="230"/>
        </w:trPr>
        <w:tc>
          <w:tcPr>
            <w:tcW w:w="1300" w:type="dxa"/>
            <w:vAlign w:val="bottom"/>
          </w:tcPr>
          <w:p>
            <w:pPr>
              <w:spacing w:after="0"/>
              <w:rPr>
                <w:sz w:val="20"/>
                <w:szCs w:val="20"/>
                <w:color w:val="auto"/>
              </w:rPr>
            </w:pP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Act of 2002.</w:t>
            </w:r>
          </w:p>
        </w:tc>
      </w:tr>
      <w:tr>
        <w:trPr>
          <w:trHeight w:val="223"/>
        </w:trPr>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560" w:type="dxa"/>
            <w:vAlign w:val="bottom"/>
          </w:tcPr>
          <w:p>
            <w:pPr>
              <w:spacing w:after="0"/>
              <w:rPr>
                <w:sz w:val="19"/>
                <w:szCs w:val="19"/>
                <w:color w:val="auto"/>
              </w:rPr>
            </w:pPr>
          </w:p>
        </w:tc>
      </w:tr>
      <w:tr>
        <w:trPr>
          <w:trHeight w:val="662"/>
        </w:trPr>
        <w:tc>
          <w:tcPr>
            <w:tcW w:w="1300" w:type="dxa"/>
            <w:vAlign w:val="bottom"/>
            <w:tcBorders>
              <w:bottom w:val="single" w:sz="8" w:color="DCDCDC"/>
            </w:tcBorders>
          </w:tcPr>
          <w:p>
            <w:pPr>
              <w:spacing w:after="0"/>
              <w:rPr>
                <w:sz w:val="24"/>
                <w:szCs w:val="24"/>
                <w:color w:val="auto"/>
              </w:rPr>
            </w:pPr>
          </w:p>
        </w:tc>
        <w:tc>
          <w:tcPr>
            <w:tcW w:w="10120" w:type="dxa"/>
            <w:vAlign w:val="bottom"/>
            <w:tcBorders>
              <w:bottom w:val="single" w:sz="8" w:color="DCDCDC"/>
            </w:tcBorders>
            <w:gridSpan w:val="2"/>
          </w:tcPr>
          <w:p>
            <w:pPr>
              <w:ind w:left="434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904" w:right="239" w:bottom="1440" w:gutter="0" w:footer="0" w:header="0"/>
        </w:sectPr>
      </w:pPr>
    </w:p>
    <w:bookmarkStart w:id="42" w:name="page43"/>
    <w:bookmarkEnd w:id="42"/>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12, 2016</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12, 2016</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48"/>
        </w:trPr>
        <w:tc>
          <w:tcPr>
            <w:tcW w:w="3700" w:type="dxa"/>
            <w:vAlign w:val="bottom"/>
            <w:tcBorders>
              <w:bottom w:val="single" w:sz="8" w:color="DCDCDC"/>
            </w:tcBorders>
          </w:tcPr>
          <w:p>
            <w:pPr>
              <w:spacing w:after="0"/>
              <w:rPr>
                <w:sz w:val="24"/>
                <w:szCs w:val="24"/>
                <w:color w:val="auto"/>
              </w:rPr>
            </w:pPr>
          </w:p>
        </w:tc>
        <w:tc>
          <w:tcPr>
            <w:tcW w:w="7720" w:type="dxa"/>
            <w:vAlign w:val="bottom"/>
            <w:tcBorders>
              <w:bottom w:val="single" w:sz="8" w:color="DCDCDC"/>
            </w:tcBorders>
            <w:gridSpan w:val="2"/>
          </w:tcPr>
          <w:p>
            <w:pPr>
              <w:jc w:val="right"/>
              <w:ind w:right="551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90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February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Leland P. Maxwell,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February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75"/>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2015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February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2015 (the “Report”), I, Leland P. Maxwell, Interim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February 12,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75"/>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2019-12-29T13:12:28Z</dcterms:created>
  <dcterms:modified xsi:type="dcterms:W3CDTF">2019-12-29T13:12:28Z</dcterms:modified>
</cp:coreProperties>
</file>