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272110.xml.htm"/>
      <w:bookmarkStart w:id="1" w:name="kswkform4_17782721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Dumbrell Jeffrey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LINDENWOOD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CANTALOUPE, INC.</w:t>
              </w:r>
            </w:hyperlink>
            <w:r>
              <w:rPr/>
              <w:t xml:space="preserve"> [ </w:t>
            </w:r>
            <w:r>
              <w:rPr>
                <w:rFonts w:ascii="Times;serif" w:hAnsi="Times;serif"/>
                <w:color w:val="0000FF"/>
                <w:sz w:val="24"/>
                <w:shd w:fill="FFFFFF" w:val="clear"/>
              </w:rPr>
              <w:t>CTLP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23,254</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24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876"/>
        <w:gridCol w:w="906"/>
        <w:gridCol w:w="801"/>
        <w:gridCol w:w="1311"/>
        <w:gridCol w:w="921"/>
        <w:gridCol w:w="801"/>
        <w:gridCol w:w="936"/>
        <w:gridCol w:w="831"/>
        <w:gridCol w:w="846"/>
      </w:tblGrid>
      <w:tr>
        <w:trPr>
          <w:tblHeader w:val="true"/>
        </w:trPr>
        <w:tc>
          <w:tcPr>
            <w:tcW w:w="132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6.68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225,000</w:t>
            </w:r>
            <w:r>
              <w:rPr>
                <w:rFonts w:ascii="Times;serif" w:hAnsi="Times;serif"/>
                <w:color w:val="008000"/>
                <w:position w:val="7"/>
                <w:sz w:val="16"/>
                <w:sz w:val="20"/>
                <w:shd w:fill="FFFFFF" w:val="clear"/>
              </w:rPr>
              <w:t>(6)</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08/12/2029</w:t>
            </w:r>
            <w:r>
              <w:rPr>
                <w:rFonts w:ascii="Times;serif" w:hAnsi="Times;serif"/>
                <w:color w:val="008000"/>
                <w:position w:val="7"/>
                <w:sz w:val="16"/>
                <w:sz w:val="20"/>
                <w:shd w:fill="FFFFFF" w:val="clear"/>
              </w:rPr>
              <w:t>(6)</w:t>
            </w:r>
            <w:r>
              <w:rPr/>
              <w:t xml:space="preserve"> </w:t>
            </w:r>
          </w:p>
        </w:tc>
        <w:tc>
          <w:tcPr>
            <w:tcW w:w="13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296,668</w:t>
            </w:r>
            <w:r>
              <w:rPr>
                <w:rFonts w:ascii="Times;serif" w:hAnsi="Times;serif"/>
                <w:color w:val="008000"/>
                <w:position w:val="7"/>
                <w:sz w:val="16"/>
                <w:sz w:val="20"/>
                <w:shd w:fill="FFFFFF" w:val="clear"/>
              </w:rPr>
              <w:t>(6)</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12/22/2028</w:t>
            </w:r>
            <w:r>
              <w:rPr>
                <w:rFonts w:ascii="Times;serif" w:hAnsi="Times;serif"/>
                <w:color w:val="008000"/>
                <w:position w:val="7"/>
                <w:sz w:val="16"/>
                <w:sz w:val="20"/>
                <w:shd w:fill="FFFFFF" w:val="clear"/>
              </w:rPr>
              <w:t>(6)</w:t>
            </w:r>
            <w:r>
              <w:rPr/>
              <w:t xml:space="preserve"> </w:t>
            </w:r>
          </w:p>
        </w:tc>
        <w:tc>
          <w:tcPr>
            <w:tcW w:w="13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296,668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reports securities disposed of under the Agreement and Plan of Merger, dated as of June 15, 2025 (the "Merger Agreement"), by and among Cantaloupe, Inc. (the "Company"), 365 Retail Markets, LLC, Catalyst Holdco I, Inc., Catalyst Holdco II, Inc. and Catalyst MergerSub Inc. ("Merger Subsidiary"), under which Merger Subsidiary was merged with and into the Company (the "Merger"), with the Company continuing as the surviving corporation in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At the effective time of the Merger (the "Effective Time"), each share of common stock of the Company ("Common Stock") reported in this row of this Form 4 was canceled and automatically converted into the right to receive $11.20 in cash, without interest (such amount per share,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connection with the Merger, The Dumbrell Family Trust entered into a Rollover Agreement, dated as of February 19, 2026, pursuant to which, among other things, immediately prior to the Effective Time, The Dumbrell Family Trust contributed 20,000 shares of Common Stock to Garage Topco LP in exchange for common units of Garage Topco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these restricted stock units of the Company ("RSU") represented a contingent right to receive one share of Common Stock. Pursuant to the Merger Agreement, at or immediately prior to the Effective Time, each RSU that was outstanding immediately prior to the Effective Time was fully vested and free of restrictions and was canceled and converted into the right to receive an amount in cash equal to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these restricted stock units of the Company ("PSU") represented a contingent right to receive one share of Common Stock, subject to satisfying additional performance conditions. Pursuant to the Merger Agreement, at or immediately prior to the Effective Time, each PSU that was outstanding immediately prior to the Effective Time which remained subject to vesting based on achieving certain performance metrics became vested with respect to that number of shares of Common Stock based on deemed achievement of the performance metrics at target performance, and was canceled and converted into the right to receive, with respect to each such vested share of Common Stock underlying such PSU, an amount in cash equal to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Merger Agreement, at or immediately prior to the Effective Time, each outstanding option to purchase one share of Common Stock ("Option") having a per share exercise price less than the Merger Consideration ("In-the-Money Option") became fully vested and free of restrictions and was canceled in exchange for cash in an amount equal to (A) the total number of shares of Common Stock for which such In-the-Money Option was exercisable, multiplied by (B) the excess of the Merger Consideration over the per share exercise price of such In-the-Money Option, and each outstanding Company Option having a per share exercise price equal to or greater than the Merger Consideration was canceled without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Novoseletsky,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8349" TargetMode="External"/><Relationship Id="rId5" Type="http://schemas.openxmlformats.org/officeDocument/2006/relationships/hyperlink" Target="http://www.sec.gov/cgi-bin/browse-edgar?action=getcompany&amp;CIK=0000896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1119</Words>
  <Characters>5975</Characters>
  <CharactersWithSpaces>6988</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