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740" w:right="1760" w:hanging="3732"/>
        <w:spacing w:after="0" w:line="503" w:lineRule="auto"/>
        <w:tabs>
          <w:tab w:leader="none" w:pos="46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 (d) OF THE SECURITIES EXCHANGE ACT OF 1934 For the quarterly period ended September 30, 2013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2660" w:right="2660" w:hanging="2652"/>
        <w:spacing w:after="0" w:line="533" w:lineRule="auto"/>
        <w:tabs>
          <w:tab w:leader="none" w:pos="466"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 (d) OF THE EXCHANGE ACT OF 1934 </w:t>
      </w:r>
      <w:r>
        <w:rPr>
          <w:rFonts w:ascii="Arial" w:cs="Arial" w:eastAsia="Arial" w:hAnsi="Arial"/>
          <w:sz w:val="17"/>
          <w:szCs w:val="17"/>
          <w:color w:val="auto"/>
        </w:rPr>
        <w:t>For the transition period from ____________________ to _____________________</w:t>
      </w:r>
    </w:p>
    <w:p>
      <w:pPr>
        <w:jc w:val="center"/>
        <w:ind w:right="-19"/>
        <w:spacing w:after="0"/>
        <w:rPr>
          <w:sz w:val="20"/>
          <w:szCs w:val="20"/>
          <w:color w:val="auto"/>
        </w:rPr>
      </w:pPr>
      <w:r>
        <w:rPr>
          <w:rFonts w:ascii="Arial" w:cs="Arial" w:eastAsia="Arial" w:hAnsi="Arial"/>
          <w:sz w:val="18"/>
          <w:szCs w:val="18"/>
          <w:color w:val="auto"/>
        </w:rPr>
        <w:t>Commission file number 001-33365</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1" w:lineRule="exact"/>
        <w:rPr>
          <w:sz w:val="24"/>
          <w:szCs w:val="24"/>
          <w:color w:val="auto"/>
        </w:rPr>
      </w:pPr>
    </w:p>
    <w:tbl>
      <w:tblPr>
        <w:tblLayout w:type="fixed"/>
        <w:tblInd w:w="36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Pennsylvania</w:t>
            </w:r>
          </w:p>
        </w:tc>
        <w:tc>
          <w:tcPr>
            <w:tcW w:w="16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23-2679963</w:t>
            </w:r>
          </w:p>
        </w:tc>
        <w:tc>
          <w:tcPr>
            <w:tcW w:w="640" w:type="dxa"/>
            <w:vAlign w:val="bottom"/>
          </w:tcPr>
          <w:p>
            <w:pPr>
              <w:spacing w:after="0"/>
              <w:rPr>
                <w:sz w:val="20"/>
                <w:szCs w:val="20"/>
                <w:color w:val="auto"/>
              </w:rPr>
            </w:pPr>
          </w:p>
        </w:tc>
      </w:tr>
      <w:tr>
        <w:trPr>
          <w:trHeight w:val="224"/>
        </w:trPr>
        <w:tc>
          <w:tcPr>
            <w:tcW w:w="2060" w:type="dxa"/>
            <w:vAlign w:val="bottom"/>
          </w:tcPr>
          <w:p>
            <w:pPr>
              <w:ind w:left="360"/>
              <w:spacing w:after="0"/>
              <w:rPr>
                <w:sz w:val="20"/>
                <w:szCs w:val="20"/>
                <w:color w:val="auto"/>
              </w:rPr>
            </w:pPr>
            <w:r>
              <w:rPr>
                <w:rFonts w:ascii="Arial" w:cs="Arial" w:eastAsia="Arial" w:hAnsi="Arial"/>
                <w:sz w:val="18"/>
                <w:szCs w:val="18"/>
                <w:color w:val="auto"/>
                <w:w w:val="81"/>
              </w:rPr>
              <w:t>(State or other jurisdiction</w:t>
            </w:r>
          </w:p>
        </w:tc>
        <w:tc>
          <w:tcPr>
            <w:tcW w:w="1240" w:type="dxa"/>
            <w:vAlign w:val="bottom"/>
          </w:tcPr>
          <w:p>
            <w:pPr>
              <w:ind w:left="240"/>
              <w:spacing w:after="0"/>
              <w:rPr>
                <w:sz w:val="20"/>
                <w:szCs w:val="20"/>
                <w:color w:val="auto"/>
              </w:rPr>
            </w:pPr>
            <w:r>
              <w:rPr>
                <w:rFonts w:ascii="Arial" w:cs="Arial" w:eastAsia="Arial" w:hAnsi="Arial"/>
                <w:sz w:val="18"/>
                <w:szCs w:val="18"/>
                <w:color w:val="auto"/>
                <w:w w:val="78"/>
              </w:rPr>
              <w:t>of incorporation</w:t>
            </w:r>
          </w:p>
        </w:tc>
        <w:tc>
          <w:tcPr>
            <w:tcW w:w="1620" w:type="dxa"/>
            <w:vAlign w:val="bottom"/>
          </w:tcPr>
          <w:p>
            <w:pPr>
              <w:ind w:left="220"/>
              <w:spacing w:after="0"/>
              <w:rPr>
                <w:sz w:val="20"/>
                <w:szCs w:val="20"/>
                <w:color w:val="auto"/>
              </w:rPr>
            </w:pPr>
            <w:r>
              <w:rPr>
                <w:rFonts w:ascii="Arial" w:cs="Arial" w:eastAsia="Arial" w:hAnsi="Arial"/>
                <w:sz w:val="18"/>
                <w:szCs w:val="18"/>
                <w:color w:val="auto"/>
              </w:rPr>
              <w:t>or organization)</w:t>
            </w:r>
          </w:p>
        </w:tc>
        <w:tc>
          <w:tcPr>
            <w:tcW w:w="4840" w:type="dxa"/>
            <w:vAlign w:val="bottom"/>
            <w:gridSpan w:val="5"/>
          </w:tcPr>
          <w:p>
            <w:pPr>
              <w:ind w:left="2220"/>
              <w:spacing w:after="0"/>
              <w:rPr>
                <w:sz w:val="20"/>
                <w:szCs w:val="20"/>
                <w:color w:val="auto"/>
              </w:rPr>
            </w:pPr>
            <w:r>
              <w:rPr>
                <w:rFonts w:ascii="Arial" w:cs="Arial" w:eastAsia="Arial" w:hAnsi="Arial"/>
                <w:sz w:val="18"/>
                <w:szCs w:val="18"/>
                <w:color w:val="auto"/>
                <w:w w:val="93"/>
              </w:rPr>
              <w:t>(I.R.S. Employer Identification No.)</w:t>
            </w:r>
          </w:p>
        </w:tc>
      </w:tr>
      <w:tr>
        <w:trPr>
          <w:trHeight w:val="404"/>
        </w:trPr>
        <w:tc>
          <w:tcPr>
            <w:tcW w:w="4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100 Deerfield Lane, Suite 140, Malvern, Pennsylvania</w:t>
            </w:r>
          </w:p>
        </w:tc>
        <w:tc>
          <w:tcPr>
            <w:tcW w:w="3180" w:type="dxa"/>
            <w:vAlign w:val="bottom"/>
            <w:gridSpan w:val="2"/>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19355</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4"/>
        </w:trPr>
        <w:tc>
          <w:tcPr>
            <w:tcW w:w="49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960" w:type="dxa"/>
            <w:vAlign w:val="bottom"/>
          </w:tcPr>
          <w:p>
            <w:pPr>
              <w:spacing w:after="0"/>
              <w:rPr>
                <w:sz w:val="19"/>
                <w:szCs w:val="19"/>
                <w:color w:val="auto"/>
              </w:rPr>
            </w:pPr>
          </w:p>
        </w:tc>
        <w:tc>
          <w:tcPr>
            <w:tcW w:w="1880" w:type="dxa"/>
            <w:vAlign w:val="bottom"/>
            <w:gridSpan w:val="4"/>
          </w:tcPr>
          <w:p>
            <w:pPr>
              <w:jc w:val="center"/>
              <w:ind w:right="880"/>
              <w:spacing w:after="0"/>
              <w:rPr>
                <w:sz w:val="20"/>
                <w:szCs w:val="20"/>
                <w:color w:val="auto"/>
              </w:rPr>
            </w:pPr>
            <w:r>
              <w:rPr>
                <w:rFonts w:ascii="Arial" w:cs="Arial" w:eastAsia="Arial" w:hAnsi="Arial"/>
                <w:sz w:val="18"/>
                <w:szCs w:val="18"/>
                <w:color w:val="auto"/>
                <w:w w:val="94"/>
              </w:rPr>
              <w:t>(Zip Code)</w:t>
            </w:r>
          </w:p>
        </w:tc>
      </w:tr>
    </w:tbl>
    <w:p>
      <w:pPr>
        <w:spacing w:after="0" w:line="174"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(610) 989-0340</w:t>
      </w:r>
    </w:p>
    <w:p>
      <w:pPr>
        <w:spacing w:after="0" w:line="23"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3126740</wp:posOffset>
            </wp:positionH>
            <wp:positionV relativeFrom="paragraph">
              <wp:posOffset>-130810</wp:posOffset>
            </wp:positionV>
            <wp:extent cx="866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9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69" w:right="239" w:bottom="1440" w:gutter="0" w:footer="0" w:header="0"/>
        </w:sectPr>
      </w:pPr>
    </w:p>
    <w:p>
      <w:pPr>
        <w:spacing w:after="0" w:line="114" w:lineRule="exact"/>
        <w:rPr>
          <w:sz w:val="24"/>
          <w:szCs w:val="24"/>
          <w:color w:val="auto"/>
        </w:rPr>
      </w:pPr>
    </w:p>
    <w:p>
      <w:pPr>
        <w:ind w:left="8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jc w:val="center"/>
        <w:ind w:right="4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48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3">
            <w:col w:w="3920" w:space="720"/>
            <w:col w:w="2640" w:space="720"/>
            <w:col w:w="3420"/>
          </w:cols>
          <w:pgMar w:left="240" w:top="769"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4, 2013, there were 34,083,910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60" w:type="dxa"/>
            <w:vAlign w:val="bottom"/>
            <w:gridSpan w:val="7"/>
          </w:tcPr>
          <w:p>
            <w:pPr>
              <w:jc w:val="center"/>
              <w:ind w:right="2440"/>
              <w:spacing w:after="0"/>
              <w:rPr>
                <w:sz w:val="20"/>
                <w:szCs w:val="20"/>
                <w:color w:val="auto"/>
              </w:rPr>
            </w:pPr>
            <w:r>
              <w:rPr>
                <w:rFonts w:ascii="Arial" w:cs="Arial" w:eastAsia="Arial" w:hAnsi="Arial"/>
                <w:sz w:val="18"/>
                <w:szCs w:val="18"/>
                <w:color w:val="auto"/>
                <w:w w:val="96"/>
              </w:rPr>
              <w:t>USA TECHNOLOGIES, INC.</w:t>
            </w: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60" w:type="dxa"/>
            <w:vAlign w:val="bottom"/>
            <w:gridSpan w:val="7"/>
          </w:tcPr>
          <w:p>
            <w:pPr>
              <w:jc w:val="center"/>
              <w:ind w:right="2440"/>
              <w:spacing w:after="0"/>
              <w:rPr>
                <w:sz w:val="20"/>
                <w:szCs w:val="20"/>
                <w:color w:val="auto"/>
              </w:rPr>
            </w:pPr>
            <w:r>
              <w:rPr>
                <w:rFonts w:ascii="Arial" w:cs="Arial" w:eastAsia="Arial" w:hAnsi="Arial"/>
                <w:sz w:val="18"/>
                <w:szCs w:val="18"/>
                <w:color w:val="auto"/>
                <w:w w:val="95"/>
              </w:rPr>
              <w:t>TABLE OF CONTENTS</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560" w:type="dxa"/>
            <w:vAlign w:val="bottom"/>
            <w:gridSpan w:val="17"/>
          </w:tcPr>
          <w:p>
            <w:pPr>
              <w:spacing w:after="0"/>
              <w:rPr>
                <w:sz w:val="20"/>
                <w:szCs w:val="20"/>
                <w:color w:val="auto"/>
              </w:rPr>
            </w:pPr>
            <w:r>
              <w:rPr>
                <w:rFonts w:ascii="Arial" w:cs="Arial" w:eastAsia="Arial" w:hAnsi="Arial"/>
                <w:sz w:val="18"/>
                <w:szCs w:val="18"/>
                <w:color w:val="auto"/>
              </w:rPr>
              <w:t>Part I - Financial Information</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400" w:type="dxa"/>
            <w:vAlign w:val="bottom"/>
            <w:gridSpan w:val="14"/>
          </w:tcPr>
          <w:p>
            <w:pPr>
              <w:spacing w:after="0"/>
              <w:rPr>
                <w:sz w:val="20"/>
                <w:szCs w:val="20"/>
                <w:color w:val="auto"/>
              </w:rPr>
            </w:pPr>
            <w:r>
              <w:rPr>
                <w:rFonts w:ascii="Arial" w:cs="Arial" w:eastAsia="Arial" w:hAnsi="Arial"/>
                <w:sz w:val="18"/>
                <w:szCs w:val="18"/>
                <w:color w:val="auto"/>
              </w:rPr>
              <w:t>Consolidated Financial Statements (Unaudited)</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0" w:type="dxa"/>
            <w:vAlign w:val="bottom"/>
            <w:gridSpan w:val="14"/>
          </w:tcPr>
          <w:p>
            <w:pPr>
              <w:spacing w:after="0" w:line="176" w:lineRule="exact"/>
              <w:rPr>
                <w:rFonts w:ascii="Arial" w:cs="Arial" w:eastAsia="Arial" w:hAnsi="Arial"/>
                <w:sz w:val="18"/>
                <w:szCs w:val="18"/>
                <w:color w:val="auto"/>
              </w:rPr>
            </w:pPr>
            <w:hyperlink w:anchor="page3">
              <w:r>
                <w:rPr>
                  <w:rFonts w:ascii="Arial" w:cs="Arial" w:eastAsia="Arial" w:hAnsi="Arial"/>
                  <w:sz w:val="18"/>
                  <w:szCs w:val="18"/>
                  <w:color w:val="auto"/>
                </w:rPr>
                <w:t>Consolidated Balance Sheets – September 30, 2013 and June 30, 2013</w:t>
              </w:r>
            </w:hyperlink>
          </w:p>
        </w:tc>
        <w:tc>
          <w:tcPr>
            <w:tcW w:w="186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0" w:type="dxa"/>
            <w:vAlign w:val="bottom"/>
            <w:gridSpan w:val="14"/>
          </w:tcPr>
          <w:p>
            <w:pPr>
              <w:spacing w:after="0" w:line="176" w:lineRule="exact"/>
              <w:rPr>
                <w:rFonts w:ascii="Arial" w:cs="Arial" w:eastAsia="Arial" w:hAnsi="Arial"/>
                <w:sz w:val="18"/>
                <w:szCs w:val="18"/>
                <w:color w:val="auto"/>
              </w:rPr>
            </w:pPr>
            <w:hyperlink w:anchor="page4">
              <w:r>
                <w:rPr>
                  <w:rFonts w:ascii="Arial" w:cs="Arial" w:eastAsia="Arial" w:hAnsi="Arial"/>
                  <w:sz w:val="18"/>
                  <w:szCs w:val="18"/>
                  <w:color w:val="auto"/>
                </w:rPr>
                <w:t>Consolidated Statements of Operations – Three months ended September 30, 2013 and 2012</w:t>
              </w:r>
            </w:hyperlink>
          </w:p>
        </w:tc>
        <w:tc>
          <w:tcPr>
            <w:tcW w:w="186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0" w:type="dxa"/>
            <w:vAlign w:val="bottom"/>
            <w:gridSpan w:val="14"/>
          </w:tcPr>
          <w:p>
            <w:pPr>
              <w:spacing w:after="0" w:line="176" w:lineRule="exact"/>
              <w:rPr>
                <w:rFonts w:ascii="Arial" w:cs="Arial" w:eastAsia="Arial" w:hAnsi="Arial"/>
                <w:sz w:val="18"/>
                <w:szCs w:val="18"/>
                <w:color w:val="auto"/>
              </w:rPr>
            </w:pPr>
            <w:hyperlink w:anchor="page5">
              <w:r>
                <w:rPr>
                  <w:rFonts w:ascii="Arial" w:cs="Arial" w:eastAsia="Arial" w:hAnsi="Arial"/>
                  <w:sz w:val="18"/>
                  <w:szCs w:val="18"/>
                  <w:color w:val="auto"/>
                </w:rPr>
                <w:t>Consolidated Statement of Shareholders’ Equity – Three months ended September 30, 2013</w:t>
              </w:r>
            </w:hyperlink>
          </w:p>
        </w:tc>
        <w:tc>
          <w:tcPr>
            <w:tcW w:w="186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0" w:type="dxa"/>
            <w:vAlign w:val="bottom"/>
            <w:gridSpan w:val="14"/>
          </w:tcPr>
          <w:p>
            <w:pPr>
              <w:spacing w:after="0" w:line="176" w:lineRule="exact"/>
              <w:rPr>
                <w:rFonts w:ascii="Arial" w:cs="Arial" w:eastAsia="Arial" w:hAnsi="Arial"/>
                <w:sz w:val="18"/>
                <w:szCs w:val="18"/>
                <w:color w:val="auto"/>
              </w:rPr>
            </w:pPr>
            <w:hyperlink w:anchor="page6">
              <w:r>
                <w:rPr>
                  <w:rFonts w:ascii="Arial" w:cs="Arial" w:eastAsia="Arial" w:hAnsi="Arial"/>
                  <w:sz w:val="18"/>
                  <w:szCs w:val="18"/>
                  <w:color w:val="auto"/>
                </w:rPr>
                <w:t>Consolidated Statements of Cash Flows – Three months ended September 30, 2013 and 2012</w:t>
              </w:r>
            </w:hyperlink>
          </w:p>
        </w:tc>
        <w:tc>
          <w:tcPr>
            <w:tcW w:w="186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0" w:type="dxa"/>
            <w:vAlign w:val="bottom"/>
            <w:gridSpan w:val="14"/>
          </w:tcPr>
          <w:p>
            <w:pPr>
              <w:spacing w:after="0" w:line="176" w:lineRule="exact"/>
              <w:rPr>
                <w:rFonts w:ascii="Arial" w:cs="Arial" w:eastAsia="Arial" w:hAnsi="Arial"/>
                <w:sz w:val="18"/>
                <w:szCs w:val="18"/>
                <w:color w:val="auto"/>
              </w:rPr>
            </w:pPr>
            <w:hyperlink w:anchor="page7">
              <w:r>
                <w:rPr>
                  <w:rFonts w:ascii="Arial" w:cs="Arial" w:eastAsia="Arial" w:hAnsi="Arial"/>
                  <w:sz w:val="18"/>
                  <w:szCs w:val="18"/>
                  <w:color w:val="auto"/>
                </w:rPr>
                <w:t>Notes to Consolidated Financial Statements</w:t>
              </w:r>
            </w:hyperlink>
          </w:p>
        </w:tc>
        <w:tc>
          <w:tcPr>
            <w:tcW w:w="186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rFonts w:ascii="Arial" w:cs="Arial" w:eastAsia="Arial" w:hAnsi="Arial"/>
                <w:sz w:val="18"/>
                <w:szCs w:val="18"/>
                <w:color w:val="auto"/>
              </w:rPr>
            </w:pPr>
            <w:hyperlink w:anchor="page14">
              <w:r>
                <w:rPr>
                  <w:rFonts w:ascii="Arial" w:cs="Arial" w:eastAsia="Arial" w:hAnsi="Arial"/>
                  <w:sz w:val="18"/>
                  <w:szCs w:val="18"/>
                  <w:color w:val="auto"/>
                </w:rPr>
                <w:t>Item 2.</w:t>
              </w:r>
            </w:hyperlink>
          </w:p>
        </w:tc>
        <w:tc>
          <w:tcPr>
            <w:tcW w:w="8400" w:type="dxa"/>
            <w:vAlign w:val="bottom"/>
            <w:gridSpan w:val="14"/>
          </w:tcPr>
          <w:p>
            <w:pPr>
              <w:spacing w:after="0" w:line="176" w:lineRule="exact"/>
              <w:rPr>
                <w:rFonts w:ascii="Arial" w:cs="Arial" w:eastAsia="Arial" w:hAnsi="Arial"/>
                <w:sz w:val="18"/>
                <w:szCs w:val="18"/>
                <w:color w:val="auto"/>
              </w:rPr>
            </w:pPr>
            <w:hyperlink w:anchor="page14">
              <w:r>
                <w:rPr>
                  <w:rFonts w:ascii="Arial" w:cs="Arial" w:eastAsia="Arial" w:hAnsi="Arial"/>
                  <w:sz w:val="18"/>
                  <w:szCs w:val="18"/>
                  <w:color w:val="auto"/>
                </w:rPr>
                <w:t>Management’s Discussion and Analysis of Financial Condition and Results of Operations</w:t>
              </w:r>
            </w:hyperlink>
          </w:p>
        </w:tc>
        <w:tc>
          <w:tcPr>
            <w:tcW w:w="186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rFonts w:ascii="Arial" w:cs="Arial" w:eastAsia="Arial" w:hAnsi="Arial"/>
                <w:sz w:val="18"/>
                <w:szCs w:val="18"/>
                <w:color w:val="auto"/>
              </w:rPr>
            </w:pPr>
            <w:hyperlink w:anchor="page20">
              <w:r>
                <w:rPr>
                  <w:rFonts w:ascii="Arial" w:cs="Arial" w:eastAsia="Arial" w:hAnsi="Arial"/>
                  <w:sz w:val="18"/>
                  <w:szCs w:val="18"/>
                  <w:color w:val="auto"/>
                </w:rPr>
                <w:t>Item 3.</w:t>
              </w:r>
            </w:hyperlink>
          </w:p>
        </w:tc>
        <w:tc>
          <w:tcPr>
            <w:tcW w:w="8400" w:type="dxa"/>
            <w:vAlign w:val="bottom"/>
            <w:gridSpan w:val="14"/>
          </w:tcPr>
          <w:p>
            <w:pPr>
              <w:spacing w:after="0" w:line="176" w:lineRule="exact"/>
              <w:rPr>
                <w:rFonts w:ascii="Arial" w:cs="Arial" w:eastAsia="Arial" w:hAnsi="Arial"/>
                <w:sz w:val="18"/>
                <w:szCs w:val="18"/>
                <w:color w:val="auto"/>
              </w:rPr>
            </w:pPr>
            <w:hyperlink w:anchor="page20">
              <w:r>
                <w:rPr>
                  <w:rFonts w:ascii="Arial" w:cs="Arial" w:eastAsia="Arial" w:hAnsi="Arial"/>
                  <w:sz w:val="18"/>
                  <w:szCs w:val="18"/>
                  <w:color w:val="auto"/>
                </w:rPr>
                <w:t>Quantitative and Qualitative Disclosures About Market Risk</w:t>
              </w:r>
            </w:hyperlink>
          </w:p>
        </w:tc>
        <w:tc>
          <w:tcPr>
            <w:tcW w:w="186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rFonts w:ascii="Arial" w:cs="Arial" w:eastAsia="Arial" w:hAnsi="Arial"/>
                <w:sz w:val="18"/>
                <w:szCs w:val="18"/>
                <w:color w:val="auto"/>
              </w:rPr>
            </w:pPr>
            <w:hyperlink w:anchor="page20">
              <w:r>
                <w:rPr>
                  <w:rFonts w:ascii="Arial" w:cs="Arial" w:eastAsia="Arial" w:hAnsi="Arial"/>
                  <w:sz w:val="18"/>
                  <w:szCs w:val="18"/>
                  <w:color w:val="auto"/>
                </w:rPr>
                <w:t>Item 4.</w:t>
              </w:r>
            </w:hyperlink>
          </w:p>
        </w:tc>
        <w:tc>
          <w:tcPr>
            <w:tcW w:w="8400" w:type="dxa"/>
            <w:vAlign w:val="bottom"/>
            <w:gridSpan w:val="14"/>
          </w:tcPr>
          <w:p>
            <w:pPr>
              <w:spacing w:after="0" w:line="176" w:lineRule="exact"/>
              <w:rPr>
                <w:rFonts w:ascii="Arial" w:cs="Arial" w:eastAsia="Arial" w:hAnsi="Arial"/>
                <w:sz w:val="18"/>
                <w:szCs w:val="18"/>
                <w:color w:val="auto"/>
              </w:rPr>
            </w:pPr>
            <w:hyperlink w:anchor="page20">
              <w:r>
                <w:rPr>
                  <w:rFonts w:ascii="Arial" w:cs="Arial" w:eastAsia="Arial" w:hAnsi="Arial"/>
                  <w:sz w:val="18"/>
                  <w:szCs w:val="18"/>
                  <w:color w:val="auto"/>
                </w:rPr>
                <w:t>Controls and Procedures</w:t>
              </w:r>
            </w:hyperlink>
          </w:p>
        </w:tc>
        <w:tc>
          <w:tcPr>
            <w:tcW w:w="186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40" w:type="dxa"/>
            <w:vAlign w:val="bottom"/>
            <w:gridSpan w:val="16"/>
          </w:tcPr>
          <w:p>
            <w:pPr>
              <w:spacing w:after="0" w:line="176" w:lineRule="exact"/>
              <w:rPr>
                <w:rFonts w:ascii="Arial" w:cs="Arial" w:eastAsia="Arial" w:hAnsi="Arial"/>
                <w:sz w:val="18"/>
                <w:szCs w:val="18"/>
                <w:color w:val="auto"/>
              </w:rPr>
            </w:pPr>
            <w:hyperlink w:anchor="page20">
              <w:r>
                <w:rPr>
                  <w:rFonts w:ascii="Arial" w:cs="Arial" w:eastAsia="Arial" w:hAnsi="Arial"/>
                  <w:sz w:val="18"/>
                  <w:szCs w:val="18"/>
                  <w:color w:val="auto"/>
                </w:rPr>
                <w:t>Part II - Other Information</w:t>
              </w:r>
            </w:hyperlink>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rFonts w:ascii="Arial" w:cs="Arial" w:eastAsia="Arial" w:hAnsi="Arial"/>
                <w:sz w:val="18"/>
                <w:szCs w:val="18"/>
                <w:color w:val="auto"/>
              </w:rPr>
            </w:pPr>
            <w:hyperlink w:anchor="page20">
              <w:r>
                <w:rPr>
                  <w:rFonts w:ascii="Arial" w:cs="Arial" w:eastAsia="Arial" w:hAnsi="Arial"/>
                  <w:sz w:val="18"/>
                  <w:szCs w:val="18"/>
                  <w:color w:val="auto"/>
                </w:rPr>
                <w:t>Item 3.</w:t>
              </w:r>
            </w:hyperlink>
          </w:p>
        </w:tc>
        <w:tc>
          <w:tcPr>
            <w:tcW w:w="8400" w:type="dxa"/>
            <w:vAlign w:val="bottom"/>
            <w:gridSpan w:val="14"/>
          </w:tcPr>
          <w:p>
            <w:pPr>
              <w:spacing w:after="0" w:line="176" w:lineRule="exact"/>
              <w:rPr>
                <w:rFonts w:ascii="Arial" w:cs="Arial" w:eastAsia="Arial" w:hAnsi="Arial"/>
                <w:sz w:val="18"/>
                <w:szCs w:val="18"/>
                <w:color w:val="auto"/>
              </w:rPr>
            </w:pPr>
            <w:hyperlink w:anchor="page20">
              <w:r>
                <w:rPr>
                  <w:rFonts w:ascii="Arial" w:cs="Arial" w:eastAsia="Arial" w:hAnsi="Arial"/>
                  <w:sz w:val="18"/>
                  <w:szCs w:val="18"/>
                  <w:color w:val="auto"/>
                </w:rPr>
                <w:t>Defaults Upon Senior Securities</w:t>
              </w:r>
            </w:hyperlink>
          </w:p>
        </w:tc>
        <w:tc>
          <w:tcPr>
            <w:tcW w:w="186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rFonts w:ascii="Arial" w:cs="Arial" w:eastAsia="Arial" w:hAnsi="Arial"/>
                <w:sz w:val="18"/>
                <w:szCs w:val="18"/>
                <w:color w:val="auto"/>
              </w:rPr>
            </w:pPr>
            <w:hyperlink w:anchor="page20">
              <w:r>
                <w:rPr>
                  <w:rFonts w:ascii="Arial" w:cs="Arial" w:eastAsia="Arial" w:hAnsi="Arial"/>
                  <w:sz w:val="18"/>
                  <w:szCs w:val="18"/>
                  <w:color w:val="auto"/>
                </w:rPr>
                <w:t>Item 5.</w:t>
              </w:r>
            </w:hyperlink>
          </w:p>
        </w:tc>
        <w:tc>
          <w:tcPr>
            <w:tcW w:w="8400" w:type="dxa"/>
            <w:vAlign w:val="bottom"/>
            <w:gridSpan w:val="14"/>
          </w:tcPr>
          <w:p>
            <w:pPr>
              <w:spacing w:after="0" w:line="176" w:lineRule="exact"/>
              <w:rPr>
                <w:rFonts w:ascii="Arial" w:cs="Arial" w:eastAsia="Arial" w:hAnsi="Arial"/>
                <w:sz w:val="18"/>
                <w:szCs w:val="18"/>
                <w:color w:val="auto"/>
              </w:rPr>
            </w:pPr>
            <w:hyperlink w:anchor="page20">
              <w:r>
                <w:rPr>
                  <w:rFonts w:ascii="Arial" w:cs="Arial" w:eastAsia="Arial" w:hAnsi="Arial"/>
                  <w:sz w:val="18"/>
                  <w:szCs w:val="18"/>
                  <w:color w:val="auto"/>
                </w:rPr>
                <w:t>Other Information</w:t>
              </w:r>
            </w:hyperlink>
          </w:p>
        </w:tc>
        <w:tc>
          <w:tcPr>
            <w:tcW w:w="186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rFonts w:ascii="Arial" w:cs="Arial" w:eastAsia="Arial" w:hAnsi="Arial"/>
                <w:sz w:val="18"/>
                <w:szCs w:val="18"/>
                <w:color w:val="auto"/>
              </w:rPr>
            </w:pPr>
            <w:hyperlink w:anchor="page21">
              <w:r>
                <w:rPr>
                  <w:rFonts w:ascii="Arial" w:cs="Arial" w:eastAsia="Arial" w:hAnsi="Arial"/>
                  <w:sz w:val="18"/>
                  <w:szCs w:val="18"/>
                  <w:color w:val="auto"/>
                </w:rPr>
                <w:t>Item 6.</w:t>
              </w:r>
            </w:hyperlink>
          </w:p>
        </w:tc>
        <w:tc>
          <w:tcPr>
            <w:tcW w:w="8400" w:type="dxa"/>
            <w:vAlign w:val="bottom"/>
            <w:gridSpan w:val="14"/>
          </w:tcPr>
          <w:p>
            <w:pPr>
              <w:spacing w:after="0" w:line="176" w:lineRule="exact"/>
              <w:rPr>
                <w:rFonts w:ascii="Arial" w:cs="Arial" w:eastAsia="Arial" w:hAnsi="Arial"/>
                <w:sz w:val="18"/>
                <w:szCs w:val="18"/>
                <w:color w:val="auto"/>
              </w:rPr>
            </w:pPr>
            <w:hyperlink w:anchor="page21">
              <w:r>
                <w:rPr>
                  <w:rFonts w:ascii="Arial" w:cs="Arial" w:eastAsia="Arial" w:hAnsi="Arial"/>
                  <w:sz w:val="18"/>
                  <w:szCs w:val="18"/>
                  <w:color w:val="auto"/>
                </w:rPr>
                <w:t>Exhibits</w:t>
              </w:r>
            </w:hyperlink>
          </w:p>
        </w:tc>
        <w:tc>
          <w:tcPr>
            <w:tcW w:w="186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Borders>
              <w:bottom w:val="single" w:sz="8" w:color="auto"/>
            </w:tcBorders>
            <w:gridSpan w:val="2"/>
          </w:tcPr>
          <w:p>
            <w:pPr>
              <w:spacing w:after="0" w:line="176" w:lineRule="exact"/>
              <w:rPr>
                <w:rFonts w:ascii="Arial" w:cs="Arial" w:eastAsia="Arial" w:hAnsi="Arial"/>
                <w:sz w:val="18"/>
                <w:szCs w:val="18"/>
                <w:color w:val="auto"/>
                <w:w w:val="85"/>
              </w:rPr>
            </w:pPr>
            <w:hyperlink w:anchor="page22">
              <w:r>
                <w:rPr>
                  <w:rFonts w:ascii="Arial" w:cs="Arial" w:eastAsia="Arial" w:hAnsi="Arial"/>
                  <w:sz w:val="18"/>
                  <w:szCs w:val="18"/>
                  <w:color w:val="auto"/>
                  <w:w w:val="85"/>
                </w:rPr>
                <w:t>Signatures</w:t>
              </w:r>
            </w:hyperlink>
          </w:p>
        </w:tc>
        <w:tc>
          <w:tcPr>
            <w:tcW w:w="7640" w:type="dxa"/>
            <w:vAlign w:val="bottom"/>
            <w:gridSpan w:val="12"/>
          </w:tcPr>
          <w:p>
            <w:pPr>
              <w:spacing w:after="0"/>
              <w:rPr>
                <w:sz w:val="15"/>
                <w:szCs w:val="15"/>
                <w:color w:val="auto"/>
              </w:rPr>
            </w:pPr>
          </w:p>
        </w:tc>
        <w:tc>
          <w:tcPr>
            <w:tcW w:w="186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9"/>
          </w:tcPr>
          <w:p>
            <w:pPr>
              <w:jc w:val="center"/>
              <w:ind w:left="3950"/>
              <w:spacing w:after="0"/>
              <w:rPr>
                <w:sz w:val="20"/>
                <w:szCs w:val="20"/>
                <w:color w:val="auto"/>
              </w:rPr>
            </w:pPr>
            <w:r>
              <w:rPr>
                <w:rFonts w:ascii="Arial" w:cs="Arial" w:eastAsia="Arial" w:hAnsi="Arial"/>
                <w:sz w:val="18"/>
                <w:szCs w:val="18"/>
                <w:color w:val="auto"/>
                <w:w w:val="99"/>
              </w:rPr>
              <w:t>2</w:t>
            </w:r>
          </w:p>
        </w:tc>
        <w:tc>
          <w:tcPr>
            <w:tcW w:w="1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080" w:type="dxa"/>
            <w:vAlign w:val="bottom"/>
          </w:tcPr>
          <w:p>
            <w:pPr>
              <w:jc w:val="center"/>
              <w:ind w:left="1690"/>
              <w:spacing w:after="0"/>
              <w:rPr>
                <w:sz w:val="20"/>
                <w:szCs w:val="20"/>
                <w:color w:val="auto"/>
              </w:rPr>
            </w:pPr>
            <w:r>
              <w:rPr>
                <w:rFonts w:ascii="Arial" w:cs="Arial" w:eastAsia="Arial" w:hAnsi="Arial"/>
                <w:sz w:val="18"/>
                <w:szCs w:val="18"/>
                <w:b w:val="1"/>
                <w:bCs w:val="1"/>
                <w:color w:val="auto"/>
                <w:w w:val="88"/>
              </w:rPr>
              <w:t>USA Technologies, Inc.</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80" w:type="dxa"/>
            <w:vAlign w:val="bottom"/>
          </w:tcPr>
          <w:p>
            <w:pPr>
              <w:jc w:val="center"/>
              <w:ind w:left="1710"/>
              <w:spacing w:after="0"/>
              <w:rPr>
                <w:sz w:val="20"/>
                <w:szCs w:val="20"/>
                <w:color w:val="auto"/>
              </w:rPr>
            </w:pPr>
            <w:r>
              <w:rPr>
                <w:rFonts w:ascii="Arial" w:cs="Arial" w:eastAsia="Arial" w:hAnsi="Arial"/>
                <w:sz w:val="18"/>
                <w:szCs w:val="18"/>
                <w:b w:val="1"/>
                <w:bCs w:val="1"/>
                <w:color w:val="auto"/>
                <w:w w:val="87"/>
              </w:rPr>
              <w:t>Consolidated Balance Sheets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September 30,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36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92"/>
              </w:rPr>
              <w:t>(unaudited)</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3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5,811,900</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5,981,000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 less allowance for uncollectible accounts of $32,000 and $18,000, respectively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1,923,038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2,620,684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color w:val="auto"/>
              </w:rPr>
              <w:t>Finance receivables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131,237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116,444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1,766,259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1,823,615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337,481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184,336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9,969,915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10,726,079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receivables, less current portion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432,552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18,098,035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17,240,065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432,100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7,663,208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7,663,208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82,687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84,117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36,678,497</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36,576,196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6,053,461</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7,301,247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1,496,148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color w:val="auto"/>
              </w:rPr>
              <w:t>Line of credit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obligations under long-term debt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332,052</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11,881,661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12,016,583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84,763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color w:val="auto"/>
              </w:rPr>
              <w:t>Accrued expenses, less current portion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356,585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366,785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47,156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color w:val="auto"/>
              </w:rPr>
              <w:t>Warrant liabilities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431,541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650,638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920,045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1,180,422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12,801,706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13,197,005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no par value: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gridSpan w:val="2"/>
          </w:tcPr>
          <w:p>
            <w:pPr>
              <w:spacing w:after="0" w:line="201" w:lineRule="exact"/>
              <w:rPr>
                <w:sz w:val="20"/>
                <w:szCs w:val="20"/>
                <w:color w:val="auto"/>
              </w:rPr>
            </w:pPr>
            <w:r>
              <w:rPr>
                <w:rFonts w:ascii="Arial" w:cs="Arial" w:eastAsia="Arial" w:hAnsi="Arial"/>
                <w:sz w:val="18"/>
                <w:szCs w:val="18"/>
                <w:color w:val="auto"/>
                <w:w w:val="92"/>
              </w:rPr>
              <w:t>Authorized shares- 1,800,000 Series A convertible preferred- Authorized shares- 900,000 Issued and outstanding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Arial" w:cs="Arial" w:eastAsia="Arial" w:hAnsi="Arial"/>
                <w:sz w:val="18"/>
                <w:szCs w:val="18"/>
                <w:color w:val="auto"/>
              </w:rPr>
              <w:t>shares- 442,968 (liquidation preference of $16,358,230 and $16,026,004, respectively)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3,138,056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3,138,056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no par value: Authorized shares- 640,000,000 Issued and outstanding shares- 33,457,677 and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33,284,232, respectively</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221,587,319</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221,383,373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(200,848,584)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(201,142,238)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23,876,791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23,379,191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36,678,497</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36,576,196</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340" w:type="dxa"/>
            <w:vAlign w:val="bottom"/>
            <w:tcBorders>
              <w:bottom w:val="single" w:sz="8" w:color="auto"/>
            </w:tcBorders>
            <w:gridSpan w:val="2"/>
          </w:tcPr>
          <w:p>
            <w:pPr>
              <w:jc w:val="center"/>
              <w:ind w:left="2950"/>
              <w:spacing w:after="0"/>
              <w:rPr>
                <w:sz w:val="20"/>
                <w:szCs w:val="20"/>
                <w:color w:val="auto"/>
              </w:rPr>
            </w:pPr>
            <w:r>
              <w:rPr>
                <w:rFonts w:ascii="Arial" w:cs="Arial" w:eastAsia="Arial" w:hAnsi="Arial"/>
                <w:sz w:val="18"/>
                <w:szCs w:val="18"/>
                <w:color w:val="auto"/>
                <w:w w:val="99"/>
              </w:rPr>
              <w:t>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380" w:type="dxa"/>
            <w:vAlign w:val="bottom"/>
          </w:tcPr>
          <w:p>
            <w:pPr>
              <w:spacing w:after="0"/>
              <w:rPr>
                <w:sz w:val="24"/>
                <w:szCs w:val="24"/>
                <w:color w:val="auto"/>
              </w:rPr>
            </w:pPr>
          </w:p>
        </w:tc>
        <w:tc>
          <w:tcPr>
            <w:tcW w:w="52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8"/>
              </w:rPr>
              <w:t>USA Technologies, Inc.</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9"/>
              </w:rPr>
              <w:t>Consolidated Statements of Operations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00" w:type="dxa"/>
            <w:vAlign w:val="bottom"/>
            <w:gridSpan w:val="2"/>
          </w:tcPr>
          <w:p>
            <w:pPr>
              <w:jc w:val="right"/>
              <w:ind w:right="2680"/>
              <w:spacing w:after="0"/>
              <w:rPr>
                <w:sz w:val="20"/>
                <w:szCs w:val="20"/>
                <w:color w:val="auto"/>
              </w:rPr>
            </w:pPr>
            <w:r>
              <w:rPr>
                <w:rFonts w:ascii="Arial" w:cs="Arial" w:eastAsia="Arial" w:hAnsi="Arial"/>
                <w:sz w:val="18"/>
                <w:szCs w:val="18"/>
                <w:b w:val="1"/>
                <w:bCs w:val="1"/>
                <w:color w:val="auto"/>
              </w:rPr>
              <w:t>(Unaudited)</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6"/>
          </w:tcPr>
          <w:p>
            <w:pPr>
              <w:jc w:val="center"/>
              <w:ind w:right="380"/>
              <w:spacing w:after="0"/>
              <w:rPr>
                <w:sz w:val="20"/>
                <w:szCs w:val="20"/>
                <w:color w:val="auto"/>
              </w:rPr>
            </w:pPr>
            <w:r>
              <w:rPr>
                <w:rFonts w:ascii="Arial" w:cs="Arial" w:eastAsia="Arial" w:hAnsi="Arial"/>
                <w:sz w:val="18"/>
                <w:szCs w:val="18"/>
                <w:color w:val="auto"/>
                <w:w w:val="87"/>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color w:val="auto"/>
                <w:w w:val="88"/>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66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4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and transaction fees</w:t>
            </w:r>
          </w:p>
        </w:tc>
        <w:tc>
          <w:tcPr>
            <w:tcW w:w="5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8,507,044</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6,906,356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Equipment sales</w:t>
            </w:r>
          </w:p>
        </w:tc>
        <w:tc>
          <w:tcPr>
            <w:tcW w:w="4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1,616,014</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1,483,921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9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10,123,058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8,390,277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services</w:t>
            </w:r>
          </w:p>
        </w:tc>
        <w:tc>
          <w:tcPr>
            <w:tcW w:w="4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5,409,463</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4,192,360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Cost of equipment</w:t>
            </w:r>
          </w:p>
        </w:tc>
        <w:tc>
          <w:tcPr>
            <w:tcW w:w="4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1,130,824</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1,053,636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9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3,582,771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3,144,281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Selling, general and administrative</w:t>
            </w:r>
          </w:p>
        </w:tc>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3,295,344</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3,215,125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4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158,509</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343,388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operating expenses</w:t>
            </w:r>
          </w:p>
        </w:tc>
        <w:tc>
          <w:tcPr>
            <w:tcW w:w="49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3,453,853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3,558,513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4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128,918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13,526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4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(60,976)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4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219,097</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463,133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49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171,647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16"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Cumulative preferred dividends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 applicable to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Net loss per common share (basic and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300,565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46,061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(6,911)</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(6,921)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293,654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39,140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(332,226)</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(332,226)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(38,572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(293,086</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60" w:space="720"/>
            <w:col w:w="2840"/>
          </w:cols>
          <w:pgMar w:left="240" w:top="21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2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2900" w:type="dxa"/>
            <w:vAlign w:val="bottom"/>
          </w:tcPr>
          <w:p>
            <w:pPr>
              <w:jc w:val="right"/>
              <w:ind w:right="230"/>
              <w:spacing w:after="0"/>
              <w:rPr>
                <w:sz w:val="20"/>
                <w:szCs w:val="20"/>
                <w:color w:val="auto"/>
              </w:rPr>
            </w:pPr>
            <w:r>
              <w:rPr>
                <w:rFonts w:ascii="Arial" w:cs="Arial" w:eastAsia="Arial" w:hAnsi="Arial"/>
                <w:sz w:val="18"/>
                <w:szCs w:val="18"/>
                <w:color w:val="auto"/>
              </w:rPr>
              <w:t>33,324,295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32,518,230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3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6"/>
          </w:tcPr>
          <w:p>
            <w:pPr>
              <w:jc w:val="center"/>
              <w:ind w:right="720"/>
              <w:spacing w:after="0"/>
              <w:rPr>
                <w:sz w:val="20"/>
                <w:szCs w:val="20"/>
                <w:color w:val="auto"/>
              </w:rPr>
            </w:pPr>
            <w:r>
              <w:rPr>
                <w:rFonts w:ascii="Arial" w:cs="Arial" w:eastAsia="Arial" w:hAnsi="Arial"/>
                <w:sz w:val="18"/>
                <w:szCs w:val="18"/>
                <w:b w:val="1"/>
                <w:bCs w:val="1"/>
                <w:color w:val="auto"/>
                <w:w w:val="88"/>
              </w:rPr>
              <w:t>USA Technologies, Inc.</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300" w:type="dxa"/>
            <w:vAlign w:val="bottom"/>
            <w:gridSpan w:val="11"/>
          </w:tcPr>
          <w:p>
            <w:pPr>
              <w:jc w:val="right"/>
              <w:ind w:right="25"/>
              <w:spacing w:after="0"/>
              <w:rPr>
                <w:sz w:val="20"/>
                <w:szCs w:val="20"/>
                <w:color w:val="auto"/>
              </w:rPr>
            </w:pPr>
            <w:r>
              <w:rPr>
                <w:rFonts w:ascii="Arial" w:cs="Arial" w:eastAsia="Arial" w:hAnsi="Arial"/>
                <w:sz w:val="18"/>
                <w:szCs w:val="18"/>
                <w:b w:val="1"/>
                <w:bCs w:val="1"/>
                <w:color w:val="auto"/>
              </w:rPr>
              <w:t>Consolidated Statement of Shareholders’ Equity</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(Unaudited)</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40" w:type="dxa"/>
            <w:vAlign w:val="bottom"/>
            <w:gridSpan w:val="4"/>
          </w:tcPr>
          <w:p>
            <w:pPr>
              <w:jc w:val="center"/>
              <w:ind w:left="610"/>
              <w:spacing w:after="0"/>
              <w:rPr>
                <w:sz w:val="20"/>
                <w:szCs w:val="20"/>
                <w:color w:val="auto"/>
              </w:rPr>
            </w:pPr>
            <w:r>
              <w:rPr>
                <w:rFonts w:ascii="Arial" w:cs="Arial" w:eastAsia="Arial" w:hAnsi="Arial"/>
                <w:sz w:val="18"/>
                <w:szCs w:val="18"/>
                <w:color w:val="auto"/>
                <w:w w:val="91"/>
              </w:rPr>
              <w:t>Series A</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40" w:type="dxa"/>
            <w:vAlign w:val="bottom"/>
            <w:gridSpan w:val="4"/>
          </w:tcPr>
          <w:p>
            <w:pPr>
              <w:jc w:val="center"/>
              <w:ind w:left="610"/>
              <w:spacing w:after="0"/>
              <w:rPr>
                <w:sz w:val="20"/>
                <w:szCs w:val="20"/>
                <w:color w:val="auto"/>
              </w:rPr>
            </w:pPr>
            <w:r>
              <w:rPr>
                <w:rFonts w:ascii="Arial" w:cs="Arial" w:eastAsia="Arial" w:hAnsi="Arial"/>
                <w:sz w:val="18"/>
                <w:szCs w:val="18"/>
                <w:color w:val="auto"/>
                <w:w w:val="94"/>
              </w:rPr>
              <w:t>Convertible</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w w:val="99"/>
              </w:rPr>
              <w:t>Accumulated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40" w:type="dxa"/>
            <w:vAlign w:val="bottom"/>
            <w:gridSpan w:val="4"/>
          </w:tcPr>
          <w:p>
            <w:pPr>
              <w:jc w:val="center"/>
              <w:ind w:left="630"/>
              <w:spacing w:after="0"/>
              <w:rPr>
                <w:sz w:val="20"/>
                <w:szCs w:val="20"/>
                <w:color w:val="auto"/>
              </w:rPr>
            </w:pPr>
            <w:r>
              <w:rPr>
                <w:rFonts w:ascii="Arial" w:cs="Arial" w:eastAsia="Arial" w:hAnsi="Arial"/>
                <w:sz w:val="18"/>
                <w:szCs w:val="18"/>
                <w:color w:val="auto"/>
                <w:w w:val="89"/>
              </w:rPr>
              <w:t>Preferred Stock</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6"/>
          </w:tcPr>
          <w:p>
            <w:pPr>
              <w:jc w:val="right"/>
              <w:ind w:right="880"/>
              <w:spacing w:after="0"/>
              <w:rPr>
                <w:sz w:val="20"/>
                <w:szCs w:val="20"/>
                <w:color w:val="auto"/>
              </w:rPr>
            </w:pPr>
            <w:r>
              <w:rPr>
                <w:rFonts w:ascii="Arial" w:cs="Arial" w:eastAsia="Arial" w:hAnsi="Arial"/>
                <w:sz w:val="18"/>
                <w:szCs w:val="18"/>
                <w:color w:val="auto"/>
              </w:rPr>
              <w:t>Common Stock</w:t>
            </w:r>
          </w:p>
        </w:tc>
        <w:tc>
          <w:tcPr>
            <w:tcW w:w="128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gridSpan w:val="3"/>
            <w:vMerge w:val="restart"/>
          </w:tcPr>
          <w:p>
            <w:pPr>
              <w:spacing w:after="0"/>
              <w:rPr>
                <w:sz w:val="20"/>
                <w:szCs w:val="20"/>
                <w:color w:val="auto"/>
              </w:rPr>
            </w:pPr>
            <w:r>
              <w:rPr>
                <w:rFonts w:ascii="Arial" w:cs="Arial" w:eastAsia="Arial" w:hAnsi="Arial"/>
                <w:sz w:val="18"/>
                <w:szCs w:val="18"/>
                <w:color w:val="auto"/>
              </w:rPr>
              <w:t>Balance, June 30, 2013</w:t>
            </w:r>
          </w:p>
        </w:tc>
        <w:tc>
          <w:tcPr>
            <w:tcW w:w="128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340" w:type="dxa"/>
            <w:vAlign w:val="bottom"/>
            <w:gridSpan w:val="3"/>
            <w:vMerge w:val="continue"/>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442,968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7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3,138,056</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33,284,232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221,383,373</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(201,142,238)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23,379,191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Exercise of 118,141 warrants at $1.13</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resulting in issuance of common stock</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118,141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133,500</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133,500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 to employees and directors and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vesting of shares under the 2010 Stock</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Incentive Plan</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752</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stock to employees and directors and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vesting of shares under the 2011 Stock</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Incentive Plan</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51,667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11,928</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11,928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 to employees and directors and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vesting of shares under the 2012 Stock</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Incentive Plan</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11,016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71,712</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Retirement of common stock</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(7,379)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(13,946)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(13,946)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293,654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293,654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September 30, 2013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442,968</w:t>
            </w:r>
          </w:p>
        </w:tc>
        <w:tc>
          <w:tcPr>
            <w:tcW w:w="1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3,138,056</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33,457,677</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221,587,319</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(200,848,584)</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23,876,791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4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40" w:type="dxa"/>
            <w:vAlign w:val="bottom"/>
            <w:gridSpan w:val="3"/>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9"/>
              </w:rPr>
              <w:t>5</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820" w:type="dxa"/>
            <w:vAlign w:val="bottom"/>
          </w:tcPr>
          <w:p>
            <w:pPr>
              <w:jc w:val="center"/>
              <w:ind w:left="1950"/>
              <w:spacing w:after="0"/>
              <w:rPr>
                <w:sz w:val="20"/>
                <w:szCs w:val="20"/>
                <w:color w:val="auto"/>
              </w:rPr>
            </w:pPr>
            <w:r>
              <w:rPr>
                <w:rFonts w:ascii="Arial" w:cs="Arial" w:eastAsia="Arial" w:hAnsi="Arial"/>
                <w:sz w:val="18"/>
                <w:szCs w:val="18"/>
                <w:b w:val="1"/>
                <w:bCs w:val="1"/>
                <w:color w:val="auto"/>
                <w:w w:val="88"/>
              </w:rPr>
              <w:t>USA Technologies, Inc.</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20" w:type="dxa"/>
            <w:vAlign w:val="bottom"/>
          </w:tcPr>
          <w:p>
            <w:pPr>
              <w:jc w:val="center"/>
              <w:ind w:left="195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20" w:type="dxa"/>
            <w:vAlign w:val="bottom"/>
          </w:tcPr>
          <w:p>
            <w:pPr>
              <w:jc w:val="center"/>
              <w:ind w:left="1950"/>
              <w:spacing w:after="0"/>
              <w:rPr>
                <w:sz w:val="20"/>
                <w:szCs w:val="20"/>
                <w:color w:val="auto"/>
              </w:rPr>
            </w:pPr>
            <w:r>
              <w:rPr>
                <w:rFonts w:ascii="Arial" w:cs="Arial" w:eastAsia="Arial" w:hAnsi="Arial"/>
                <w:sz w:val="18"/>
                <w:szCs w:val="18"/>
                <w:b w:val="1"/>
                <w:bCs w:val="1"/>
                <w:color w:val="auto"/>
                <w:w w:val="93"/>
              </w:rPr>
              <w:t>(Unaudited)</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6"/>
          </w:tcPr>
          <w:p>
            <w:pPr>
              <w:jc w:val="center"/>
              <w:ind w:right="380"/>
              <w:spacing w:after="0"/>
              <w:rPr>
                <w:sz w:val="20"/>
                <w:szCs w:val="20"/>
                <w:color w:val="auto"/>
              </w:rPr>
            </w:pPr>
            <w:r>
              <w:rPr>
                <w:rFonts w:ascii="Arial" w:cs="Arial" w:eastAsia="Arial" w:hAnsi="Arial"/>
                <w:sz w:val="18"/>
                <w:szCs w:val="18"/>
                <w:color w:val="auto"/>
                <w:w w:val="87"/>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color w:val="auto"/>
                <w:w w:val="88"/>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00" w:type="dxa"/>
            <w:vAlign w:val="bottom"/>
            <w:gridSpan w:val="3"/>
            <w:vMerge w:val="restart"/>
          </w:tcPr>
          <w:p>
            <w:pPr>
              <w:spacing w:after="0"/>
              <w:rPr>
                <w:sz w:val="20"/>
                <w:szCs w:val="20"/>
                <w:color w:val="auto"/>
              </w:rPr>
            </w:pPr>
            <w:r>
              <w:rPr>
                <w:rFonts w:ascii="Arial" w:cs="Arial" w:eastAsia="Arial" w:hAnsi="Arial"/>
                <w:sz w:val="18"/>
                <w:szCs w:val="18"/>
                <w:color w:val="auto"/>
              </w:rPr>
              <w:t>OPERATING ACTIVITIES:</w:t>
            </w:r>
          </w:p>
        </w:tc>
        <w:tc>
          <w:tcPr>
            <w:tcW w:w="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gridSpan w:val="3"/>
            <w:vMerge w:val="continue"/>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293,654</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Charges incurred in connection with the vesting and issuance of common stock for employee and director</w:t>
            </w: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compensation</w:t>
            </w: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84,392</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Loss on disposal of property and equipment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14,935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interest and amortization of debt discount</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2,095</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Bad debt expense (recoveries), net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26,431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1,218,071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21,953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(219,097)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Provision for deferred tax liability</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6,911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705,115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receivables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(38,671)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78,017</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1,331,390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(51,960)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(1,247,786)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(115,452)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17,764</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(1,451,446)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911,824</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Purchase of property and equipment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(14,626)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property for rental program</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(2,074,975)</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(2,075,390)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16"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Net proceeds from the exercise of common stock warrants and the retirement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Proceeds from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Repayment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jc w:val="both"/>
        <w:ind w:left="500"/>
        <w:spacing w:after="0"/>
        <w:tabs>
          <w:tab w:leader="none" w:pos="1940" w:val="left"/>
        </w:tabs>
        <w:rPr>
          <w:sz w:val="20"/>
          <w:szCs w:val="20"/>
          <w:color w:val="auto"/>
        </w:rPr>
      </w:pPr>
      <w:r>
        <w:rPr>
          <w:rFonts w:ascii="Arial" w:cs="Arial" w:eastAsia="Arial" w:hAnsi="Arial"/>
          <w:sz w:val="18"/>
          <w:szCs w:val="18"/>
          <w:color w:val="auto"/>
        </w:rPr>
        <w:t>(2,089,601)</w:t>
      </w:r>
      <w:r>
        <w:rPr>
          <w:sz w:val="20"/>
          <w:szCs w:val="20"/>
          <w:color w:val="auto"/>
        </w:rPr>
        <w:tab/>
      </w:r>
      <w:r>
        <w:rPr>
          <w:rFonts w:ascii="Arial" w:cs="Arial" w:eastAsia="Arial" w:hAnsi="Arial"/>
          <w:sz w:val="18"/>
          <w:szCs w:val="18"/>
          <w:color w:val="auto"/>
        </w:rPr>
        <w:t>(2,076,915)</w:t>
      </w:r>
    </w:p>
    <w:p>
      <w:pPr>
        <w:spacing w:after="0" w:line="200" w:lineRule="exact"/>
        <w:rPr>
          <w:sz w:val="20"/>
          <w:szCs w:val="20"/>
          <w:color w:val="auto"/>
        </w:rPr>
      </w:pPr>
    </w:p>
    <w:p>
      <w:pPr>
        <w:spacing w:after="0" w:line="241" w:lineRule="exact"/>
        <w:rPr>
          <w:sz w:val="20"/>
          <w:szCs w:val="20"/>
          <w:color w:val="auto"/>
        </w:rPr>
      </w:pPr>
    </w:p>
    <w:p>
      <w:pPr>
        <w:ind w:left="780"/>
        <w:spacing w:after="0"/>
        <w:tabs>
          <w:tab w:leader="none" w:pos="2660" w:val="left"/>
        </w:tabs>
        <w:rPr>
          <w:sz w:val="20"/>
          <w:szCs w:val="20"/>
          <w:color w:val="auto"/>
        </w:rPr>
      </w:pPr>
      <w:r>
        <w:rPr>
          <w:rFonts w:ascii="Arial" w:cs="Arial" w:eastAsia="Arial" w:hAnsi="Arial"/>
          <w:sz w:val="18"/>
          <w:szCs w:val="18"/>
          <w:color w:val="auto"/>
        </w:rPr>
        <w:t>85,654</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560"/>
        <w:spacing w:after="0"/>
        <w:tabs>
          <w:tab w:leader="none" w:pos="2000" w:val="left"/>
        </w:tabs>
        <w:rPr>
          <w:sz w:val="20"/>
          <w:szCs w:val="20"/>
          <w:color w:val="auto"/>
        </w:rPr>
      </w:pPr>
      <w:r>
        <w:rPr>
          <w:rFonts w:ascii="Arial" w:cs="Arial" w:eastAsia="Arial" w:hAnsi="Arial"/>
          <w:sz w:val="17"/>
          <w:szCs w:val="17"/>
          <w:color w:val="auto"/>
        </w:rPr>
        <w:t>1,000,000</w:t>
      </w:r>
      <w:r>
        <w:rPr>
          <w:sz w:val="20"/>
          <w:szCs w:val="20"/>
          <w:color w:val="auto"/>
        </w:rPr>
        <w:tab/>
      </w:r>
      <w:r>
        <w:rPr>
          <w:rFonts w:ascii="Arial" w:cs="Arial" w:eastAsia="Arial" w:hAnsi="Arial"/>
          <w:sz w:val="17"/>
          <w:szCs w:val="17"/>
          <w:color w:val="auto"/>
        </w:rPr>
        <w:t>1,337,779</w:t>
      </w:r>
    </w:p>
    <w:p>
      <w:pPr>
        <w:spacing w:after="0" w:line="21" w:lineRule="exact"/>
        <w:rPr>
          <w:sz w:val="20"/>
          <w:szCs w:val="20"/>
          <w:color w:val="auto"/>
        </w:rPr>
      </w:pPr>
    </w:p>
    <w:p>
      <w:pPr>
        <w:jc w:val="right"/>
        <w:ind w:right="40"/>
        <w:spacing w:after="0"/>
        <w:tabs>
          <w:tab w:leader="none" w:pos="700" w:val="left"/>
        </w:tabs>
        <w:rPr>
          <w:sz w:val="20"/>
          <w:szCs w:val="20"/>
          <w:color w:val="auto"/>
        </w:rPr>
      </w:pPr>
      <w:r>
        <w:rPr>
          <w:rFonts w:ascii="Arial" w:cs="Arial" w:eastAsia="Arial" w:hAnsi="Arial"/>
          <w:sz w:val="18"/>
          <w:szCs w:val="18"/>
          <w:color w:val="auto"/>
        </w:rPr>
        <w:t>(76,977)</w:t>
      </w:r>
      <w:r>
        <w:rPr>
          <w:sz w:val="20"/>
          <w:szCs w:val="20"/>
          <w:color w:val="auto"/>
        </w:rPr>
        <w:tab/>
      </w:r>
      <w:r>
        <w:rPr>
          <w:rFonts w:ascii="Arial" w:cs="Arial" w:eastAsia="Arial" w:hAnsi="Arial"/>
          <w:sz w:val="16"/>
          <w:szCs w:val="16"/>
          <w:color w:val="auto"/>
        </w:rPr>
        <w:t>(161,816)</w:t>
      </w:r>
    </w:p>
    <w:p>
      <w:pPr>
        <w:spacing w:after="0" w:line="251" w:lineRule="exact"/>
        <w:rPr>
          <w:sz w:val="20"/>
          <w:szCs w:val="20"/>
          <w:color w:val="auto"/>
        </w:rPr>
      </w:pPr>
    </w:p>
    <w:p>
      <w:pPr>
        <w:ind w:left="560"/>
        <w:spacing w:after="0"/>
        <w:tabs>
          <w:tab w:leader="none" w:pos="2000" w:val="left"/>
        </w:tabs>
        <w:rPr>
          <w:sz w:val="20"/>
          <w:szCs w:val="20"/>
          <w:color w:val="auto"/>
        </w:rPr>
      </w:pPr>
      <w:r>
        <w:rPr>
          <w:rFonts w:ascii="Arial" w:cs="Arial" w:eastAsia="Arial" w:hAnsi="Arial"/>
          <w:sz w:val="17"/>
          <w:szCs w:val="17"/>
          <w:color w:val="auto"/>
        </w:rPr>
        <w:t>1,008,677</w:t>
      </w:r>
      <w:r>
        <w:rPr>
          <w:sz w:val="20"/>
          <w:szCs w:val="20"/>
          <w:color w:val="auto"/>
        </w:rPr>
        <w:tab/>
      </w:r>
      <w:r>
        <w:rPr>
          <w:rFonts w:ascii="Arial" w:cs="Arial" w:eastAsia="Arial" w:hAnsi="Arial"/>
          <w:sz w:val="17"/>
          <w:szCs w:val="17"/>
          <w:color w:val="auto"/>
        </w:rPr>
        <w:t>1,175,963</w:t>
      </w:r>
    </w:p>
    <w:p>
      <w:pPr>
        <w:spacing w:after="0" w:line="250" w:lineRule="exact"/>
        <w:rPr>
          <w:sz w:val="20"/>
          <w:szCs w:val="20"/>
          <w:color w:val="auto"/>
        </w:rPr>
      </w:pPr>
    </w:p>
    <w:p>
      <w:pPr>
        <w:jc w:val="both"/>
        <w:ind w:left="620"/>
        <w:spacing w:after="0"/>
        <w:tabs>
          <w:tab w:leader="none" w:pos="2060" w:val="left"/>
        </w:tabs>
        <w:rPr>
          <w:sz w:val="20"/>
          <w:szCs w:val="20"/>
          <w:color w:val="auto"/>
        </w:rPr>
      </w:pPr>
      <w:r>
        <w:rPr>
          <w:rFonts w:ascii="Arial" w:cs="Arial" w:eastAsia="Arial" w:hAnsi="Arial"/>
          <w:sz w:val="18"/>
          <w:szCs w:val="18"/>
          <w:color w:val="auto"/>
        </w:rPr>
        <w:t>(169,100)</w:t>
      </w:r>
      <w:r>
        <w:rPr>
          <w:sz w:val="20"/>
          <w:szCs w:val="20"/>
          <w:color w:val="auto"/>
        </w:rPr>
        <w:tab/>
      </w:r>
      <w:r>
        <w:rPr>
          <w:rFonts w:ascii="Arial" w:cs="Arial" w:eastAsia="Arial" w:hAnsi="Arial"/>
          <w:sz w:val="18"/>
          <w:szCs w:val="18"/>
          <w:color w:val="auto"/>
        </w:rPr>
        <w:t>(222,942)</w:t>
      </w:r>
    </w:p>
    <w:p>
      <w:pPr>
        <w:spacing w:after="0" w:line="23" w:lineRule="exact"/>
        <w:rPr>
          <w:sz w:val="20"/>
          <w:szCs w:val="20"/>
          <w:color w:val="auto"/>
        </w:rPr>
      </w:pPr>
    </w:p>
    <w:p>
      <w:pPr>
        <w:ind w:left="560"/>
        <w:spacing w:after="0"/>
        <w:tabs>
          <w:tab w:leader="none" w:pos="2000" w:val="left"/>
        </w:tabs>
        <w:rPr>
          <w:sz w:val="20"/>
          <w:szCs w:val="20"/>
          <w:color w:val="auto"/>
        </w:rPr>
      </w:pPr>
      <w:r>
        <w:rPr>
          <w:rFonts w:ascii="Arial" w:cs="Arial" w:eastAsia="Arial" w:hAnsi="Arial"/>
          <w:sz w:val="17"/>
          <w:szCs w:val="17"/>
          <w:color w:val="auto"/>
        </w:rPr>
        <w:t>5,981,000</w:t>
      </w:r>
      <w:r>
        <w:rPr>
          <w:sz w:val="20"/>
          <w:szCs w:val="20"/>
          <w:color w:val="auto"/>
        </w:rPr>
        <w:tab/>
      </w:r>
      <w:r>
        <w:rPr>
          <w:rFonts w:ascii="Arial" w:cs="Arial" w:eastAsia="Arial" w:hAnsi="Arial"/>
          <w:sz w:val="17"/>
          <w:szCs w:val="17"/>
          <w:color w:val="auto"/>
        </w:rPr>
        <w:t>6,426,645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17322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7" w:lineRule="exact"/>
        <w:rPr>
          <w:sz w:val="20"/>
          <w:szCs w:val="20"/>
          <w:color w:val="auto"/>
        </w:rPr>
      </w:pPr>
    </w:p>
    <w:p>
      <w:pPr>
        <w:spacing w:after="0"/>
        <w:tabs>
          <w:tab w:leader="none" w:pos="540" w:val="left"/>
          <w:tab w:leader="none" w:pos="1460" w:val="left"/>
          <w:tab w:leader="none" w:pos="2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5,811,900</w:t>
        <w:tab/>
        <w:t>$</w:t>
      </w:r>
      <w:r>
        <w:rPr>
          <w:sz w:val="20"/>
          <w:szCs w:val="20"/>
          <w:color w:val="auto"/>
        </w:rPr>
        <w:tab/>
      </w:r>
      <w:r>
        <w:rPr>
          <w:rFonts w:ascii="Arial" w:cs="Arial" w:eastAsia="Arial" w:hAnsi="Arial"/>
          <w:sz w:val="16"/>
          <w:szCs w:val="16"/>
          <w:color w:val="auto"/>
        </w:rPr>
        <w:t>6,203,703</w:t>
      </w:r>
    </w:p>
    <w:p>
      <w:pPr>
        <w:spacing w:after="0" w:line="23" w:lineRule="exact"/>
        <w:rPr>
          <w:sz w:val="20"/>
          <w:szCs w:val="20"/>
          <w:color w:val="auto"/>
        </w:rPr>
      </w:pPr>
    </w:p>
    <w:p>
      <w:pPr>
        <w:sectPr>
          <w:pgSz w:w="11900" w:h="16838" w:orient="portrait"/>
          <w:cols w:equalWidth="0" w:num="2">
            <w:col w:w="7860" w:space="720"/>
            <w:col w:w="2840"/>
          </w:cols>
          <w:pgMar w:left="240" w:top="216"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6200" w:type="dxa"/>
            <w:vAlign w:val="bottom"/>
            <w:tcBorders>
              <w:top w:val="single" w:sz="8" w:color="CCEEFF"/>
            </w:tcBorders>
            <w:shd w:val="clear" w:color="auto" w:fill="CCEEFF"/>
          </w:tcPr>
          <w:p>
            <w:pPr>
              <w:spacing w:after="0"/>
              <w:rPr>
                <w:sz w:val="20"/>
                <w:szCs w:val="20"/>
                <w:color w:val="auto"/>
              </w:rPr>
            </w:pPr>
          </w:p>
        </w:tc>
        <w:tc>
          <w:tcPr>
            <w:tcW w:w="23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i w:val="1"/>
                <w:iCs w:val="1"/>
                <w:color w:val="auto"/>
              </w:rPr>
              <w:t>Supplemental disclosures of cash flow information:</w:t>
            </w:r>
          </w:p>
        </w:tc>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69,735</w:t>
            </w:r>
          </w:p>
        </w:tc>
        <w:tc>
          <w:tcPr>
            <w:tcW w:w="3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26,150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Depreciation expense allocated to cost of sales</w:t>
            </w:r>
          </w:p>
        </w:tc>
        <w:tc>
          <w:tcPr>
            <w:tcW w:w="23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0" w:type="dxa"/>
            <w:vAlign w:val="bottom"/>
            <w:tcBorders>
              <w:bottom w:val="single" w:sz="8" w:color="CCEEFF"/>
            </w:tcBorders>
            <w:vMerge w:val="continue"/>
          </w:tcPr>
          <w:p>
            <w:pPr>
              <w:spacing w:after="0"/>
              <w:rPr>
                <w:sz w:val="20"/>
                <w:szCs w:val="20"/>
                <w:color w:val="auto"/>
              </w:rPr>
            </w:pPr>
          </w:p>
        </w:tc>
        <w:tc>
          <w:tcPr>
            <w:tcW w:w="23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1,081,515</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676,218</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2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Reclass of rental program property to inventory</w:t>
            </w:r>
          </w:p>
        </w:tc>
        <w:tc>
          <w:tcPr>
            <w:tcW w:w="23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20,661</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5,559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Prepaid items financed with debt</w:t>
            </w:r>
          </w:p>
        </w:tc>
        <w:tc>
          <w:tcPr>
            <w:tcW w:w="23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0" w:type="dxa"/>
            <w:vAlign w:val="bottom"/>
            <w:tcBorders>
              <w:bottom w:val="single" w:sz="8" w:color="CCEEFF"/>
            </w:tcBorders>
            <w:vMerge w:val="continue"/>
          </w:tcPr>
          <w:p>
            <w:pPr>
              <w:spacing w:after="0"/>
              <w:rPr>
                <w:sz w:val="20"/>
                <w:szCs w:val="20"/>
                <w:color w:val="auto"/>
              </w:rPr>
            </w:pPr>
          </w:p>
        </w:tc>
        <w:tc>
          <w:tcPr>
            <w:tcW w:w="23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101,850</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128,062</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2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Equipment and software acquired under capital lease</w:t>
            </w:r>
          </w:p>
        </w:tc>
        <w:tc>
          <w:tcPr>
            <w:tcW w:w="23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22,036</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Disposal of property and equipment</w:t>
            </w:r>
          </w:p>
        </w:tc>
        <w:tc>
          <w:tcPr>
            <w:tcW w:w="23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vMerge w:val="continue"/>
          </w:tcPr>
          <w:p>
            <w:pPr>
              <w:spacing w:after="0"/>
              <w:rPr>
                <w:sz w:val="17"/>
                <w:szCs w:val="17"/>
                <w:color w:val="auto"/>
              </w:rPr>
            </w:pPr>
          </w:p>
        </w:tc>
        <w:tc>
          <w:tcPr>
            <w:tcW w:w="23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174,204</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216" w:right="2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USA Technologies, Inc. (the “Company”, “We” or “Our”), was incorporated in the Commonwealth of Pennsylvania in January 1992 and provides wireless networking, cashless transactions, asset monitoring and other value-added services principally to the small ticket unattended retail markets. Our ePort</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technology can be installed and/or embedded into everyday devices such as vending machines, a variety of kiosks, and amusement and arcade machines and</w:t>
      </w:r>
    </w:p>
    <w:p>
      <w:pPr>
        <w:spacing w:after="0" w:line="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smartphones via our ePort Mobile™ solution. Our associated service, ePort Connect</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is a PCI-compliant, comprehensive service that includes simplified credit/debit card processing and support, consumer engagement services, as well as telemetry and machine-to-machine (“M2M”) services, including the ability to remotely monitor, control and report on the results of distributed assets containing our electronic payment solutions. In addition, the Company provides energy management products, such as its VendingMiser</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and CoolerMiser™, which reduce energy consumption in vending machines and coolers.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Annual Report on Form 10-K for the year ended June 30, 2013. In the opinion of management, all adjustments considered necessary for a fair presentation, consisting of normal recurring adjustments, have been included. Operating results for the three month period ended September 30, 2013 are not necessarily indicative of the results that may be expected for the year ending June 30, 2014. The balance sheet at June 30, 2013 has been derived from the audited consolidated financial statements at that date, but does not include all of the information and footnotes required by U.S. generally accepted accounting principles for complete financial statements.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Strategies to drive growth have resulted in net income of $293,654 for the quarter ended September 30, 2013. The Company had net income of $854,123 for the year ended June 30, 2013. The impact on net income of future changes to the fair value of our warrant liabilities, which is subject to secondary market conditions, is not reasonably predictable. The Company’s ability to meet its future obligations is dependent upon the success of its products and services in the marketplace and the available capital resources. Until the Company’s products and services can generate sufficient annual revenues, the Company will be required to use its cash and cash equivalents on hand, and its line of credit (see Note 4), and may raise capital to meet its cash flow requirements including the issuance of Common Stock and the exercise of outstanding Common Stock warrants.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wholly-owned subsidiaries, Stitch Networks Corporation (“Stitch”) and USAT Capital Corp LLC (“USAT Capital”). All significant intercompany accounts and transactions have been eliminated in consolidation.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equivalents represent all highly liquid investments with original maturities of three months or less. Cash equivalents are comprised of money market funds. The Company maintains its cash in bank deposit accounts, which may exceed federally insured limits at times.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2013 and June 30, 2013, none of the cash and cash equivalents of the Company was payable to our customers. Included in accounts receivable are amounts for transactions processed with our card processers for which cash has not been received by the Company and included in accounts payable are amounts for transactions processed with our card processers and due to our customers, which are recorded net of fees due to the Company. Generally, contractual terms require us to remit amounts owed to our customers on a weekly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offers extended payment terms to certain customers for equipment sales under its Quick Start Program. Notes receivable or Quick Start leases are generally for a 36 or 60 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Accounting Standards Board (“FASB”) issued Accounting Standards Update (“ASU”) 2010-06, “Fair Value Measurements and Disclosures (“Topic 820”): Improving Disclosures about Fair Value Measurements.” ASU 2010-06 amends certain disclosure requirements of Subtopic 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assets and liabilities are measured using inputs from the three levels of the fair value hierarchy. The three levels are as follows: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principally cash equivalents, accounts receivable, finance receivables, prepaid expenses and other assets, accounts payable and accrued expenses, are carried at cost which approximates fair value due to the short-term maturity of these instruments. The fair value of the Company’s obligations under its long-term debt and credit agreements approximates their carrying value, as such instruments are at market rates currently available to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Equity Awards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718, the cost of employee services received in exchange for an award of equity instruments is based on the grant-date fair value of the award and allocated over the vesting period of the award.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provision for income taxes of $6,911 and $6,921 (all deferred income taxes) was recorded for the three months ended September 30, 2013 and 2012, respectively. The provision for income taxes is not a function of nor related to the income before provision for income taxes for the periods because the Company has significant operating loss carryforwards that are available to negate any taxable income that would create current liabilities for income taxes. The provision for income taxes relates to the amortization of indefinite life intangible assets and goodwill that are being amortized for income tax purposes but not for financial reporting purposes giving rise to basis differences in such assets between financial and income tax reporting.</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substantial operating loss carryforwards and other items that create net deferred tax assets that have been offset by a valuation allowance as the realization of the deferred tax assets is not likely, principally due to a lack of earnings history. The deferred tax liabilities related to the amortization of the indefinite life assets are not subject to offset against deferred tax assets with finite lives. As of September 30, 2013 and June 30, 2013, deferred tax liabilities of $47,156 and $40,245, respectively, were recorded for the potential future state and federal income tax effects for these basis differences.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Per Common Share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Basic earnings per share are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year plus the effect of potential common shares unless such effect is anti-dilutive.</w:t>
      </w:r>
    </w:p>
    <w:p>
      <w:pPr>
        <w:sectPr>
          <w:pgSz w:w="11900" w:h="16838" w:orient="portrait"/>
          <w:cols w:equalWidth="0" w:num="1">
            <w:col w:w="11420"/>
          </w:cols>
          <w:pgMar w:left="240" w:top="233" w:right="2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FINANCE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Finance Receivables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Total finance receivables</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jc w:val="right"/>
        <w:ind w:right="2320"/>
        <w:spacing w:after="0"/>
        <w:rPr>
          <w:sz w:val="20"/>
          <w:szCs w:val="20"/>
          <w:color w:val="auto"/>
        </w:rPr>
      </w:pPr>
      <w:r>
        <w:rPr>
          <w:rFonts w:ascii="Arial" w:cs="Arial" w:eastAsia="Arial" w:hAnsi="Arial"/>
          <w:sz w:val="18"/>
          <w:szCs w:val="18"/>
          <w:color w:val="auto"/>
        </w:rPr>
        <w:t>Non-current portion of finance receivables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September 30,</w:t>
            </w:r>
          </w:p>
        </w:tc>
        <w:tc>
          <w:tcPr>
            <w:tcW w:w="18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w w:val="95"/>
              </w:rPr>
              <w:t>June 30,</w:t>
            </w:r>
          </w:p>
        </w:tc>
      </w:tr>
      <w:tr>
        <w:trPr>
          <w:trHeight w:val="230"/>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2013</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2"/>
              </w:rPr>
              <w:t>(unaudited)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563,789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525,118</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131,237</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116,444</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432,552</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408,674</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20" w:space="720"/>
            <w:col w:w="3880"/>
          </w:cols>
          <w:pgMar w:left="240" w:top="233" w:right="239" w:bottom="1440" w:gutter="0" w:footer="0" w:header="0"/>
          <w:type w:val="continuous"/>
        </w:sectPr>
      </w:pPr>
    </w:p>
    <w:p>
      <w:pPr>
        <w:spacing w:after="0" w:line="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September 30, 2013 and June 30, 2013, there was no allowance for credit losses of finance receivables. As the Company collects monthly payments of the receivables from the customers’ transaction funds, the risk of loss was determined to be remote.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4580" w:type="dxa"/>
            <w:vAlign w:val="bottom"/>
          </w:tcPr>
          <w:p>
            <w:pPr>
              <w:jc w:val="center"/>
              <w:ind w:left="1610"/>
              <w:spacing w:after="0"/>
              <w:rPr>
                <w:sz w:val="20"/>
                <w:szCs w:val="20"/>
                <w:color w:val="auto"/>
              </w:rPr>
            </w:pPr>
            <w:r>
              <w:rPr>
                <w:rFonts w:ascii="Arial" w:cs="Arial" w:eastAsia="Arial" w:hAnsi="Arial"/>
                <w:sz w:val="18"/>
                <w:szCs w:val="18"/>
                <w:color w:val="auto"/>
                <w:w w:val="93"/>
              </w:rPr>
              <w:t>Credit Quality Indicators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580" w:type="dxa"/>
            <w:vAlign w:val="bottom"/>
          </w:tcPr>
          <w:p>
            <w:pPr>
              <w:jc w:val="center"/>
              <w:ind w:left="1610"/>
              <w:spacing w:after="0"/>
              <w:rPr>
                <w:sz w:val="20"/>
                <w:szCs w:val="20"/>
                <w:color w:val="auto"/>
              </w:rPr>
            </w:pPr>
            <w:r>
              <w:rPr>
                <w:rFonts w:ascii="Arial" w:cs="Arial" w:eastAsia="Arial" w:hAnsi="Arial"/>
                <w:sz w:val="18"/>
                <w:szCs w:val="18"/>
                <w:color w:val="auto"/>
                <w:w w:val="89"/>
              </w:rPr>
              <w:t>As of September 30, 2013</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4580" w:type="dxa"/>
            <w:vAlign w:val="bottom"/>
          </w:tcPr>
          <w:p>
            <w:pPr>
              <w:jc w:val="center"/>
              <w:ind w:left="1590"/>
              <w:spacing w:after="0"/>
              <w:rPr>
                <w:sz w:val="20"/>
                <w:szCs w:val="20"/>
                <w:color w:val="auto"/>
              </w:rPr>
            </w:pPr>
            <w:r>
              <w:rPr>
                <w:rFonts w:ascii="Arial" w:cs="Arial" w:eastAsia="Arial" w:hAnsi="Arial"/>
                <w:sz w:val="18"/>
                <w:szCs w:val="18"/>
                <w:color w:val="auto"/>
                <w:w w:val="90"/>
              </w:rPr>
              <w:t>(unaudited)</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60" w:type="dxa"/>
            <w:vAlign w:val="bottom"/>
            <w:gridSpan w:val="2"/>
          </w:tcPr>
          <w:p>
            <w:pPr>
              <w:ind w:left="2580"/>
              <w:spacing w:after="0"/>
              <w:rPr>
                <w:sz w:val="20"/>
                <w:szCs w:val="20"/>
                <w:color w:val="auto"/>
              </w:rPr>
            </w:pPr>
            <w:r>
              <w:rPr>
                <w:rFonts w:ascii="Arial" w:cs="Arial" w:eastAsia="Arial" w:hAnsi="Arial"/>
                <w:sz w:val="18"/>
                <w:szCs w:val="18"/>
                <w:color w:val="auto"/>
              </w:rPr>
              <w:t>Credit risk profile based on payment activity:</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Leases</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160" w:type="dxa"/>
            <w:vAlign w:val="bottom"/>
            <w:gridSpan w:val="2"/>
          </w:tcPr>
          <w:p>
            <w:pPr>
              <w:ind w:left="2580"/>
              <w:spacing w:after="0"/>
              <w:rPr>
                <w:sz w:val="20"/>
                <w:szCs w:val="20"/>
                <w:color w:val="auto"/>
              </w:rPr>
            </w:pPr>
            <w:r>
              <w:rPr>
                <w:rFonts w:ascii="Arial" w:cs="Arial" w:eastAsia="Arial" w:hAnsi="Arial"/>
                <w:sz w:val="18"/>
                <w:szCs w:val="18"/>
                <w:color w:val="auto"/>
              </w:rPr>
              <w:t>Performing</w:t>
            </w:r>
          </w:p>
        </w:tc>
        <w:tc>
          <w:tcPr>
            <w:tcW w:w="7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563,518</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Nonperforming</w:t>
            </w:r>
          </w:p>
        </w:tc>
        <w:tc>
          <w:tcPr>
            <w:tcW w:w="5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563,789</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center"/>
              <w:ind w:left="4170"/>
              <w:spacing w:after="0"/>
              <w:rPr>
                <w:sz w:val="20"/>
                <w:szCs w:val="20"/>
                <w:color w:val="auto"/>
              </w:rPr>
            </w:pPr>
            <w:r>
              <w:rPr>
                <w:rFonts w:ascii="Arial" w:cs="Arial" w:eastAsia="Arial" w:hAnsi="Arial"/>
                <w:sz w:val="18"/>
                <w:szCs w:val="18"/>
                <w:color w:val="auto"/>
                <w:w w:val="99"/>
              </w:rPr>
              <w:t>9</w:t>
            </w: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160" w:type="dxa"/>
            <w:vAlign w:val="bottom"/>
            <w:tcBorders>
              <w:bottom w:val="single" w:sz="8" w:color="auto"/>
            </w:tcBorders>
            <w:gridSpan w:val="2"/>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8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88"/>
              </w:rPr>
              <w:t>USA Technologies, Inc.</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960" w:type="dxa"/>
            <w:vAlign w:val="bottom"/>
            <w:gridSpan w:val="10"/>
          </w:tcPr>
          <w:p>
            <w:pPr>
              <w:jc w:val="center"/>
              <w:ind w:right="49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20" w:type="dxa"/>
            <w:vAlign w:val="bottom"/>
            <w:gridSpan w:val="5"/>
          </w:tcPr>
          <w:p>
            <w:pPr>
              <w:spacing w:after="0"/>
              <w:rPr>
                <w:sz w:val="20"/>
                <w:szCs w:val="20"/>
                <w:color w:val="auto"/>
              </w:rPr>
            </w:pPr>
            <w:r>
              <w:rPr>
                <w:rFonts w:ascii="Arial" w:cs="Arial" w:eastAsia="Arial" w:hAnsi="Arial"/>
                <w:sz w:val="18"/>
                <w:szCs w:val="18"/>
                <w:b w:val="1"/>
                <w:bCs w:val="1"/>
                <w:color w:val="auto"/>
              </w:rPr>
              <w:t>2. FINANCE RECEIVABLES (CONTINUED)</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gridSpan w:val="10"/>
          </w:tcPr>
          <w:p>
            <w:pPr>
              <w:jc w:val="center"/>
              <w:ind w:right="490"/>
              <w:spacing w:after="0"/>
              <w:rPr>
                <w:sz w:val="20"/>
                <w:szCs w:val="20"/>
                <w:color w:val="auto"/>
              </w:rPr>
            </w:pPr>
            <w:r>
              <w:rPr>
                <w:rFonts w:ascii="Arial" w:cs="Arial" w:eastAsia="Arial" w:hAnsi="Arial"/>
                <w:sz w:val="18"/>
                <w:szCs w:val="18"/>
                <w:color w:val="auto"/>
                <w:w w:val="90"/>
              </w:rPr>
              <w:t>Age Analysis of Past Due Finance Receivables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4"/>
          </w:tcPr>
          <w:p>
            <w:pPr>
              <w:jc w:val="center"/>
              <w:ind w:left="70"/>
              <w:spacing w:after="0"/>
              <w:rPr>
                <w:sz w:val="20"/>
                <w:szCs w:val="20"/>
                <w:color w:val="auto"/>
              </w:rPr>
            </w:pPr>
            <w:r>
              <w:rPr>
                <w:rFonts w:ascii="Arial" w:cs="Arial" w:eastAsia="Arial" w:hAnsi="Arial"/>
                <w:sz w:val="18"/>
                <w:szCs w:val="18"/>
                <w:color w:val="auto"/>
                <w:w w:val="89"/>
              </w:rPr>
              <w:t>As of September 30, 2013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4"/>
          </w:tcPr>
          <w:p>
            <w:pPr>
              <w:jc w:val="center"/>
              <w:ind w:left="50"/>
              <w:spacing w:after="0"/>
              <w:rPr>
                <w:sz w:val="20"/>
                <w:szCs w:val="20"/>
                <w:color w:val="auto"/>
              </w:rPr>
            </w:pPr>
            <w:r>
              <w:rPr>
                <w:rFonts w:ascii="Arial" w:cs="Arial" w:eastAsia="Arial" w:hAnsi="Arial"/>
                <w:sz w:val="18"/>
                <w:szCs w:val="18"/>
                <w:color w:val="auto"/>
                <w:w w:val="90"/>
              </w:rPr>
              <w:t>(unaudited)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ind w:left="74"/>
              <w:spacing w:after="0"/>
              <w:rPr>
                <w:sz w:val="20"/>
                <w:szCs w:val="20"/>
                <w:color w:val="auto"/>
              </w:rPr>
            </w:pPr>
            <w:r>
              <w:rPr>
                <w:rFonts w:ascii="Arial" w:cs="Arial" w:eastAsia="Arial" w:hAnsi="Arial"/>
                <w:sz w:val="18"/>
                <w:szCs w:val="18"/>
                <w:color w:val="auto"/>
                <w:w w:val="89"/>
              </w:rPr>
              <w:t>31 – 60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89"/>
              </w:rPr>
              <w:t>61 – 90</w:t>
            </w:r>
          </w:p>
        </w:tc>
        <w:tc>
          <w:tcPr>
            <w:tcW w:w="20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9"/>
              </w:rPr>
              <w:t>Greater than</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ind w:left="74"/>
              <w:spacing w:after="0"/>
              <w:rPr>
                <w:sz w:val="20"/>
                <w:szCs w:val="20"/>
                <w:color w:val="auto"/>
              </w:rPr>
            </w:pPr>
            <w:r>
              <w:rPr>
                <w:rFonts w:ascii="Arial" w:cs="Arial" w:eastAsia="Arial" w:hAnsi="Arial"/>
                <w:sz w:val="18"/>
                <w:szCs w:val="18"/>
                <w:color w:val="auto"/>
                <w:w w:val="85"/>
              </w:rPr>
              <w:t>Days Past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color w:val="auto"/>
                <w:w w:val="87"/>
              </w:rPr>
              <w:t>Days Past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0"/>
              </w:rPr>
              <w:t>90 Days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w w:val="91"/>
              </w:rPr>
              <w:t>Total Past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Finance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center"/>
              <w:ind w:left="74"/>
              <w:spacing w:after="0"/>
              <w:rPr>
                <w:sz w:val="20"/>
                <w:szCs w:val="20"/>
                <w:color w:val="auto"/>
              </w:rPr>
            </w:pPr>
            <w:r>
              <w:rPr>
                <w:rFonts w:ascii="Arial" w:cs="Arial" w:eastAsia="Arial" w:hAnsi="Arial"/>
                <w:sz w:val="18"/>
                <w:szCs w:val="18"/>
                <w:color w:val="auto"/>
                <w:w w:val="90"/>
              </w:rPr>
              <w:t>Due</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Due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Past Due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Due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Current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Receivables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40" w:type="dxa"/>
            <w:vAlign w:val="bottom"/>
            <w:gridSpan w:val="3"/>
          </w:tcPr>
          <w:p>
            <w:pPr>
              <w:ind w:left="860"/>
              <w:spacing w:after="0"/>
              <w:rPr>
                <w:sz w:val="20"/>
                <w:szCs w:val="20"/>
                <w:color w:val="auto"/>
              </w:rPr>
            </w:pPr>
            <w:r>
              <w:rPr>
                <w:rFonts w:ascii="Arial" w:cs="Arial" w:eastAsia="Arial" w:hAnsi="Arial"/>
                <w:sz w:val="18"/>
                <w:szCs w:val="18"/>
                <w:color w:val="auto"/>
              </w:rPr>
              <w:t>Leases</w:t>
            </w:r>
          </w:p>
        </w:tc>
        <w:tc>
          <w:tcPr>
            <w:tcW w:w="980" w:type="dxa"/>
            <w:vAlign w:val="bottom"/>
            <w:gridSpan w:val="2"/>
          </w:tcPr>
          <w:p>
            <w:pPr>
              <w:jc w:val="right"/>
              <w:ind w:right="734"/>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1,883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561,906</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563,789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561,906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3. ACCRUED EXPENSES</w:t>
            </w: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20" w:type="dxa"/>
            <w:vAlign w:val="bottom"/>
            <w:gridSpan w:val="5"/>
          </w:tcPr>
          <w:p>
            <w:pPr>
              <w:spacing w:after="0"/>
              <w:rPr>
                <w:sz w:val="20"/>
                <w:szCs w:val="20"/>
                <w:color w:val="auto"/>
              </w:rPr>
            </w:pPr>
            <w:r>
              <w:rPr>
                <w:rFonts w:ascii="Arial" w:cs="Arial" w:eastAsia="Arial" w:hAnsi="Arial"/>
                <w:sz w:val="18"/>
                <w:szCs w:val="18"/>
                <w:color w:val="auto"/>
              </w:rPr>
              <w:t>Accrued expenses consist of the following:</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88"/>
              </w:rPr>
              <w:t>September 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0"/>
              </w:rPr>
              <w:t>(unaudited)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00" w:type="dxa"/>
            <w:vAlign w:val="bottom"/>
            <w:gridSpan w:val="9"/>
          </w:tcPr>
          <w:p>
            <w:pPr>
              <w:ind w:left="860"/>
              <w:spacing w:after="0"/>
              <w:rPr>
                <w:sz w:val="20"/>
                <w:szCs w:val="20"/>
                <w:color w:val="auto"/>
              </w:rPr>
            </w:pPr>
            <w:r>
              <w:rPr>
                <w:rFonts w:ascii="Arial" w:cs="Arial" w:eastAsia="Arial" w:hAnsi="Arial"/>
                <w:sz w:val="18"/>
                <w:szCs w:val="18"/>
                <w:color w:val="auto"/>
              </w:rPr>
              <w:t>Accrued compensation and related sales commissions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635,152</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583,710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w w:val="92"/>
              </w:rPr>
              <w:t>Accrued taxes and filing fees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147,402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253,527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Advanced customer billings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Accrued rent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210,614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240,363</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258,838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1,852,733</w:t>
            </w:r>
          </w:p>
        </w:tc>
        <w:tc>
          <w:tcPr>
            <w:tcW w:w="200" w:type="dxa"/>
            <w:vAlign w:val="bottom"/>
            <w:gridSpan w:val="2"/>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1,834,969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LINE OF CREDIT</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September 2013, the Company and Avidbank Corporate Finance, a division of Avidbank (the “Bank”) entered into a Fifth Amendment (“Fifth Amendment”) to the Loan and Security Agreement (“Loan Documents”) to change the minimum Adjusted EBITDA for covenant calculations for the four fiscal quarters ending through June 30, 2014.</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Loan Documents also contain customary events of default, including, among other things, payment defaults, breaches of covenants, and bankruptcy and insolvency events, subject to grace periods in certain instances. Upon an event of default, the Bank may declare all of the outstanding obligations of the Company under the Line of Credit and Loan Documents to be immediately due and payable, and exercise any other rights provided for under the Loan Documents.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balance due on the Line of Credit was $4,000,000 and $3,000,000 at September 30, 2013 and June 30, 2013, respectively. At September 30, 2013, $1,000,000 was available.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5. LONG-TERM DEBT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70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1"/>
        </w:trPr>
        <w:tc>
          <w:tcPr>
            <w:tcW w:w="2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180" w:type="dxa"/>
            <w:vAlign w:val="bottom"/>
          </w:tcPr>
          <w:p>
            <w:pPr>
              <w:spacing w:after="0"/>
              <w:rPr>
                <w:sz w:val="24"/>
                <w:szCs w:val="24"/>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color w:val="auto"/>
              </w:rPr>
              <w:t>June 30,</w:t>
            </w:r>
          </w:p>
        </w:tc>
      </w:tr>
      <w:tr>
        <w:trPr>
          <w:trHeight w:val="230"/>
        </w:trPr>
        <w:tc>
          <w:tcPr>
            <w:tcW w:w="23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23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0"/>
              </w:rPr>
              <w:t>(unaudited)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6700" w:type="dxa"/>
            <w:vAlign w:val="bottom"/>
            <w:gridSpan w:val="2"/>
          </w:tcPr>
          <w:p>
            <w:pPr>
              <w:ind w:left="2300"/>
              <w:spacing w:after="0"/>
              <w:rPr>
                <w:sz w:val="20"/>
                <w:szCs w:val="20"/>
                <w:color w:val="auto"/>
              </w:rPr>
            </w:pPr>
            <w:r>
              <w:rPr>
                <w:rFonts w:ascii="Arial" w:cs="Arial" w:eastAsia="Arial" w:hAnsi="Arial"/>
                <w:sz w:val="18"/>
                <w:szCs w:val="18"/>
                <w:color w:val="auto"/>
              </w:rPr>
              <w:t>Capital lease obligations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312,356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345,925</w:t>
            </w:r>
          </w:p>
        </w:tc>
        <w:tc>
          <w:tcPr>
            <w:tcW w:w="40" w:type="dxa"/>
            <w:vAlign w:val="bottom"/>
          </w:tcPr>
          <w:p>
            <w:pPr>
              <w:spacing w:after="0"/>
              <w:rPr>
                <w:sz w:val="20"/>
                <w:szCs w:val="20"/>
                <w:color w:val="auto"/>
              </w:rPr>
            </w:pPr>
          </w:p>
        </w:tc>
      </w:tr>
      <w:tr>
        <w:trPr>
          <w:trHeight w:val="230"/>
        </w:trPr>
        <w:tc>
          <w:tcPr>
            <w:tcW w:w="230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Loan agreement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104,459</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23,981</w:t>
            </w:r>
          </w:p>
        </w:tc>
        <w:tc>
          <w:tcPr>
            <w:tcW w:w="40" w:type="dxa"/>
            <w:vAlign w:val="bottom"/>
            <w:shd w:val="clear" w:color="auto" w:fill="CCEEFF"/>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416,815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369,906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332,052</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247,152</w:t>
            </w:r>
          </w:p>
        </w:tc>
        <w:tc>
          <w:tcPr>
            <w:tcW w:w="40" w:type="dxa"/>
            <w:vAlign w:val="bottom"/>
            <w:shd w:val="clear" w:color="auto" w:fill="CCEEFF"/>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84,763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122,754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July 2013, the Company entered into a capital lease for office equipment totaling $22,036 due in 24 monthly installments of $1,033 through July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August 2013, the Company financed a portion of the premiums for various insurance policies totaling $101,850, due in nine monthly payments through April 2014 at an interest rate of 5.27%.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accordance with the fair value hierarchy described in Note 1, the following table shows the fair value of the Company’s financial instruments that are required to be measured at fair value as of September 30, 2013 and June 30, 2013:</w:t>
      </w:r>
    </w:p>
    <w:p>
      <w:pPr>
        <w:spacing w:after="0" w:line="184"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September 30, 2013 (unaudited)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426"/>
        </w:trPr>
        <w:tc>
          <w:tcPr>
            <w:tcW w:w="5160" w:type="dxa"/>
            <w:vAlign w:val="bottom"/>
          </w:tcPr>
          <w:p>
            <w:pPr>
              <w:spacing w:after="0"/>
              <w:rPr>
                <w:sz w:val="20"/>
                <w:szCs w:val="20"/>
                <w:color w:val="auto"/>
              </w:rPr>
            </w:pPr>
            <w:r>
              <w:rPr>
                <w:rFonts w:ascii="Arial" w:cs="Arial" w:eastAsia="Arial" w:hAnsi="Arial"/>
                <w:sz w:val="18"/>
                <w:szCs w:val="18"/>
                <w:color w:val="auto"/>
              </w:rPr>
              <w:t>Cash equivalents</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192,669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192,669</w:t>
            </w:r>
          </w:p>
        </w:tc>
        <w:tc>
          <w:tcPr>
            <w:tcW w:w="100" w:type="dxa"/>
            <w:vAlign w:val="bottom"/>
          </w:tcPr>
          <w:p>
            <w:pPr>
              <w:spacing w:after="0"/>
              <w:rPr>
                <w:sz w:val="24"/>
                <w:szCs w:val="24"/>
                <w:color w:val="auto"/>
              </w:rPr>
            </w:pPr>
          </w:p>
        </w:tc>
      </w:tr>
      <w:tr>
        <w:trPr>
          <w:trHeight w:val="202"/>
        </w:trPr>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warrant liability, warrants exercisable at $2.6058 from</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September 18, 2011 through September 18, 2016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431,541</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431,541</w:t>
            </w:r>
          </w:p>
        </w:tc>
        <w:tc>
          <w:tcPr>
            <w:tcW w:w="100" w:type="dxa"/>
            <w:vAlign w:val="bottom"/>
            <w:shd w:val="clear" w:color="auto" w:fill="CCEEFF"/>
          </w:tcPr>
          <w:p>
            <w:pPr>
              <w:spacing w:after="0"/>
              <w:rPr>
                <w:sz w:val="20"/>
                <w:szCs w:val="20"/>
                <w:color w:val="auto"/>
              </w:rPr>
            </w:pPr>
          </w:p>
        </w:tc>
      </w:tr>
      <w:tr>
        <w:trPr>
          <w:trHeight w:val="446"/>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30, 2013</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3</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r>
      <w:tr>
        <w:trPr>
          <w:trHeight w:val="426"/>
        </w:trPr>
        <w:tc>
          <w:tcPr>
            <w:tcW w:w="5160" w:type="dxa"/>
            <w:vAlign w:val="bottom"/>
          </w:tcPr>
          <w:p>
            <w:pPr>
              <w:spacing w:after="0"/>
              <w:rPr>
                <w:sz w:val="20"/>
                <w:szCs w:val="20"/>
                <w:color w:val="auto"/>
              </w:rPr>
            </w:pPr>
            <w:r>
              <w:rPr>
                <w:rFonts w:ascii="Arial" w:cs="Arial" w:eastAsia="Arial" w:hAnsi="Arial"/>
                <w:sz w:val="18"/>
                <w:szCs w:val="18"/>
                <w:color w:val="auto"/>
              </w:rPr>
              <w:t>Cash equivalents</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192,620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192,620</w:t>
            </w:r>
          </w:p>
        </w:tc>
        <w:tc>
          <w:tcPr>
            <w:tcW w:w="100" w:type="dxa"/>
            <w:vAlign w:val="bottom"/>
          </w:tcPr>
          <w:p>
            <w:pPr>
              <w:spacing w:after="0"/>
              <w:rPr>
                <w:sz w:val="24"/>
                <w:szCs w:val="24"/>
                <w:color w:val="auto"/>
              </w:rPr>
            </w:pPr>
          </w:p>
        </w:tc>
      </w:tr>
      <w:tr>
        <w:trPr>
          <w:trHeight w:val="202"/>
        </w:trPr>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warrant liability, warrants exercisable at $2.6058 from</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September 18, 2011 through September 18, 2016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650,638</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650,638</w:t>
            </w:r>
          </w:p>
        </w:tc>
        <w:tc>
          <w:tcPr>
            <w:tcW w:w="10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2013 and June 30, 2013, the fair values of the Company’s Level 1 financial instruments were $192,669 and $192,620, respectively. These financial instruments consist of cash equivalents, including money market accounts. As of September 30, 2013 and June 30, 2013, the Company held no Level 2 financial instruments.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2013 and June 30, 2013, the fair values of the Company’s Level 3 financial instruments totaled $431,541 and $650,638, respectively. The Level 3 financial instrument consists of common stock warrants issued by the Company in March 2011, which include features requiring liability treatment of the warrants. The fair value of warrants issued in March 2011 to purchase 3.9 million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 (CONTINUED)</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changes in fair value of the Company’s Level 3 financial instruments for the three months ended September 30, 2013 and 2012:</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Beginning balance</w:t>
      </w:r>
    </w:p>
    <w:p>
      <w:pPr>
        <w:spacing w:after="0" w:line="23" w:lineRule="exact"/>
        <w:rPr>
          <w:sz w:val="20"/>
          <w:szCs w:val="20"/>
          <w:color w:val="auto"/>
        </w:rPr>
      </w:pPr>
    </w:p>
    <w:p>
      <w:pPr>
        <w:ind w:left="860" w:right="2458"/>
        <w:spacing w:after="0" w:line="276" w:lineRule="auto"/>
        <w:rPr>
          <w:sz w:val="20"/>
          <w:szCs w:val="20"/>
          <w:color w:val="auto"/>
        </w:rPr>
      </w:pPr>
      <w:r>
        <w:rPr>
          <w:rFonts w:ascii="Arial" w:cs="Arial" w:eastAsia="Arial" w:hAnsi="Arial"/>
          <w:sz w:val="18"/>
          <w:szCs w:val="18"/>
          <w:color w:val="auto"/>
        </w:rPr>
        <w:t>Gain due to change in fair value of warrant liabilities, net 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-301625</wp:posOffset>
            </wp:positionV>
            <wp:extent cx="615759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 AND COMMON STOCK WARRANTS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958"/>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right="958"/>
        <w:spacing w:after="0"/>
        <w:rPr>
          <w:sz w:val="20"/>
          <w:szCs w:val="20"/>
          <w:color w:val="auto"/>
        </w:rPr>
      </w:pPr>
      <w:r>
        <w:rPr>
          <w:rFonts w:ascii="Arial" w:cs="Arial" w:eastAsia="Arial" w:hAnsi="Arial"/>
          <w:sz w:val="18"/>
          <w:szCs w:val="18"/>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4662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 w:lineRule="exact"/>
        <w:rPr>
          <w:sz w:val="20"/>
          <w:szCs w:val="20"/>
          <w:color w:val="auto"/>
        </w:rPr>
      </w:pPr>
    </w:p>
    <w:p>
      <w:pPr>
        <w:ind w:left="362"/>
        <w:spacing w:after="0"/>
        <w:tabs>
          <w:tab w:leader="none" w:pos="1581" w:val="left"/>
        </w:tabs>
        <w:rPr>
          <w:sz w:val="20"/>
          <w:szCs w:val="20"/>
          <w:color w:val="auto"/>
        </w:rPr>
      </w:pPr>
      <w:r>
        <w:rPr>
          <w:rFonts w:ascii="Arial" w:cs="Arial" w:eastAsia="Arial" w:hAnsi="Arial"/>
          <w:sz w:val="18"/>
          <w:szCs w:val="18"/>
          <w:color w:val="auto"/>
        </w:rPr>
        <w:t>2013</w:t>
      </w:r>
      <w:r>
        <w:rPr>
          <w:sz w:val="20"/>
          <w:szCs w:val="20"/>
          <w:color w:val="auto"/>
        </w:rPr>
        <w:tab/>
      </w:r>
      <w:r>
        <w:rPr>
          <w:rFonts w:ascii="Arial" w:cs="Arial" w:eastAsia="Arial" w:hAnsi="Arial"/>
          <w:sz w:val="18"/>
          <w:szCs w:val="18"/>
          <w:color w:val="auto"/>
        </w:rPr>
        <w:t>2012</w:t>
      </w:r>
    </w:p>
    <w:p>
      <w:pPr>
        <w:spacing w:after="0" w:line="23" w:lineRule="exact"/>
        <w:rPr>
          <w:sz w:val="20"/>
          <w:szCs w:val="20"/>
          <w:color w:val="auto"/>
        </w:rPr>
      </w:pPr>
    </w:p>
    <w:p>
      <w:pPr>
        <w:ind w:left="122"/>
        <w:spacing w:after="0"/>
        <w:tabs>
          <w:tab w:leader="none" w:pos="1341" w:val="left"/>
        </w:tabs>
        <w:rPr>
          <w:sz w:val="20"/>
          <w:szCs w:val="20"/>
          <w:color w:val="auto"/>
        </w:rPr>
      </w:pPr>
      <w:r>
        <w:rPr>
          <w:rFonts w:ascii="Arial" w:cs="Arial" w:eastAsia="Arial" w:hAnsi="Arial"/>
          <w:sz w:val="18"/>
          <w:szCs w:val="18"/>
          <w:color w:val="auto"/>
        </w:rPr>
        <w:t>(unaudited)</w:t>
      </w:r>
      <w:r>
        <w:rPr>
          <w:sz w:val="20"/>
          <w:szCs w:val="20"/>
          <w:color w:val="auto"/>
        </w:rPr>
        <w:tab/>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14662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 w:lineRule="exact"/>
        <w:rPr>
          <w:sz w:val="20"/>
          <w:szCs w:val="20"/>
          <w:color w:val="auto"/>
        </w:rPr>
      </w:pPr>
    </w:p>
    <w:p>
      <w:pPr>
        <w:ind w:left="422" w:hanging="422"/>
        <w:spacing w:after="0"/>
        <w:tabs>
          <w:tab w:leader="none" w:pos="422" w:val="left"/>
        </w:tabs>
        <w:numPr>
          <w:ilvl w:val="0"/>
          <w:numId w:val="3"/>
        </w:numPr>
        <w:rPr>
          <w:rFonts w:ascii="Arial" w:cs="Arial" w:eastAsia="Arial" w:hAnsi="Arial"/>
          <w:sz w:val="17"/>
          <w:szCs w:val="17"/>
          <w:color w:val="auto"/>
        </w:rPr>
      </w:pPr>
      <w:r>
        <w:rPr>
          <w:rFonts w:ascii="Arial" w:cs="Arial" w:eastAsia="Arial" w:hAnsi="Arial"/>
          <w:sz w:val="17"/>
          <w:szCs w:val="17"/>
          <w:color w:val="auto"/>
        </w:rPr>
        <w:t>(650,638)  $    (918,566)</w:t>
      </w:r>
    </w:p>
    <w:p>
      <w:pPr>
        <w:spacing w:after="0" w:line="20" w:lineRule="exact"/>
        <w:rPr>
          <w:rFonts w:ascii="Arial" w:cs="Arial" w:eastAsia="Arial" w:hAnsi="Arial"/>
          <w:sz w:val="17"/>
          <w:szCs w:val="17"/>
          <w:color w:val="auto"/>
        </w:rPr>
      </w:pPr>
    </w:p>
    <w:p>
      <w:pPr>
        <w:ind w:left="482"/>
        <w:spacing w:after="0"/>
        <w:rPr>
          <w:rFonts w:ascii="Arial" w:cs="Arial" w:eastAsia="Arial" w:hAnsi="Arial"/>
          <w:sz w:val="17"/>
          <w:szCs w:val="17"/>
          <w:color w:val="auto"/>
        </w:rPr>
      </w:pPr>
      <w:r>
        <w:rPr>
          <w:rFonts w:ascii="Arial" w:cs="Arial" w:eastAsia="Arial" w:hAnsi="Arial"/>
          <w:sz w:val="18"/>
          <w:szCs w:val="18"/>
          <w:color w:val="auto"/>
        </w:rPr>
        <w:t>219,097</w:t>
      </w:r>
      <w:r>
        <w:rPr>
          <w:rFonts w:ascii="Arial" w:cs="Arial" w:eastAsia="Arial" w:hAnsi="Arial"/>
          <w:sz w:val="16"/>
          <w:szCs w:val="16"/>
          <w:color w:val="auto"/>
        </w:rPr>
        <w:t>463,133</w:t>
      </w:r>
    </w:p>
    <w:p>
      <w:pPr>
        <w:spacing w:after="0" w:line="23" w:lineRule="exact"/>
        <w:rPr>
          <w:sz w:val="20"/>
          <w:szCs w:val="20"/>
          <w:color w:val="auto"/>
        </w:rPr>
      </w:pPr>
    </w:p>
    <w:p>
      <w:pPr>
        <w:ind w:left="2"/>
        <w:spacing w:after="0"/>
        <w:tabs>
          <w:tab w:leader="none" w:pos="401" w:val="left"/>
          <w:tab w:leader="none" w:pos="1641"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(431,541)  </w:t>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(455,433</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1466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621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-130810</wp:posOffset>
            </wp:positionV>
            <wp:extent cx="14662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681" w:lineRule="exact"/>
        <w:rPr>
          <w:sz w:val="20"/>
          <w:szCs w:val="20"/>
          <w:color w:val="auto"/>
        </w:rPr>
      </w:pPr>
    </w:p>
    <w:p>
      <w:pPr>
        <w:sectPr>
          <w:pgSz w:w="11900" w:h="16838" w:orient="portrait"/>
          <w:cols w:equalWidth="0" w:num="2">
            <w:col w:w="7438" w:space="720"/>
            <w:col w:w="3262"/>
          </w:cols>
          <w:pgMar w:left="240" w:top="233" w:right="239" w:bottom="1440" w:gutter="0" w:footer="0" w:header="0"/>
          <w:type w:val="continuous"/>
        </w:sectPr>
      </w:pP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2010 Stock Incentive Plan, the Company recorded stock compensation expense of $752 related to shares granted to Directors of the Company in July 2012; no shares of Common stock were issued under this plan during the three months ended September 30, 2013.</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2011 Stock Incentive Plan, the Company recorded stock compensation expense of $11,928 related to shares granted to employees and Directors of the Company in September 2011 and July 2012; 51,667 shares of Common stock were issued under this plan during the three months ended September 30, 2013.</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2012 Stock Incentive Plan, the Company recorded stock compensation expense of $71,712 and issued 11,016 shares of Common stock during the three months ended September 30, 2013. $57,500 related to shares issued to Directors in lieu of cash payment for services on the Board of Directors. Approximately $14,000 related to employee awards. 11,016 shares were issued to employees under the 2013 Stock Incentive Plan.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2012 and for the three months then ended, the Company recorded a liability and expense of $43,868 for the 2013 Performance Plan.</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September 30, 2012, the Company recorded stock compensation expense of $125,333 and issued 231,663 shares of Common Stock. $9,791 and $26,718 for grants to the executive officers in April and September 2011, respectively; $20,726 of expenses related to vesting of shares granted to employees in April 2012; $2,775, $2,199 and $18,124 of expenses related to vesting of shares granted to Directors of the Company in June 2011, March 2012 and July 2012, respectively; and $45,000 for shares issued to Company Directors in lieu of cash payment.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September 30, 2013, an executive officer exercised his right to cancel shares of common stock awarded to him under his prior employment agreement and the Special Equity Plan granted in September 2012 for the payment of payroll taxes. In total, 7,379 shares of the Company’s Common Stock were cancelled to satisfy $13,946 of related payroll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Warrants were exercised during the three months ended September 30, 2013, resulting in the issuance of 118,141 shares of Common Stock at $1.13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September 14, 2013 warrants to purchase 903,955 shares of Common Stock, exercisable at $5.90 per share, expired unexercised.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7, 2013, at the recommendation of the Compensation Committee of the Board of Directors of the Company, the Board of Directors approved the Fiscal Year 2014 Long-Term Stock Incentive Plan (the “2014 LTI Stock Plan”) and the Fiscal Year 2014 Short-Term Incentive Plan (the “2014 STI Plan”) covering its two executive officers. Upon the recommendation of the Compensation Committee, the Board also approved a stock bonus and an amendment to its CFO’s employment agreement.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2014 LTI Stock Plan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2014 LTI Stock Plan provides that each executive officer would be awarded shares of common stock in the event that certain metrics relating to the Company’s 2014 fiscal year would result in specified ranges of year-over-year percentage growth.</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none of the minimum threshold year-over-year percentage target goals are achieved, the executive officers would not be awarded any shares. If all of the year-over-year percentage target goals are achieved, the executive officers would be awarded shares having the following value: Stephen P. Herbert – $341,277 (100% of base salary); and David M. DeMedio – $175,698 (75% of base salary). If all of the maximum distinguished year-over-year percentage target goals are achieved, the executive officers would be awarded shares having the following value: Mr. Herbert – $682,554 (200% of base salary); and Mr. DeMedio – $351,396 (150% of base salary).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The shares awarded under the 2014 LTI Stock Plan would vest over a three year period following issuance as follows: one-third on the first anniversary; one-third on the second anniversary; and one-third on the third anniversary.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2014 STI Plan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2014 STI Plan provides that each executive officer would earn a cash bonus in the event that the Company achieved during the 2014 fiscal year certain annual financial goals and certain annual specific performance goals relating to the executive officer which are to be established by the Compensation Committee.</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none of the minimum threshold target goals are achieved, the executive officers would not earn a cash bonus. If all of the target goals are achieved, the executive officers would earn a cash bonus as follows: Mr. Herbert – $51,184 (15% of base salary); and Mr. DeMedio – $29,283 (12.5% of base salary). If all of the maximum distinguished target goals are achieved, the executive officers would earn a cash bonus as follows: Mr. Herbert – $102,368 (30% of base salary); and Mr. DeMedio – $58,566 (25% of base salary). Assuming the minimum threshold target goal would be achieved for a particular metric, the amount of the cash bonus to be earned would be determined on a pro rata basis, provided that the bonus would not exceed the maximum distinguished award for that metric.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CFO Stock Bonus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Mr. DeMedio was awarded 21,000 vested shares of common stock of the Company as a bonus in recognition of his performance during the 2013 fiscal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award with a grant date fair value of approximately $38,000 will be expensed in our second fiscal quarter when the shares are issued.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Amendment to CFO Employment Agreement</w:t>
      </w:r>
    </w:p>
    <w:p>
      <w:pPr>
        <w:spacing w:after="0" w:line="14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amendment to Mr. DeMedio’s employment agreement (the “DeMedio Amendment”) provides that (i) if following a change in control of the Company (as defined in the DeMedio Amendment) Mr. DeMedio would terminate his employment with the Company for good reason (as defined in the DeMedio Amendment), or (ii) if the Company would terminate his employment at any time without cause (as defined in the DeMedio Amendment), or (iii) if the Company would provide Mr. DeMedio with a notice of non-renewal of his employment agreement, then the Company would pay to him a lump sum equal to one times his base salary on or before the termination of his employment and all restricted stock awards would become vested as of the date of termination.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7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in order to sustain its operations if an unexpected or unusual event would occur;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rent or utilize ePort devices or our other products in the future at levels currently anticipated by our Company, including appropriate diversification resulting from sources other than our JumpStart Program;</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 including the commercial production and introduction of our next generation G-9 and G-10 devices;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revenues are derived;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ability of the Company to obtain widespread commercial acceptance of its products and service offerings such as loyalty and prepaid programs;</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2013 compared to the three months ended September 30, 2012</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Results for the quarter ended September 30, 2013 continued to demonstrate growth and improvements in the Company’s operations as compared to the quarter ended September 30, 2012. Highlights of year over year improvements include:</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up 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Recurring license and transaction fee revenue up 23%;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ePort Connect service base as of September 30, 2013 up 25% as compared to September 30, 2012.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for the quarter ended September 30, 2013 were $10,123,058, consisting of $8,507,044 of license and transactions fees and $1,616,014 of equipment sales, compared to $8,390,277 for the quarter ended September 30, 2012, consisting of $6,906,356 of license and transaction fees and $1,483,921 of equipment sales. The increase in total revenue of $1,732,781, or 21%, was primarily due to an increase in license and transaction fees of $1,600,688, or 23%, and an increase in equipment sales of $132,093 or 9%, from the same period in the prior fiscal year.</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 from license and transaction fees, which represented 84% of total revenue for the quarter ended September 30, 2013, is primarily attributable to monthly ePort Connect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service fees and transaction processing fees. Highlights for the quarter ended September 30, 2013 included:</w:t>
      </w:r>
    </w:p>
    <w:p>
      <w:pPr>
        <w:spacing w:after="0" w:line="25" w:lineRule="exact"/>
        <w:rPr>
          <w:sz w:val="20"/>
          <w:szCs w:val="20"/>
          <w:color w:val="auto"/>
        </w:rPr>
      </w:pPr>
    </w:p>
    <w:p>
      <w:pPr>
        <w:ind w:left="980" w:hanging="324"/>
        <w:spacing w:after="0" w:line="25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added 3,000 net connections to our service, consisting of 14,000 new connections to our ePort Connect service in the quarter, offset by 11,000 deactivations, compared to 10,000 net connections added in the same quarter of fiscal 2012;</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September 30, 2013, the Company had approximately 217,000 connections to the ePort Connect service compared to approximately 174,000 connections to the ePort Connect service as of September 30, 2012, an increase of approximately 25%;</w:t>
      </w: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for the quarter ended September 30, 2013 of 32% and 35%, respectively, compared to the same period a year ago; and</w:t>
      </w: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550 ePort Connect customers added in the current quarter, up 29% from the same period a year ago, for 5,600 customers at September 30, 2013.</w:t>
      </w:r>
    </w:p>
    <w:p>
      <w:pPr>
        <w:spacing w:after="0" w:line="2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increase in license and transaction fees was due to the growth in ePort Connect service fees and transaction dollars that stems from the increased number of connections to our ePort Connect service. As of September 30, 2013, the Company had approximately 217,000 connections to the ePort Connect service as compared to approximately 174,000 connections to the ePort Connect service as of September 30, 2012. During the quarter ended September 30, 2013, the Company added approximately 3,000 net connections to our network compared to approximately 10,000 net connections added during the quarter ended September 30, 2012. Connections added as part of our JumpStart program represented approximately 40% and 75% of net connections added during the quarters ended September 30, 2013 and 2012, respectively.</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its agreements with customers, in addition to ePort Connect service fees the Company earns transaction processing fees equal to a percentage of the dollar volume processed by the Company. During the quarter ended September 30, 2013, the Company processed approximately 38.6 million transactions totaling approximately $67.9 million compared to approximately 29.3 million transactions totaling approximately $50.4 million during the quarter ended September 30, 2012, an increase of approximately 32% in the number of transactions and approximately 35% in the value of transactions processed.</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New customers added to our ePort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Connect service during the quarter ended September 30, 2013 totaled 550, bringing the total number of such customers to approximately 5,600 as of September 30, 2013. The Company added approximately 425 new customers in the quarter ended September 30, 2012. By comparison, the Company had approximately 3,725 customers as of September 30, 2012, representing a 50% increase during the past twelve months. We count a customer as a new customer upon the signing of their ePort Connect service agreement. When a reseller sells our ePort, we count a customer as a new customer upon the signing of the applicable services agreement with the customer.</w:t>
      </w:r>
    </w:p>
    <w:p>
      <w:pPr>
        <w:spacing w:after="0" w:line="197"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The $132,093 increase in equipment sales was mainly a result of an increase of approximately $111,000 in sales of Energy Misers and an increase of approximately $38,000 in sales of ePort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offset by a decrease of approximately $17,000 in other product sales.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sales consisted of license and transaction fee related costs of $5,409,463 and $4,192,360 and equipment costs of $1,130,824 and $1,053,636, for the quarters ended September 30, 2013 and 2012, respectively. The increase in total cost of sales of $1,294,291, or 25%, was primarily due to an increase in cost of services of $1,217,103 that stemmed from the greater number of connections to the Company’s ePort Connect service and increases in transaction dollars processed by those connections, offset by improvements in pricing from major suppliers. The increase in total cost of sales was also attributable to an increase in cost of equipment sales of $77,188, or 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Gross profit (“GP”) for the quarter ended September 30, 2013 was $3,582,771 compared to GP of $3,144,281 from the same quarter in the prior fiscal year, an increase of $438,490, or 14%, of which $383,585 represents increases attributable to license and transaction fees GP and $54,905 of greater equipment sales GP. Overall gross profit margins decreased from 37% to 35% due to a decrease in license and transaction fees margins to 36%, from 39% in the prior fiscal quarter, partially offset by an increase in equipment sales margins to 30% from 29% in the prior fiscal quarter. The decrease in license and transaction fees margins is largely attributable to the 11,000 deactivations by one of our customers during the quarter as well as the lag time between certain pricing incentives and cost benefits achieved with a supplier during the quarter that did not take effect until towards the end of the quarter.</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(“SG&amp;A”) expenses of $3,295,344 for the quarter ended September 30, 2013, increased by $80,219, or 2%, from the same quarter in the prior fiscal year. Included in the $3,215,125 for the quarter ended September 30, 2012 was approximately $328,000 of expenses related to the fiscal 2012 proxy contest, related litigation and settlement.</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Exclusive of the proxy contest, SG&amp;A increased approximately $408,000, or 14%, in the quarter ended September 30, 2013 compared to the same quarter a year ago. The overall increase in SG&amp;A is attributable to increases of approximately $174,000 in employee and director compensation and benefits expense; $87,000 in professional services expense; and smaller increases in other expenses totalling $147,000, net.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and expense for the quarter ended September 30, 2013, primarily consisted of $219,097 of non-cash gain for the change in the fair value (“FV”) of the Company’s warrant liabilities. The primary factor affecting the change in fair value is the decrease in the Black-Scholes value (“BSV”) of the warrants from June 30, 2013 to September 30, 2013. For the quarter ended September 30, 2012, the Company had a non-cash gain of $463,133 for these warrant liabilities.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quarter ended September 30, 2013 resulted in net income of $293,654 compared to net income of $39,140 for the quarter ended September 30, 2012, an improvement of $254,514 from the prior corresponding fiscal quarter. After preferred dividends of $332,226 for each fiscal quarter, net loss applicable to common shareholders was $38,572 and $293,086 for the quarters ended September 30, 2013 and 2012, respectively. For the quarter ended September 30, 2013, net loss per common share (basic and diluted) was $0.00, compared to the prior fiscal quarter net loss per common share (basic and diluted) of $(0.01).</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Non-GAAP net income was $74,557, compared to a non-GAAP net loss of $95,993 for the quarters ended September 30, 2013 and 2012, respectively. Management believes that non-GAAP net income (loss) and non-GAAP net loss per common share are important measures of USAT’s business. Management uses the aforementioned non-GAAP measures to monitor and evaluate ongoing operating results and trends and to gain an understanding of our comparative operating performance. We believe that these non-GAAP financial measures serve as useful metrics for our management and investors because they enable a better understanding of the long-term performance of our core business and facilitate comparisons of our operating results over multiple periods, and when taken together with the corresponding GAAP (United States’ Generally Accepted Accounting Principles) financial measures and our reconciliations, enhance investors’ overall understanding of our current and future financial performance.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GAAP net income to Non-GAAP net income (loss) for the quarters ended September 30, 2013 and 2012 is as follows:</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680910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Operating expenses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-116205</wp:posOffset>
            </wp:positionV>
            <wp:extent cx="680910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Proxy related costs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Fair value of warrant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680910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9105" cy="1460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Non-GAAP net income (loss)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r>
      <w:tr>
        <w:trPr>
          <w:trHeight w:val="224"/>
        </w:trPr>
        <w:tc>
          <w:tcPr>
            <w:tcW w:w="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293,654</w:t>
            </w:r>
          </w:p>
        </w:tc>
        <w:tc>
          <w:tcPr>
            <w:tcW w:w="2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39,140</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0" w:hanging="870"/>
        <w:spacing w:after="0"/>
        <w:tabs>
          <w:tab w:leader="none" w:pos="2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328,000</w:t>
      </w:r>
    </w:p>
    <w:p>
      <w:pPr>
        <w:spacing w:after="0" w:line="34"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(219,097)</w:t>
      </w:r>
      <w:r>
        <w:rPr>
          <w:rFonts w:ascii="Arial" w:cs="Arial" w:eastAsia="Arial" w:hAnsi="Arial"/>
          <w:sz w:val="16"/>
          <w:szCs w:val="16"/>
          <w:color w:val="auto"/>
        </w:rPr>
        <w:t>(463,133)</w:t>
      </w:r>
    </w:p>
    <w:p>
      <w:pPr>
        <w:spacing w:after="0" w:line="23" w:lineRule="exact"/>
        <w:rPr>
          <w:sz w:val="20"/>
          <w:szCs w:val="20"/>
          <w:color w:val="auto"/>
        </w:rPr>
      </w:pPr>
    </w:p>
    <w:p>
      <w:pPr>
        <w:spacing w:after="0"/>
        <w:tabs>
          <w:tab w:leader="none" w:pos="680" w:val="left"/>
          <w:tab w:leader="none" w:pos="1380" w:val="left"/>
          <w:tab w:leader="none" w:pos="2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74,557</w:t>
        <w:tab/>
        <w:t>$</w:t>
      </w:r>
      <w:r>
        <w:rPr>
          <w:sz w:val="20"/>
          <w:szCs w:val="20"/>
          <w:color w:val="auto"/>
        </w:rPr>
        <w:tab/>
      </w:r>
      <w:r>
        <w:rPr>
          <w:rFonts w:ascii="Arial" w:cs="Arial" w:eastAsia="Arial" w:hAnsi="Arial"/>
          <w:sz w:val="16"/>
          <w:szCs w:val="16"/>
          <w:color w:val="auto"/>
        </w:rPr>
        <w:t>(95,993)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6376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7680" w:space="720"/>
            <w:col w:w="3020"/>
          </w:cols>
          <w:pgMar w:left="240" w:top="233" w:right="239" w:bottom="1440" w:gutter="0" w:footer="0" w:header="0"/>
          <w:type w:val="continuous"/>
        </w:sectPr>
      </w:pPr>
    </w:p>
    <w:tbl>
      <w:tblPr>
        <w:tblLayout w:type="fixed"/>
        <w:tblInd w:w="3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76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293,654</w:t>
            </w:r>
          </w:p>
        </w:tc>
        <w:tc>
          <w:tcPr>
            <w:tcW w:w="120" w:type="dxa"/>
            <w:vAlign w:val="bottom"/>
          </w:tcPr>
          <w:p>
            <w:pPr>
              <w:spacing w:after="0"/>
              <w:rPr>
                <w:sz w:val="18"/>
                <w:szCs w:val="18"/>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w:t>
            </w:r>
          </w:p>
        </w:tc>
        <w:tc>
          <w:tcPr>
            <w:tcW w:w="1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74,557</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Cumulative preferred dividends</w:t>
            </w: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(332,226)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applicable to common shares</w:t>
            </w:r>
          </w:p>
        </w:tc>
        <w:tc>
          <w:tcPr>
            <w:tcW w:w="1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(38,572</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(293,086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Non-GAAP net loss applicable to common shares</w:t>
            </w: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(257,669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(428,219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1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Non-GAAP net loss per common share (basic and diluted)</w:t>
            </w:r>
          </w:p>
        </w:tc>
        <w:tc>
          <w:tcPr>
            <w:tcW w:w="126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33,324,295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32,518,230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used herein, non-GAAP net income/(loss) represents GAAP net income excluding costs relating to the proxy contest and any adjustment for fair value of warrant liabilities. As used herein, non-GAAP net loss per common share is calculated by dividing non-GAAP net loss applicable to common shares by the weighted average number of shares outstanding.</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the quarter ended September 30, 2013, the Company had Adjusted EBITDA of $1,453,334, compared to $730,707 for the quarter ended September 30, 2012. Reconciliation of GAAP net income to Adjusted EBITDA for the quarters ended September 30, 2013 and 2012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4"/>
              </w:rPr>
              <w:t>Three months ended</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gridSpan w:val="2"/>
            <w:vMerge w:val="restart"/>
          </w:tcPr>
          <w:p>
            <w:pPr>
              <w:ind w:left="1040"/>
              <w:spacing w:after="0"/>
              <w:rPr>
                <w:sz w:val="20"/>
                <w:szCs w:val="20"/>
                <w:color w:val="auto"/>
              </w:rPr>
            </w:pPr>
            <w:r>
              <w:rPr>
                <w:rFonts w:ascii="Arial" w:cs="Arial" w:eastAsia="Arial" w:hAnsi="Arial"/>
                <w:sz w:val="18"/>
                <w:szCs w:val="18"/>
                <w:color w:val="auto"/>
              </w:rPr>
              <w:t>Net income</w:t>
            </w:r>
          </w:p>
        </w:tc>
        <w:tc>
          <w:tcPr>
            <w:tcW w:w="28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28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293,654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39,140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Less interest income</w:t>
            </w:r>
          </w:p>
        </w:tc>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(13,526)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(20,166)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Plus interest expense</w:t>
            </w:r>
          </w:p>
        </w:tc>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60,976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23,006</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Plus income tax expense</w:t>
            </w:r>
          </w:p>
        </w:tc>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6,921</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Plus depreciation expense</w:t>
            </w:r>
          </w:p>
        </w:tc>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1,218,071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834,006</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Plus amortization expense</w:t>
            </w:r>
          </w:p>
        </w:tc>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185,600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Plus gain for change in fair value of warrant liabilities</w:t>
            </w:r>
          </w:p>
        </w:tc>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(219,097)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(463,133)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vMerge w:val="continue"/>
          </w:tcPr>
          <w:p>
            <w:pPr>
              <w:spacing w:after="0"/>
              <w:rPr>
                <w:sz w:val="19"/>
                <w:szCs w:val="19"/>
                <w:color w:val="auto"/>
              </w:rPr>
            </w:pPr>
          </w:p>
        </w:tc>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Plus (less) stock-based compensation</w:t>
            </w:r>
          </w:p>
        </w:tc>
        <w:tc>
          <w:tcPr>
            <w:tcW w:w="28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84,392</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125,333</w:t>
            </w:r>
          </w:p>
        </w:tc>
        <w:tc>
          <w:tcPr>
            <w:tcW w:w="80" w:type="dxa"/>
            <w:vAlign w:val="bottom"/>
            <w:tcBorders>
              <w:bottom w:val="single" w:sz="8" w:color="CCEEFF"/>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Adjusted EBITDA</w:t>
            </w:r>
          </w:p>
        </w:tc>
        <w:tc>
          <w:tcPr>
            <w:tcW w:w="30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1,453,334</w:t>
            </w:r>
          </w:p>
        </w:tc>
        <w:tc>
          <w:tcPr>
            <w:tcW w:w="100" w:type="dxa"/>
            <w:vAlign w:val="bottom"/>
          </w:tcPr>
          <w:p>
            <w:pPr>
              <w:spacing w:after="0"/>
              <w:rPr>
                <w:sz w:val="21"/>
                <w:szCs w:val="21"/>
                <w:color w:val="auto"/>
              </w:rPr>
            </w:pP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730,707</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0" w:type="dxa"/>
            <w:vAlign w:val="bottom"/>
            <w:vMerge w:val="restart"/>
          </w:tcPr>
          <w:p>
            <w:pPr>
              <w:jc w:val="right"/>
              <w:ind w:right="2190"/>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used herein, Adjusted EBITDA represents net income before interest income, interest expense, income taxes, depreciation, amortization, change in fair value of warrant liabilities and stock-based compensation expense. We have excluded the non-operating item, change in fair value of warrant liabilities, because it represents a non-cash charge that is not related to the Company’s operations. We have excluded the non-cash expense,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quarter ended September 30, 2013, net cash provided by operating activities was $911,824 as result of a net income of $293,654, non-cash charges of $1,155,691 and net cash used in the change in operating assets and liabilities of $537,521. Of the $1,155,691 of non-cash charges, the most significant during the quarter were depreciation and amortization of assets and charges for the vesting and issuance of common stock for employee and director compensation, offset by the decrease in the fair value of warrant liabilities. The cash used in the $537,521 change in the Company’s operating assets and liabilities was primarily the result of decreases of accounts and finance receivables and inventory as well as a decrease in accounts payable, offset by an increase in prepaid expenses and other assets and accrued expenses.</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quarter ended September 30, 2013, the Company used $2,089,601 for investing activities of which $2,074,975 related to the purchase of equipment for the JumpStart Program, including approximately $680,000 for JumpStart equipment on hand at September 30, 2013.</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obtained net cash of $1,008,677 through financing activities, $1,000,000 of which are net proceeds from the Line of Credit and cash proceeds of $99,600 from warrant exercises, offset by $76,977 related to repayment of debt and $13,946 related to the cancellation of common stock by our executive officers to satisfy income tax liability due in connection with common stock awards.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experienced losses from inception through June 30, 2012, with net income for the year ended June 30, 2013 and net income continuing through the quarter ended September 30, 2013. Our accumulated deficit through September 30, 2013 is composed of cumulative losses amounting to approximately $198,010,000, preferred dividends converted to common stock of approximately $2,690,000, and charges incurred for the open-market purchases of preferred stock of approximately $150,000.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continued growth in connections to our ePort Connect service that has resulted in the strong growth in recurring revenue from license and transaction fees and the substantial improvement in GP dollars, the operating activities of the business are now providing cash to fund operations of the Company.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for the quarter ended September 30, 2013 was $1,453,334 compared to Adjusted EBITDA of $730,707 for the same fiscal quarter a year ago. The Company reports Adjusted EBITDA to reflect the liquidity of operations and a measure of operational cash flow. Adjusted EBITDA excludes significant non-cash charges such as depreciation, amortization of intangibles, fair value warrant liability changes and stock-based compensation from net income. We believe that, provided there are no material unusual or unanticipated non-operational expenses, achieving positive Adjusted EBITDA is sustainable, and will continue to increase, as our connection base increases.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quarter ended September 30, 2013, cash provided by operating activities was $911,824. The Company believes it will continue to generate positive cash flow from operations during the remainder of the 2014 fiscal year, and into the 2015 fiscal year, as the Company adds connections to its existing base of connections, provided there are no material unanticipated or unusual non-operational events. The largest use of cash is for ePorts purchased for use in the Company’s JumpStart Program. For the quarter ended September 30, 2013, the Company used cash of $2,074,975 in its JumpStart Program.</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anticipates using the JumpStart Program for approximately 55% to 60% of its anticipated net connections in fiscal 2014 as a result of the potential growth in connections from the kiosk market, where many customers only require our Quick Connect™ Web service. The Company has efforts under way in sales, marketing, development and partnering efforts that are focused on securing connections from sources away from JumpStart, such as QuickConnect Web service, ePort Mobile and direct sales of its ePort hardware device.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three sources of cash available to fund and grow the business: (1) cash on hand of approximately $5.8 million at September 30, 2013; (2) the anticipated cash generated from operations; and (3) $1 million available on the line of credit with Avidbank, provided we continue to satisfy the various affirmative and negative covenants set forth in the loan agreement. Although the line of credit matures on June 21, 2014, we anticipate that we will be able to extend the maturity date of line of credit or be able to procure a new line of credit to replace the existing line of credit.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above, as of September 30, 2013, the Company had outstanding 2,030,612 common stock warrants at an exercise price of $1.13 per share expiring on December 31, 2013. So long as the Company’s current stock price remains above the exercise price of $1.13, we anticipate that a substantial portion of these warrants will be exercised, potentially providing us with up to $2,294,592 of proceeds by December 31, 2013.</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Therefore, the Company believes its existing cash and cash equivalents and available cash resources as of September 30, 2013 would provide sufficient funds through at least July 1, 2014 in order to meet its cash requirements, including payment of its accrued expenses and payables, any cash resources to be utilized for the JumpStart Program, other anticipated capital expenditures, and the repayment of long-term debt.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exposure to market risks for interest rate changes is not significant. Interest rates on its long-term debt are generally fixed and its investments in cash equivalents are not significant. The Company has no exposure to market risks related to Available-for-sale securities. Market risks related to fluctuations of foreign currencies are not significant and the Company has no derivative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principal executive officer and principal financial officer have evaluated the Company’s disclosure controls and procedures as of September 30, 2013. Based on this evaluation, they conclude that the disclosure controls and procedures were effective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during the quarter ended September 30, 2013 in the Company’s internal controls over financial reporting that have materially affected, or are reasonably likely to materially affect, internal control over financial reporting.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There were no defaults on any senior securities. However, on August 1, 2013 an additional $332,226 of dividends were accrued on our cumulative Series A Convertible Preferred Stock. The total accrued and unpaid dividends on our Series A Convertible Preferred Stock as of September 30, 2013 are $11,928,550. The dividend accrual dates for our Preferred Stock are February 1 and August 1. The annual cumulative dividend on our Preferred Stock is $1.50 per share.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November 7, 2013, at the recommendation of the Compensation Committee of the Board of Directors of the Company, the Board of Directors approved the Fiscal Year 2014 Long-Term Stock Incentive Plan (the “2014 LTI Stock Plan”) and the Fiscal Year 2014 Short-Term Incentive Plan (the “2014 STI Plan”) covering Stephen P. Herbert, Chairman and Chief Executive Officer, and David M. DeMedio, Chief Financial Officer. Upon the recommendation of the Compensation Committee, the Board also approved an amendment to Mr. DeMedio’s employment agreement as well as a stock bonus for Mr. DeMedio.</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LTI Stock Plan</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2014 LTI Stock Plan provides that each executive officer would be awarded shares of common stock in the event that certain metrics relating to the Company’s 2014 fiscal year would result in specified ranges of year-over-year percentage growth. The metrics are total number of connections as of June 30, 2014 as compared to total number of connections as of June 30, 2013 (50% weighting), total license and transaction fee revenues earned during the 2014 fiscal year as compared to those earned during the 2013 fiscal year (25% weighting), and adjusted EBITDA earned during the 2014 fiscal year as compared to adjusted EBITDA earned during the 2013 fiscal year (25% weighting). Adjusted EBITDA represents GAAP net income before interest income, interest expense, income taxes, depreciation, amortization, change in fair value of warrant liabilities and stock-based compensation expense.</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none of the minimum threshold year-over-year percentage target goals are achieved, the executive officers would not be awarded any shares. If all of the year-over-year percentage target goals are achieved, the executive officers would be awarded shares having the following value: Stephen P. Herbert – $341,277 (100% of base salary); and David M. DeMedio – $175,698 (75% of base salary). If all of the maximum distinguished year-over-year percentage target goals are achieved, the executive officers would be awarded shares having the following value: Mr. Herbert – $682,554 (200% of base salary); and Mr. DeMedio – $351,396 (150% of base salary).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The shares awarded under the 2014 LTI Stock Plan would vest over a three year period following issuance as follows: one-third on the first anniversary; one-third on the second anniversary; and one-third on the third anniversary.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STI Plan</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2014 STI Plan provides that each executive officer would earn a cash bonus in the event that the Company achieved during the 2014 fiscal year certain annual financial goals (80% weighting) and certain annual specific performance goals relating to the executive officer which are to be established by the Compensation Committee (20% weighting). The annual financial goals are total revenues (30% weighting), cash generated from operations (30% weighting), and non-GAAP net income (40% weighting). Non-GAAP net income represents GAAP net income excluding any adjustment for fair value of warrant liabilities.</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none of the minimum threshold target goals are achieved, the executive officers would not earn a cash bonus. If all of the target goals are achieved, the executive officers would earn a cash bonus as follows: Mr. Herbert – $51,184 (15% of base salary); and Mr. DeMedio – $29,283 (12.5% of base salary). If all of the maximum distinguished target goals are achieved, the executive officers would earn a cash bonus as follows: Mr. Herbert – $102,368 (30% of base salary); and Mr. DeMedio – $58,566 (25% of base salary). Assuming the minimum threshold target goal would be achieved for a particular metric, the amount of the cash bonus to be earned would be determined on a pro rata basis, provided that the bonus would not exceed the maximum distinguished award for that metric.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DeMedio Stock Bonus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Mr. DeMedio was awarded 21,000 vested shares of common stock of the Company as a bonus in recognition of his performance during the 2013 fiscal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DeMedio Employment Agreement</w:t>
      </w:r>
    </w:p>
    <w:p>
      <w:pPr>
        <w:spacing w:after="0" w:line="1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amendment to Mr. DeMedio’s employment agreement (the “DeMedio Amendment”) provides that (i) if following a change in control of the Company (as defined in the DeMedio Amendment) Mr. DeMedio would terminate his employment with the Company for good reason (as defined in the DeMedio Amendment), or (ii) if the Company would terminate his employment at any time without cause (as defined in the DeMedio Amendment), or (iii) if the Company would provide Mr. DeMedio with a notice of non-renewal of his employment agreement, then the Company would pay to him a lump sum equal to one times his base salary on or before the termination of his employment and all restricted stock awards would become vested as of the date of termination.</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“good reason” as defined in the DeMedio Amendment, includes any of the following which have occurred within 12 months following a change in control of the Company: (A) a material breach of the terms of the agreement by the Company; (B) the assignment by the Company to Mr. DeMedio of duties in any way materially inconsistent with his authorities, duties, or responsibilities and status as Chief Financial Officer, or a material reduction or alteration in the nature or status of his authority, duties, or responsibilities as Chief Financial Officer; (C) the Company reduces Mr. DeMedio’s annual base salary; or (D) a reduction by the Company in the kind or level of employee benefits to which Mr. DeMedio is entitled immediately prior to such reduction with the result that his overall benefit package is significantly reduced unless such failure to continue a plan, policy, practice or arrangement pertains to all plan participants generally.</w:t>
      </w:r>
    </w:p>
    <w:p>
      <w:pPr>
        <w:spacing w:after="0" w:line="1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DeMedio Amendment also provides that as a condition of the consummation of a change in control of the Company (as defined in the DeMedio Amendment), the successor to the Company’s business or assets would agree to assume and perform Mr. DeMedio’s employment agreement. If any such successor would not do so, Mr. DeMedio’s employment would terminate on the date of consummation of the change in control, and the Company would pay to Mr. DeMedio a lump sum equal to one times his base salary and all restricted stock awards would become vested.</w:t>
      </w:r>
    </w:p>
    <w:p>
      <w:pPr>
        <w:spacing w:after="0" w:line="191" w:lineRule="exact"/>
        <w:rPr>
          <w:sz w:val="20"/>
          <w:szCs w:val="20"/>
          <w:color w:val="auto"/>
        </w:rPr>
      </w:pPr>
    </w:p>
    <w:p>
      <w:pPr>
        <w:ind w:right="60"/>
        <w:spacing w:after="0" w:line="274" w:lineRule="auto"/>
        <w:rPr>
          <w:sz w:val="20"/>
          <w:szCs w:val="20"/>
          <w:color w:val="auto"/>
        </w:rPr>
      </w:pPr>
      <w:r>
        <w:rPr>
          <w:rFonts w:ascii="Arial" w:cs="Arial" w:eastAsia="Arial" w:hAnsi="Arial"/>
          <w:sz w:val="21"/>
          <w:szCs w:val="21"/>
          <w:color w:val="auto"/>
        </w:rPr>
        <w:t>The foregoing summary of the DeMedio Amendment does not purport to be complete and is qualified in its entirety by reference to the DeMedio Amendment, which is filed hereto as Exhibit 10.1 and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Exhibit</w:t>
            </w:r>
          </w:p>
        </w:tc>
        <w:tc>
          <w:tcPr>
            <w:tcW w:w="1360" w:type="dxa"/>
            <w:vAlign w:val="bottom"/>
          </w:tcPr>
          <w:p>
            <w:pPr>
              <w:spacing w:after="0"/>
              <w:rPr>
                <w:sz w:val="18"/>
                <w:szCs w:val="18"/>
                <w:color w:val="auto"/>
              </w:rPr>
            </w:pPr>
          </w:p>
        </w:tc>
        <w:tc>
          <w:tcPr>
            <w:tcW w:w="912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Number</w:t>
            </w: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rPr>
              <w:t>Description</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w w:val="91"/>
              </w:rPr>
              <w:t>Seventh Amendment to Employment and Non-Competition Agreement dated as of November 7, 2013 between the Company and David M.</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rPr>
              <w:t>DeMedio.</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rPr>
              <w:t>Certifications of Chief Executive Officer pursuant to Rule 13a-14(a) under the Securities Exchange Act of 1934.</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rPr>
              <w:t>Certifications of Chief Financial Officer pursuant to Rule 13a-14(a) under the Securities Exchange Act of 1934.</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w w:val="93"/>
              </w:rPr>
              <w:t>Certification of the Chief Executive Officer pursuant to 18 USC Section 1350, as adopted pursuant to Section 906 of the Sarbanes-Oxley</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rPr>
              <w:t>Act of 2002.</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 Sarbanes-Oxley Act</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rPr>
              <w:t>of 2002.</w:t>
            </w:r>
          </w:p>
        </w:tc>
      </w:tr>
      <w:tr>
        <w:trPr>
          <w:trHeight w:val="230"/>
        </w:trPr>
        <w:tc>
          <w:tcPr>
            <w:tcW w:w="9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91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USA TECHNOLOGIES,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13, 2013</w:t>
            </w:r>
          </w:p>
        </w:tc>
        <w:tc>
          <w:tcPr>
            <w:tcW w:w="264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37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13, 2013</w:t>
            </w:r>
          </w:p>
        </w:tc>
        <w:tc>
          <w:tcPr>
            <w:tcW w:w="264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DeMedio</w:t>
            </w:r>
          </w:p>
        </w:tc>
      </w:tr>
      <w:tr>
        <w:trPr>
          <w:trHeight w:val="195"/>
        </w:trPr>
        <w:tc>
          <w:tcPr>
            <w:tcW w:w="37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David M. DeMedio</w:t>
            </w:r>
          </w:p>
        </w:tc>
      </w:tr>
      <w:tr>
        <w:trPr>
          <w:trHeight w:val="230"/>
        </w:trPr>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7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22</w:t>
            </w: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SEVENTH AMENDMENT TO EMPLOYMENT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NON-COMPETITION AGREEMENT</w:t>
      </w:r>
    </w:p>
    <w:p>
      <w:pPr>
        <w:spacing w:after="0" w:line="21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18"/>
          <w:szCs w:val="18"/>
          <w:color w:val="auto"/>
        </w:rPr>
        <w:t>This Seventh Amendment is made as of the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2013, by and between DAVID M. DeMEDIO (“DeMedio”), and USA TECHNOLOGIES, INC., a Pennsylvania corporation (“USA”).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USA and DeMedio entered into an Employment And Non-Competition Agreement dated April 12, 2005, a First Amendment thereto dated May 11, 2006, a Second Amendment thereto dated March 13, 2007, a Third Amendment thereto dated September 22, 2008, a Fourth Amendment thereto dated April 14, 2011, a Fifth Amendment thereto dated as of July 1, 2011, and a Sixth Amendment thereto dated September 27, 2011, and USA has issued a letter to DeMedio dated September 24, 2009 (collectively, the “Agreement”). As more fully set forth herein, the parties desire to amend the Employment Agreement in certain respects.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128905</wp:posOffset>
            </wp:positionV>
            <wp:extent cx="285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covenants set forth herein, and intending to be legally bound hereby, the parties agree as follows:</w:t>
      </w:r>
    </w:p>
    <w:p>
      <w:pPr>
        <w:spacing w:after="0" w:line="233" w:lineRule="exact"/>
        <w:rPr>
          <w:sz w:val="20"/>
          <w:szCs w:val="20"/>
          <w:color w:val="auto"/>
        </w:rPr>
      </w:pPr>
    </w:p>
    <w:p>
      <w:pPr>
        <w:ind w:left="1220" w:hanging="186"/>
        <w:spacing w:after="0"/>
        <w:tabs>
          <w:tab w:leader="none" w:pos="1220" w:val="left"/>
        </w:tabs>
        <w:numPr>
          <w:ilvl w:val="1"/>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A. The following new Section 14 is hereby added to the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firstLine="648"/>
        <w:spacing w:after="0" w:line="313" w:lineRule="auto"/>
        <w:rPr>
          <w:sz w:val="20"/>
          <w:szCs w:val="20"/>
          <w:color w:val="auto"/>
        </w:rPr>
      </w:pPr>
      <w:r>
        <w:rPr>
          <w:rFonts w:ascii="Arial" w:cs="Arial" w:eastAsia="Arial" w:hAnsi="Arial"/>
          <w:sz w:val="17"/>
          <w:szCs w:val="17"/>
          <w:b w:val="1"/>
          <w:bCs w:val="1"/>
          <w:color w:val="auto"/>
        </w:rPr>
        <w:t>SECTION 14. Termination</w:t>
      </w:r>
      <w:r>
        <w:rPr>
          <w:rFonts w:ascii="Arial" w:cs="Arial" w:eastAsia="Arial" w:hAnsi="Arial"/>
          <w:sz w:val="17"/>
          <w:szCs w:val="17"/>
          <w:color w:val="auto"/>
        </w:rPr>
        <w:t>. In addition to the notice of non-renewal of the Employment Period referred to in Section 1(a) and to Section 3 (relating</w:t>
      </w:r>
      <w:r>
        <w:rPr>
          <w:rFonts w:ascii="Arial" w:cs="Arial" w:eastAsia="Arial" w:hAnsi="Arial"/>
          <w:sz w:val="17"/>
          <w:szCs w:val="17"/>
          <w:b w:val="1"/>
          <w:bCs w:val="1"/>
          <w:color w:val="auto"/>
        </w:rPr>
        <w:t xml:space="preserve"> </w:t>
      </w:r>
      <w:r>
        <w:rPr>
          <w:rFonts w:ascii="Arial" w:cs="Arial" w:eastAsia="Arial" w:hAnsi="Arial"/>
          <w:sz w:val="17"/>
          <w:szCs w:val="17"/>
          <w:color w:val="auto"/>
        </w:rPr>
        <w:t>to a “for cause” termination) and Section 4 (relating to death or disability), DeMedio’s employment with USA may be terminated as follows:</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Termination With Good Reason</w:t>
      </w:r>
      <w:r>
        <w:rPr>
          <w:rFonts w:ascii="Arial" w:cs="Arial" w:eastAsia="Arial" w:hAnsi="Arial"/>
          <w:sz w:val="18"/>
          <w:szCs w:val="18"/>
          <w:color w:val="auto"/>
        </w:rPr>
        <w:t>.</w:t>
      </w:r>
    </w:p>
    <w:p>
      <w:pPr>
        <w:spacing w:after="0" w:line="225" w:lineRule="exact"/>
        <w:rPr>
          <w:sz w:val="20"/>
          <w:szCs w:val="20"/>
          <w:color w:val="auto"/>
        </w:rPr>
      </w:pPr>
    </w:p>
    <w:p>
      <w:pPr>
        <w:jc w:val="both"/>
        <w:ind w:firstLine="1953"/>
        <w:spacing w:after="0" w:line="264" w:lineRule="auto"/>
        <w:tabs>
          <w:tab w:leader="none" w:pos="2172" w:val="left"/>
        </w:tabs>
        <w:numPr>
          <w:ilvl w:val="1"/>
          <w:numId w:val="9"/>
        </w:numPr>
        <w:rPr>
          <w:rFonts w:ascii="Arial" w:cs="Arial" w:eastAsia="Arial" w:hAnsi="Arial"/>
          <w:sz w:val="18"/>
          <w:szCs w:val="18"/>
          <w:color w:val="auto"/>
        </w:rPr>
      </w:pPr>
      <w:r>
        <w:rPr>
          <w:rFonts w:ascii="Arial" w:cs="Arial" w:eastAsia="Arial" w:hAnsi="Arial"/>
          <w:sz w:val="18"/>
          <w:szCs w:val="18"/>
          <w:color w:val="auto"/>
        </w:rPr>
        <w:t>Following the occurrence of a USA Transaction, DeMedio may voluntarily terminate DeMedio’s employment hereunder with Good Reason (as defined below) effective on the date DeMedio provides USA with a signed, written notice of DeMedio’s termination of employment pursuant to this Section 14.A.</w:t>
      </w:r>
    </w:p>
    <w:p>
      <w:pPr>
        <w:spacing w:after="0" w:line="181" w:lineRule="exact"/>
        <w:rPr>
          <w:rFonts w:ascii="Arial" w:cs="Arial" w:eastAsia="Arial" w:hAnsi="Arial"/>
          <w:sz w:val="18"/>
          <w:szCs w:val="18"/>
          <w:color w:val="auto"/>
        </w:rPr>
      </w:pPr>
    </w:p>
    <w:p>
      <w:pPr>
        <w:ind w:firstLine="1953"/>
        <w:spacing w:after="0" w:line="277" w:lineRule="auto"/>
        <w:tabs>
          <w:tab w:leader="none" w:pos="2218"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DeMedio voluntarily terminates DeMedio’s employment hereunder with Good Reason, DeMedio will be entitled to receive the following compensation and benefits:</w:t>
      </w:r>
    </w:p>
    <w:p>
      <w:pPr>
        <w:spacing w:after="0" w:line="170" w:lineRule="exact"/>
        <w:rPr>
          <w:rFonts w:ascii="Arial" w:cs="Arial" w:eastAsia="Arial" w:hAnsi="Arial"/>
          <w:sz w:val="18"/>
          <w:szCs w:val="18"/>
          <w:color w:val="auto"/>
        </w:rPr>
      </w:pPr>
    </w:p>
    <w:p>
      <w:pPr>
        <w:ind w:right="20" w:firstLine="2601"/>
        <w:spacing w:after="0" w:line="277" w:lineRule="auto"/>
        <w:tabs>
          <w:tab w:leader="none" w:pos="2843" w:val="left"/>
        </w:tabs>
        <w:numPr>
          <w:ilvl w:val="2"/>
          <w:numId w:val="9"/>
        </w:numPr>
        <w:rPr>
          <w:rFonts w:ascii="Arial" w:cs="Arial" w:eastAsia="Arial" w:hAnsi="Arial"/>
          <w:sz w:val="18"/>
          <w:szCs w:val="18"/>
          <w:color w:val="auto"/>
        </w:rPr>
      </w:pPr>
      <w:r>
        <w:rPr>
          <w:rFonts w:ascii="Arial" w:cs="Arial" w:eastAsia="Arial" w:hAnsi="Arial"/>
          <w:sz w:val="18"/>
          <w:szCs w:val="18"/>
          <w:color w:val="auto"/>
        </w:rPr>
        <w:t>On or before the termination of DeMedio’s employment, USA shall pay to DeMedio a lump sum equal to one year of his base salary at the time of the termination date;</w:t>
      </w:r>
    </w:p>
    <w:p>
      <w:pPr>
        <w:spacing w:after="0" w:line="170" w:lineRule="exact"/>
        <w:rPr>
          <w:rFonts w:ascii="Arial" w:cs="Arial" w:eastAsia="Arial" w:hAnsi="Arial"/>
          <w:sz w:val="18"/>
          <w:szCs w:val="18"/>
          <w:color w:val="auto"/>
        </w:rPr>
      </w:pPr>
    </w:p>
    <w:p>
      <w:pPr>
        <w:ind w:left="2860" w:hanging="259"/>
        <w:spacing w:after="0"/>
        <w:tabs>
          <w:tab w:leader="none" w:pos="2860" w:val="left"/>
        </w:tabs>
        <w:numPr>
          <w:ilvl w:val="2"/>
          <w:numId w:val="9"/>
        </w:numPr>
        <w:rPr>
          <w:rFonts w:ascii="Arial" w:cs="Arial" w:eastAsia="Arial" w:hAnsi="Arial"/>
          <w:sz w:val="18"/>
          <w:szCs w:val="18"/>
          <w:color w:val="auto"/>
        </w:rPr>
      </w:pPr>
      <w:r>
        <w:rPr>
          <w:rFonts w:ascii="Arial" w:cs="Arial" w:eastAsia="Arial" w:hAnsi="Arial"/>
          <w:sz w:val="18"/>
          <w:szCs w:val="18"/>
          <w:color w:val="auto"/>
        </w:rPr>
        <w:t>USA shall pay to DeMedio all base salary or bonuses earned or vested on or before the date of termination;</w:t>
      </w:r>
    </w:p>
    <w:p>
      <w:pPr>
        <w:spacing w:after="0" w:line="225" w:lineRule="exact"/>
        <w:rPr>
          <w:rFonts w:ascii="Arial" w:cs="Arial" w:eastAsia="Arial" w:hAnsi="Arial"/>
          <w:sz w:val="18"/>
          <w:szCs w:val="18"/>
          <w:color w:val="auto"/>
        </w:rPr>
      </w:pPr>
    </w:p>
    <w:p>
      <w:pPr>
        <w:ind w:left="2840" w:hanging="239"/>
        <w:spacing w:after="0"/>
        <w:tabs>
          <w:tab w:leader="none" w:pos="2840" w:val="left"/>
        </w:tabs>
        <w:numPr>
          <w:ilvl w:val="2"/>
          <w:numId w:val="9"/>
        </w:numPr>
        <w:rPr>
          <w:rFonts w:ascii="Arial" w:cs="Arial" w:eastAsia="Arial" w:hAnsi="Arial"/>
          <w:sz w:val="17"/>
          <w:szCs w:val="17"/>
          <w:color w:val="auto"/>
        </w:rPr>
      </w:pPr>
      <w:r>
        <w:rPr>
          <w:rFonts w:ascii="Arial" w:cs="Arial" w:eastAsia="Arial" w:hAnsi="Arial"/>
          <w:sz w:val="17"/>
          <w:szCs w:val="17"/>
          <w:color w:val="auto"/>
        </w:rPr>
        <w:t>all restricted stock awards and stock options shall become immediately vested on the date of termination; and</w:t>
      </w:r>
    </w:p>
    <w:p>
      <w:pPr>
        <w:spacing w:after="0" w:line="236" w:lineRule="exact"/>
        <w:rPr>
          <w:rFonts w:ascii="Arial" w:cs="Arial" w:eastAsia="Arial" w:hAnsi="Arial"/>
          <w:sz w:val="17"/>
          <w:szCs w:val="17"/>
          <w:color w:val="auto"/>
        </w:rPr>
      </w:pPr>
    </w:p>
    <w:p>
      <w:pPr>
        <w:ind w:left="2860" w:hanging="259"/>
        <w:spacing w:after="0"/>
        <w:tabs>
          <w:tab w:leader="none" w:pos="2860" w:val="left"/>
        </w:tabs>
        <w:numPr>
          <w:ilvl w:val="2"/>
          <w:numId w:val="9"/>
        </w:numPr>
        <w:rPr>
          <w:rFonts w:ascii="Arial" w:cs="Arial" w:eastAsia="Arial" w:hAnsi="Arial"/>
          <w:sz w:val="17"/>
          <w:szCs w:val="17"/>
          <w:color w:val="auto"/>
        </w:rPr>
      </w:pPr>
      <w:r>
        <w:rPr>
          <w:rFonts w:ascii="Arial" w:cs="Arial" w:eastAsia="Arial" w:hAnsi="Arial"/>
          <w:sz w:val="17"/>
          <w:szCs w:val="17"/>
          <w:color w:val="auto"/>
        </w:rPr>
        <w:t>any benefits or compensation provided under the terms of any benefit plan or other provisions of this Agreement.</w:t>
      </w:r>
    </w:p>
    <w:p>
      <w:pPr>
        <w:spacing w:after="0" w:line="236" w:lineRule="exact"/>
        <w:rPr>
          <w:rFonts w:ascii="Arial" w:cs="Arial" w:eastAsia="Arial" w:hAnsi="Arial"/>
          <w:sz w:val="17"/>
          <w:szCs w:val="17"/>
          <w:color w:val="auto"/>
        </w:rPr>
      </w:pPr>
    </w:p>
    <w:p>
      <w:pPr>
        <w:jc w:val="both"/>
        <w:ind w:firstLine="1953"/>
        <w:spacing w:after="0" w:line="284" w:lineRule="auto"/>
        <w:tabs>
          <w:tab w:leader="none" w:pos="2260" w:val="left"/>
        </w:tabs>
        <w:numPr>
          <w:ilvl w:val="1"/>
          <w:numId w:val="9"/>
        </w:numPr>
        <w:rPr>
          <w:rFonts w:ascii="Arial" w:cs="Arial" w:eastAsia="Arial" w:hAnsi="Arial"/>
          <w:sz w:val="16"/>
          <w:szCs w:val="16"/>
          <w:color w:val="auto"/>
        </w:rPr>
      </w:pPr>
      <w:r>
        <w:rPr>
          <w:rFonts w:ascii="Arial" w:cs="Arial" w:eastAsia="Arial" w:hAnsi="Arial"/>
          <w:sz w:val="16"/>
          <w:szCs w:val="16"/>
          <w:color w:val="auto"/>
        </w:rPr>
        <w:t>“Good Reason” means any of the following conditions which have occurred within a period of twelve (12) months following a USA Transaction, and which remains uncured after the expiration of 30 days following the delivery of written notice of such condition to USA by DeMedio, with respect to which DeMedio terminates employment within 90 days after the initial existence of the condition: (A) a material breach of the terms of this Agreement by USA; (B) the assignment by USA to DeMedio of duties in any way materially inconsistent with DeMedio’s authorities, duties, responsibilities, and status, as Chief Financial Officer of USA, or a material reduction or alteration in the nature or status of DeMedio’s authority, duties, or responsibilities as Chief Financial Officer; provided, however, that a material reduction or alteration referred to in this subsection (B) shall not include any change or reduction in DeMedio’s authorities, duties or responsibilities resulting solely from USA becoming a private company or a subsidiary or division of another company;</w:t>
      </w:r>
    </w:p>
    <w:p>
      <w:pPr>
        <w:spacing w:after="0" w:line="2" w:lineRule="exact"/>
        <w:rPr>
          <w:rFonts w:ascii="Arial" w:cs="Arial" w:eastAsia="Arial" w:hAnsi="Arial"/>
          <w:sz w:val="16"/>
          <w:szCs w:val="16"/>
          <w:color w:val="auto"/>
        </w:rPr>
      </w:pPr>
    </w:p>
    <w:p>
      <w:pPr>
        <w:jc w:val="both"/>
        <w:ind w:firstLine="8"/>
        <w:spacing w:after="0" w:line="254"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USA reduces DeMedio’s annual base salary; (D) any reduction by USA in the kind or level of employee benefits to which DeMedio is entitled immediately prior to such reduction with the result that DeMedio’s overall benefit package is significantly reduced unless such failure to continue a plan, policy, practice or arrangement pertains to all plan participants generally; or (E) requiring DeMedio to be based at a location in excess of 50 miles from DeMedio’s current residence.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4" w:name="page25"/>
    <w:bookmarkEnd w:id="24"/>
    <w:p>
      <w:pPr>
        <w:jc w:val="both"/>
        <w:ind w:right="20" w:firstLine="1953"/>
        <w:spacing w:after="0" w:line="264" w:lineRule="auto"/>
        <w:tabs>
          <w:tab w:leader="none" w:pos="22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 a condition to DeMedio receiving any of the payments or benefits provided under this subsection A, DeMedio shall have executed and delivered to USA (and not revoked) a release of any and all claims, suits, or causes of action against USA and its affiliates in form reasonably acceptable to USA.</w:t>
      </w:r>
    </w:p>
    <w:p>
      <w:pPr>
        <w:spacing w:after="0" w:line="181" w:lineRule="exact"/>
        <w:rPr>
          <w:rFonts w:ascii="Arial" w:cs="Arial" w:eastAsia="Arial" w:hAnsi="Arial"/>
          <w:sz w:val="18"/>
          <w:szCs w:val="18"/>
          <w:color w:val="auto"/>
        </w:rPr>
      </w:pPr>
    </w:p>
    <w:p>
      <w:pPr>
        <w:ind w:left="1520" w:hanging="215"/>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or Non-Renewal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59" w:lineRule="auto"/>
        <w:tabs>
          <w:tab w:leader="none" w:pos="21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USA, in its sole discretion, may at any time terminate DeMedio’s employment hereunder without cause (as such term is described in Section 3), by giving DeMedio at least 30 days’ (and not more than 90 days) prior written notice of USA’s intent to terminate DeMedio’s employment as of a specified date; provided, however, that during all or any part of the remaining Employment Period, USA, in its sole discretion, may modify, reduce or eliminate DeMedio’s duties hereunder.</w:t>
      </w:r>
    </w:p>
    <w:p>
      <w:pPr>
        <w:spacing w:after="0" w:line="186" w:lineRule="exact"/>
        <w:rPr>
          <w:rFonts w:ascii="Arial" w:cs="Arial" w:eastAsia="Arial" w:hAnsi="Arial"/>
          <w:sz w:val="18"/>
          <w:szCs w:val="18"/>
          <w:color w:val="auto"/>
        </w:rPr>
      </w:pPr>
    </w:p>
    <w:p>
      <w:pPr>
        <w:jc w:val="both"/>
        <w:ind w:firstLine="1953"/>
        <w:spacing w:after="0" w:line="264" w:lineRule="auto"/>
        <w:tabs>
          <w:tab w:leader="none" w:pos="2228"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USA terminates DeMedio’s employment pursuant to subsection (i) , or if DeMedio’s employment is terminated upon the expiration of the Employment Period as a result of USA providing a notice of non-renewal to DeMedio pursuant to Section 1.a hereof, DeMedio will be entitled to receive the following compensation and benefits:</w:t>
      </w:r>
    </w:p>
    <w:p>
      <w:pPr>
        <w:spacing w:after="0" w:line="181" w:lineRule="exact"/>
        <w:rPr>
          <w:rFonts w:ascii="Arial" w:cs="Arial" w:eastAsia="Arial" w:hAnsi="Arial"/>
          <w:sz w:val="18"/>
          <w:szCs w:val="18"/>
          <w:color w:val="auto"/>
        </w:rPr>
      </w:pPr>
    </w:p>
    <w:p>
      <w:pPr>
        <w:ind w:right="20" w:firstLine="2601"/>
        <w:spacing w:after="0" w:line="277" w:lineRule="auto"/>
        <w:tabs>
          <w:tab w:leader="none" w:pos="2843" w:val="left"/>
        </w:tabs>
        <w:numPr>
          <w:ilvl w:val="2"/>
          <w:numId w:val="12"/>
        </w:numPr>
        <w:rPr>
          <w:rFonts w:ascii="Arial" w:cs="Arial" w:eastAsia="Arial" w:hAnsi="Arial"/>
          <w:sz w:val="18"/>
          <w:szCs w:val="18"/>
          <w:color w:val="auto"/>
        </w:rPr>
      </w:pPr>
      <w:r>
        <w:rPr>
          <w:rFonts w:ascii="Arial" w:cs="Arial" w:eastAsia="Arial" w:hAnsi="Arial"/>
          <w:sz w:val="18"/>
          <w:szCs w:val="18"/>
          <w:color w:val="auto"/>
        </w:rPr>
        <w:t>On or before the termination of DeMedio’s employment, USA shall pay to DeMedio a lump sum equal to one year of his base salary at the time of the termination date;</w:t>
      </w:r>
    </w:p>
    <w:p>
      <w:pPr>
        <w:spacing w:after="0" w:line="170" w:lineRule="exact"/>
        <w:rPr>
          <w:rFonts w:ascii="Arial" w:cs="Arial" w:eastAsia="Arial" w:hAnsi="Arial"/>
          <w:sz w:val="18"/>
          <w:szCs w:val="18"/>
          <w:color w:val="auto"/>
        </w:rPr>
      </w:pPr>
    </w:p>
    <w:p>
      <w:pPr>
        <w:ind w:left="2860" w:hanging="259"/>
        <w:spacing w:after="0"/>
        <w:tabs>
          <w:tab w:leader="none" w:pos="28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USA shall pay to DeMedio all base salary or bonuses earned or vested on or before the date of termination;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left="2840" w:hanging="239"/>
        <w:spacing w:after="0"/>
        <w:tabs>
          <w:tab w:leader="none" w:pos="28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restricted stock awards or stock options shall become immediately vested on the date of termination; and</w:t>
      </w:r>
    </w:p>
    <w:p>
      <w:pPr>
        <w:spacing w:after="0" w:line="236" w:lineRule="exact"/>
        <w:rPr>
          <w:rFonts w:ascii="Arial" w:cs="Arial" w:eastAsia="Arial" w:hAnsi="Arial"/>
          <w:sz w:val="17"/>
          <w:szCs w:val="17"/>
          <w:color w:val="auto"/>
        </w:rPr>
      </w:pPr>
    </w:p>
    <w:p>
      <w:pPr>
        <w:ind w:left="1300" w:right="60" w:firstLine="1301"/>
        <w:spacing w:after="0" w:line="501" w:lineRule="auto"/>
        <w:tabs>
          <w:tab w:leader="none" w:pos="2851"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any other benefit or compensation provided under the terms of any benefit plan or other provisions of this Agreement. C. </w:t>
      </w:r>
      <w:r>
        <w:rPr>
          <w:rFonts w:ascii="Arial" w:cs="Arial" w:eastAsia="Arial" w:hAnsi="Arial"/>
          <w:sz w:val="18"/>
          <w:szCs w:val="18"/>
          <w:u w:val="single" w:color="auto"/>
          <w:color w:val="auto"/>
        </w:rPr>
        <w:t>Termination Without Good Reason</w:t>
      </w:r>
      <w:r>
        <w:rPr>
          <w:rFonts w:ascii="Arial" w:cs="Arial" w:eastAsia="Arial" w:hAnsi="Arial"/>
          <w:sz w:val="18"/>
          <w:szCs w:val="18"/>
          <w:color w:val="auto"/>
        </w:rPr>
        <w:t>.</w:t>
      </w:r>
    </w:p>
    <w:p>
      <w:pPr>
        <w:jc w:val="both"/>
        <w:ind w:firstLine="1945"/>
        <w:spacing w:after="0" w:line="291" w:lineRule="auto"/>
        <w:rPr>
          <w:sz w:val="20"/>
          <w:szCs w:val="20"/>
          <w:color w:val="auto"/>
        </w:rPr>
      </w:pPr>
      <w:r>
        <w:rPr>
          <w:rFonts w:ascii="Arial" w:cs="Arial" w:eastAsia="Arial" w:hAnsi="Arial"/>
          <w:sz w:val="16"/>
          <w:szCs w:val="16"/>
          <w:color w:val="auto"/>
        </w:rPr>
        <w:t>DeMedio may at any time voluntarily terminate DeMedio’s employment hereunder without Good Reason (as such term is defined above), effective as of the end of the 90-day period beginning on the date DeMedio provides USA with a signed, written notice of DeMedio’s termination; provided, however, in its sole discretion (a) USA may accept such resignation effective as of an earlier date in lieu of waiting for passage of the 90-day notice period, or (b) during all or any part of the 90-day notice period, USA may retain DeMedio as an employee but modify, reduce or eliminate DeMedio’s duties hereunder. If DeMedio voluntarily terminates DeMedio’s employment hereunder without Good Reason, USA will pay to DeMedio only (a) DeMedio’s annual base salary earned through the date of termination, (b) all bonuses earned or vested on or before the date of termination, and (c) any benefits or compensation provided under the terms of any benefit plan or other provisions of this Agreement through the date of termination.</w:t>
      </w:r>
    </w:p>
    <w:p>
      <w:pPr>
        <w:spacing w:after="0" w:line="16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D. At the time of the consummation of a USA Transaction, and as a condition thereof, USA shall require any successor (whether direct or indirect, by purchase, merger, consolidation or otherwise) to all or substantially all of the business or assets of USA expressly to assume and agree to perform this Agreement to the same extent that USA would be required to perform it if no such USA Transaction had taken place. Failure of USA to obtain an assumption of this Agreement at or prior to the consummation of such USA Transaction shall result in the termination of DeMedio’s employment on the date of the consummation of the USA Transaction. In the event of the termination of DeMedio’s employment, DeMedio shall receive from USA all of the compensation and benefits described in subparagraphs (a), (b), (c), and (d) of subsection (ii) of Section 14.B as if DeMedio’s employment had been terminated by USA pursuant to subsection (i) of Section 14.B on the date of the consummation of the USA Transaction. As used in this Agreement, USA shall mean USA and any successor to its business or assets as aforesaid which assumes and agrees to perform this Agreement, by operation of law or otherwise.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firstLine="1297"/>
        <w:spacing w:after="0" w:line="342" w:lineRule="auto"/>
        <w:rPr>
          <w:sz w:val="20"/>
          <w:szCs w:val="20"/>
          <w:color w:val="auto"/>
        </w:rPr>
      </w:pPr>
      <w:r>
        <w:rPr>
          <w:rFonts w:ascii="Arial" w:cs="Arial" w:eastAsia="Arial" w:hAnsi="Arial"/>
          <w:sz w:val="16"/>
          <w:szCs w:val="16"/>
          <w:color w:val="auto"/>
        </w:rPr>
        <w:t>E. In addition to any other terms or conditions that survive the termination of DeMedio’s employment with USA, all of the terms and conditions of Sections 5 and 6 shall survive the termination of DeMedio’s employment with USA for any reason whatsoever, including under this Section 14.</w:t>
      </w:r>
    </w:p>
    <w:p>
      <w:pPr>
        <w:spacing w:after="0" w:line="12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F. Except as specifically provided otherwise herein, DeMedio shall not be required to mitigate the amount of any payment provided for in this Section 14 by seeking other employment or otherwise, nor shall the amount of such payment be reduced by reason of compensation or other income DeMedio receives for services rendered after DeMedio’s termination of employment with USA.</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 For purposes of this Agreement, the term “USA Transaction” shall mean:</w:t>
      </w:r>
    </w:p>
    <w:p>
      <w:pPr>
        <w:spacing w:after="0" w:line="225" w:lineRule="exact"/>
        <w:rPr>
          <w:sz w:val="20"/>
          <w:szCs w:val="20"/>
          <w:color w:val="auto"/>
        </w:rPr>
      </w:pPr>
    </w:p>
    <w:p>
      <w:pPr>
        <w:jc w:val="both"/>
        <w:ind w:firstLine="1953"/>
        <w:spacing w:after="0" w:line="276" w:lineRule="auto"/>
        <w:tabs>
          <w:tab w:leader="none" w:pos="217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acquisition by any person, entity or group required to file (or which would be required to file if USA had been subject to such provisions) a Schedule 13D or Schedule 14d-1 promulgated under the Securities Exchange Act of 1934 (“Exchange Act”) or any acquisition by any person entitled to file (or which would be entitled to file if USA had been subject to such provisions) a Form 13G under the Exchange Act with respect to such acquisition of beneficial ownership (within the meaning of Rule 13d-3 promulgated under the Exchange Act) of 51% or more of USA’s then outstanding voting securities entitled to vote generally in the election of Directors (the “Outstanding Shares”); or</w:t>
      </w:r>
    </w:p>
    <w:p>
      <w:pPr>
        <w:spacing w:after="0" w:line="172" w:lineRule="exact"/>
        <w:rPr>
          <w:rFonts w:ascii="Arial" w:cs="Arial" w:eastAsia="Arial" w:hAnsi="Arial"/>
          <w:sz w:val="17"/>
          <w:szCs w:val="17"/>
          <w:color w:val="auto"/>
        </w:rPr>
      </w:pPr>
    </w:p>
    <w:p>
      <w:pPr>
        <w:jc w:val="both"/>
        <w:ind w:firstLine="1953"/>
        <w:spacing w:after="0" w:line="290" w:lineRule="auto"/>
        <w:tabs>
          <w:tab w:leader="none" w:pos="221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change in the composition of the Board of Directors of USA over a period of twenty-four (24) months or less such that the Continuing Directors (as defined below) fail to constitute a majority of the Board (or, if applicable, the Board of Directors of a successor corporation to USA). The term “Continuing Director” means at any date a member of the Board (i) who was a member of the Board on the date of the execution of this Agreement, or (ii) who was nominated or elected subsequent to such date by at least a majority (but not less than three) of the directors who were Continuing Directors at the time of such nomination or election or whose election to the Board was recommended or endorsed by at least a majority (but not less than three) of the directors who were Continuing Directors at the time of such nomination or election,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any person, entity or group other than the Board of Directors of USA; 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right="20" w:firstLine="1305"/>
        <w:spacing w:after="0" w:line="277" w:lineRule="auto"/>
        <w:tabs>
          <w:tab w:leader="none" w:pos="16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by the shareholders of USA of a reorganization, merger, consolidation, liquidation, or dissolution of USA, or the sale, transfer, lease or other disposition of all or substantially all of the assets of USA (“Business Combination”).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subsection (iii) above, and other than in connection with a liquidation or dissolution of USA, a Business Combination described in subsection (iii) above shall not constitute a USA Transaction if following such Business Combination, (A) all or substantially all of the individuals and entities who were the beneficial owners of the Outstanding Shares immediately prior to such Business Combination beneficially own, directly or indirectly, more than 51% of the Outstanding Shares of the entity resulting from such business combination (including without limitation, an entity which as a result of such transactions owns USA or all or substantially all of USA’s assets either directly or through one or more subsidiaries), and (B) no person owns, directly or indirectly, 49% or more of the Outstanding Shares of the entity resulting from such Business Combination except to the extent that such ownership existed prior to the Business Combination.</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 Section 1(c) of the Agreement and the fourth paragraph of the September 24, 2009 letter from USA to DeMedio are hereby deleted from the Agreement in their entirety.</w:t>
      </w:r>
    </w:p>
    <w:p>
      <w:pPr>
        <w:spacing w:after="0" w:line="166" w:lineRule="exact"/>
        <w:rPr>
          <w:sz w:val="20"/>
          <w:szCs w:val="20"/>
          <w:color w:val="auto"/>
        </w:rPr>
      </w:pPr>
    </w:p>
    <w:p>
      <w:pPr>
        <w:ind w:firstLine="656"/>
        <w:spacing w:after="0" w:line="282" w:lineRule="auto"/>
        <w:tabs>
          <w:tab w:leader="none" w:pos="855"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Modification</w:t>
      </w:r>
      <w:r>
        <w:rPr>
          <w:rFonts w:ascii="Arial" w:cs="Arial" w:eastAsia="Arial" w:hAnsi="Arial"/>
          <w:sz w:val="18"/>
          <w:szCs w:val="18"/>
          <w:color w:val="auto"/>
        </w:rPr>
        <w:t>. Except as otherwise specifically set forth in Paragraph 1, the Agreement shall not be amended or modified in any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whatsoever and shall continue in full force and effect.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left="660" w:right="99" w:hanging="4"/>
        <w:spacing w:after="0" w:line="347" w:lineRule="auto"/>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Effective Time</w:t>
      </w:r>
      <w:r>
        <w:rPr>
          <w:rFonts w:ascii="Arial" w:cs="Arial" w:eastAsia="Arial" w:hAnsi="Arial"/>
          <w:sz w:val="16"/>
          <w:szCs w:val="16"/>
          <w:color w:val="auto"/>
        </w:rPr>
        <w:t>. The amendments to the Agreement made in Paragraph 1 hereof shall be effective from and after the date hereof.</w:t>
      </w:r>
      <w:r>
        <w:rPr>
          <w:rFonts w:ascii="Arial" w:cs="Arial" w:eastAsia="Arial" w:hAnsi="Arial"/>
          <w:sz w:val="16"/>
          <w:szCs w:val="16"/>
          <w:b w:val="1"/>
          <w:bCs w:val="1"/>
          <w:color w:val="auto"/>
        </w:rPr>
        <w:t xml:space="preserve"> </w:t>
      </w:r>
      <w:r>
        <w:rPr>
          <w:rFonts w:ascii="Arial" w:cs="Arial" w:eastAsia="Arial" w:hAnsi="Arial"/>
          <w:sz w:val="16"/>
          <w:szCs w:val="16"/>
          <w:color w:val="auto"/>
        </w:rPr>
        <w:t>IN WITNESS WHEREOF, the parties hereto have executed this Seventh Amendment as of the day and year first above written.</w:t>
      </w:r>
    </w:p>
    <w:p>
      <w:pPr>
        <w:spacing w:after="0" w:line="3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David M. DeMedio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ind w:left="576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P. Herbert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13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158"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157" w:lineRule="exact"/>
        <w:rPr>
          <w:rFonts w:ascii="Arial" w:cs="Arial" w:eastAsia="Arial" w:hAnsi="Arial"/>
          <w:sz w:val="18"/>
          <w:szCs w:val="18"/>
          <w:color w:val="auto"/>
        </w:rPr>
      </w:pPr>
    </w:p>
    <w:p>
      <w:pPr>
        <w:ind w:firstLine="8"/>
        <w:spacing w:after="0" w:line="342" w:lineRule="auto"/>
        <w:tabs>
          <w:tab w:leader="none" w:pos="20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firstLine="8"/>
        <w:spacing w:after="0" w:line="277" w:lineRule="auto"/>
        <w:tabs>
          <w:tab w:leader="none" w:pos="1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02"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00" w:lineRule="exact"/>
        <w:rPr>
          <w:sz w:val="20"/>
          <w:szCs w:val="20"/>
          <w:color w:val="auto"/>
        </w:rPr>
      </w:pPr>
    </w:p>
    <w:p>
      <w:pPr>
        <w:ind w:firstLine="8"/>
        <w:spacing w:after="0" w:line="277" w:lineRule="auto"/>
        <w:tabs>
          <w:tab w:leader="none" w:pos="19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November 13, 2013</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c>
          <w:tcPr>
            <w:tcW w:w="28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c>
          <w:tcPr>
            <w:tcW w:w="28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840" w:type="dxa"/>
            <w:vAlign w:val="bottom"/>
          </w:tcPr>
          <w:p>
            <w:pPr>
              <w:spacing w:after="0"/>
              <w:rPr>
                <w:sz w:val="20"/>
                <w:szCs w:val="20"/>
                <w:color w:val="auto"/>
              </w:rPr>
            </w:pPr>
          </w:p>
        </w:tc>
      </w:tr>
      <w:tr>
        <w:trPr>
          <w:trHeight w:val="500"/>
        </w:trPr>
        <w:tc>
          <w:tcPr>
            <w:tcW w:w="57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3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13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David M. DeMedio, certify that:</w:t>
      </w:r>
    </w:p>
    <w:p>
      <w:pPr>
        <w:spacing w:after="0" w:line="158"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157" w:lineRule="exact"/>
        <w:rPr>
          <w:rFonts w:ascii="Arial" w:cs="Arial" w:eastAsia="Arial" w:hAnsi="Arial"/>
          <w:sz w:val="18"/>
          <w:szCs w:val="18"/>
          <w:color w:val="auto"/>
        </w:rPr>
      </w:pPr>
    </w:p>
    <w:p>
      <w:pPr>
        <w:ind w:firstLine="8"/>
        <w:spacing w:after="0" w:line="342" w:lineRule="auto"/>
        <w:tabs>
          <w:tab w:leader="none" w:pos="2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firstLine="8"/>
        <w:spacing w:after="0" w:line="277"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02"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00" w:lineRule="exact"/>
        <w:rPr>
          <w:sz w:val="20"/>
          <w:szCs w:val="20"/>
          <w:color w:val="auto"/>
        </w:rPr>
      </w:pPr>
    </w:p>
    <w:p>
      <w:pPr>
        <w:ind w:firstLine="8"/>
        <w:spacing w:after="0" w:line="277" w:lineRule="auto"/>
        <w:tabs>
          <w:tab w:leader="none" w:pos="19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November 13, 2013</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DeMedio</w:t>
            </w:r>
          </w:p>
        </w:tc>
        <w:tc>
          <w:tcPr>
            <w:tcW w:w="28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David M. DeMedio</w:t>
            </w:r>
          </w:p>
        </w:tc>
        <w:tc>
          <w:tcPr>
            <w:tcW w:w="28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40" w:type="dxa"/>
            <w:vAlign w:val="bottom"/>
          </w:tcPr>
          <w:p>
            <w:pPr>
              <w:spacing w:after="0"/>
              <w:rPr>
                <w:sz w:val="20"/>
                <w:szCs w:val="20"/>
                <w:color w:val="auto"/>
              </w:rPr>
            </w:pPr>
          </w:p>
        </w:tc>
      </w:tr>
      <w:tr>
        <w:trPr>
          <w:trHeight w:val="500"/>
        </w:trPr>
        <w:tc>
          <w:tcPr>
            <w:tcW w:w="57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3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13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September 30, 2013 (the “Report”), I, Stephen P. Herbert, Chief Executive Officer of the Company, hereby certify that to my knowledge:</w:t>
      </w:r>
    </w:p>
    <w:p>
      <w:pPr>
        <w:spacing w:after="0" w:line="103"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November 13, 2013</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c>
          <w:tcPr>
            <w:tcW w:w="28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c>
          <w:tcPr>
            <w:tcW w:w="28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840" w:type="dxa"/>
            <w:vAlign w:val="bottom"/>
          </w:tcPr>
          <w:p>
            <w:pPr>
              <w:spacing w:after="0"/>
              <w:rPr>
                <w:sz w:val="20"/>
                <w:szCs w:val="20"/>
                <w:color w:val="auto"/>
              </w:rPr>
            </w:pPr>
          </w:p>
        </w:tc>
      </w:tr>
      <w:tr>
        <w:trPr>
          <w:trHeight w:val="500"/>
        </w:trPr>
        <w:tc>
          <w:tcPr>
            <w:tcW w:w="57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3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13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September 30, 2013 (the “Report”), I, David M. DeMedio, Chief Financial Officer of the Company, hereby certify that to my knowledge:</w:t>
      </w:r>
    </w:p>
    <w:p>
      <w:pPr>
        <w:spacing w:after="0" w:line="103"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November 13, 2013</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DeMedio</w:t>
            </w:r>
          </w:p>
        </w:tc>
        <w:tc>
          <w:tcPr>
            <w:tcW w:w="28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David M. DeMedio</w:t>
            </w:r>
          </w:p>
        </w:tc>
        <w:tc>
          <w:tcPr>
            <w:tcW w:w="28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40" w:type="dxa"/>
            <w:vAlign w:val="bottom"/>
          </w:tcPr>
          <w:p>
            <w:pPr>
              <w:spacing w:after="0"/>
              <w:rPr>
                <w:sz w:val="20"/>
                <w:szCs w:val="20"/>
                <w:color w:val="auto"/>
              </w:rPr>
            </w:pPr>
          </w:p>
        </w:tc>
      </w:tr>
      <w:tr>
        <w:trPr>
          <w:trHeight w:val="500"/>
        </w:trPr>
        <w:tc>
          <w:tcPr>
            <w:tcW w:w="57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upperLetter"/>
      <w:start w:val="1"/>
    </w:lvl>
    <w:lvl w:ilvl="1">
      <w:lvlJc w:val="left"/>
      <w:lvlText w:val="%2."/>
      <w:numFmt w:val="decimal"/>
      <w:start w:val="1"/>
    </w:lvl>
  </w:abstractNum>
  <w:abstractNum w:abstractNumId="8">
    <w:nsid w:val="6B68079A"/>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9">
    <w:nsid w:val="4E6AFB66"/>
    <w:multiLevelType w:val="hybridMultilevel"/>
    <w:lvl w:ilvl="0">
      <w:lvlJc w:val="left"/>
      <w:lvlText w:val="(%1)"/>
      <w:numFmt w:val="upperLetter"/>
      <w:start w:val="3"/>
    </w:lvl>
    <w:lvl w:ilvl="1">
      <w:lvlJc w:val="left"/>
      <w:lvlText w:val="%2"/>
      <w:numFmt w:val="lowerRoman"/>
      <w:start w:val="1"/>
    </w:lvl>
    <w:lvl w:ilvl="2">
      <w:lvlJc w:val="left"/>
      <w:lvlText w:val="%3"/>
      <w:numFmt w:val="lowerLetter"/>
      <w:start w:val="1"/>
    </w:lvl>
  </w:abstractNum>
  <w:abstractNum w:abstractNumId="10">
    <w:nsid w:val="25E45D32"/>
    <w:multiLevelType w:val="hybridMultilevel"/>
    <w:lvl w:ilvl="0">
      <w:lvlJc w:val="left"/>
      <w:lvlText w:val="%1"/>
      <w:numFmt w:val="upperLetter"/>
      <w:start w:val="1"/>
    </w:lvl>
    <w:lvl w:ilvl="1">
      <w:lvlJc w:val="left"/>
      <w:lvlText w:val="(%2)"/>
      <w:numFmt w:val="lowerRoman"/>
      <w:start w:val="4"/>
    </w:lvl>
    <w:lvl w:ilvl="2">
      <w:lvlJc w:val="left"/>
      <w:lvlText w:val="%3"/>
      <w:numFmt w:val="lowerLetter"/>
      <w:start w:val="1"/>
    </w:lvl>
  </w:abstractNum>
  <w:abstractNum w:abstractNumId="11">
    <w:nsid w:val="519B500D"/>
    <w:multiLevelType w:val="hybridMultilevel"/>
    <w:lvl w:ilvl="0">
      <w:lvlJc w:val="left"/>
      <w:lvlText w:val="%1."/>
      <w:numFmt w:val="upperLetter"/>
      <w:start w:val="2"/>
    </w:lvl>
    <w:lvl w:ilvl="1">
      <w:lvlJc w:val="left"/>
      <w:lvlText w:val="(%2)"/>
      <w:numFmt w:val="lowerRoman"/>
      <w:start w:val="1"/>
    </w:lvl>
    <w:lvl w:ilvl="2">
      <w:lvlJc w:val="left"/>
      <w:lvlText w:val="(%3)"/>
      <w:numFmt w:val="lowerLetter"/>
      <w:start w:val="1"/>
    </w:lvl>
  </w:abstractNum>
  <w:abstractNum w:abstractNumId="12">
    <w:nsid w:val="431BD7B7"/>
    <w:multiLevelType w:val="hybridMultilevel"/>
    <w:lvl w:ilvl="0">
      <w:lvlJc w:val="left"/>
      <w:lvlText w:val="%1"/>
      <w:numFmt w:val="upperLetter"/>
      <w:start w:val="1"/>
    </w:lvl>
    <w:lvl w:ilvl="1">
      <w:lvlJc w:val="left"/>
      <w:lvlText w:val="(%2)"/>
      <w:numFmt w:val="lowerLetter"/>
      <w:start w:val="3"/>
    </w:lvl>
  </w:abstractNum>
  <w:abstractNum w:abstractNumId="13">
    <w:nsid w:val="3F2DBA31"/>
    <w:multiLevelType w:val="hybridMultilevel"/>
    <w:lvl w:ilvl="0">
      <w:lvlJc w:val="left"/>
      <w:lvlText w:val="(%1)"/>
      <w:numFmt w:val="lowerRoman"/>
      <w:start w:val="1"/>
    </w:lvl>
  </w:abstractNum>
  <w:abstractNum w:abstractNumId="14">
    <w:nsid w:val="7C83E458"/>
    <w:multiLevelType w:val="hybridMultilevel"/>
    <w:lvl w:ilvl="0">
      <w:lvlJc w:val="left"/>
      <w:lvlText w:val="(%1)"/>
      <w:numFmt w:val="lowerRoman"/>
      <w:start w:val="3"/>
    </w:lvl>
  </w:abstractNum>
  <w:abstractNum w:abstractNumId="15">
    <w:nsid w:val="257130A3"/>
    <w:multiLevelType w:val="hybridMultilevel"/>
    <w:lvl w:ilvl="0">
      <w:lvlJc w:val="left"/>
      <w:lvlText w:val="%1."/>
      <w:numFmt w:val="decimal"/>
      <w:start w:val="2"/>
    </w:lvl>
  </w:abstractNum>
  <w:abstractNum w:abstractNumId="16">
    <w:nsid w:val="62BBD95A"/>
    <w:multiLevelType w:val="hybridMultilevel"/>
    <w:lvl w:ilvl="0">
      <w:lvlJc w:val="left"/>
      <w:lvlText w:val="%1."/>
      <w:numFmt w:val="decimal"/>
      <w:start w:val="3"/>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5"/>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5"/>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2019-12-06T08:09:49Z</dcterms:created>
  <dcterms:modified xsi:type="dcterms:W3CDTF">2019-12-06T08:09:49Z</dcterms:modified>
</cp:coreProperties>
</file>