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8"/>
          <w:szCs w:val="18"/>
          <w:b w:val="1"/>
          <w:bCs w:val="1"/>
          <w:color w:val="auto"/>
        </w:rPr>
        <w:t>QUARTERLY REPORT PURSUANT TO SECTION 13 OR 15 (d) 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67" w:lineRule="exact"/>
        <w:rPr>
          <w:sz w:val="24"/>
          <w:szCs w:val="24"/>
          <w:color w:val="auto"/>
        </w:rPr>
      </w:pPr>
    </w:p>
    <w:p>
      <w:pPr>
        <w:ind w:left="500" w:hanging="343"/>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EXCHANGE ACT OF 1934</w:t>
      </w:r>
    </w:p>
    <w:p>
      <w:pPr>
        <w:spacing w:after="0" w:line="144"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24"/>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40" w:type="dxa"/>
            <w:vAlign w:val="bottom"/>
            <w:gridSpan w:val="7"/>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 file number 001-33365</w:t>
            </w:r>
          </w:p>
        </w:tc>
      </w:tr>
      <w:tr>
        <w:trPr>
          <w:trHeight w:val="299"/>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USA Technologies, Inc.</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766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0"/>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740" w:type="dxa"/>
            <w:vAlign w:val="bottom"/>
            <w:gridSpan w:val="7"/>
          </w:tcPr>
          <w:p>
            <w:pPr>
              <w:jc w:val="center"/>
              <w:ind w:right="18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38"/>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460" w:type="dxa"/>
            <w:vAlign w:val="bottom"/>
            <w:gridSpan w:val="2"/>
          </w:tcPr>
          <w:p>
            <w:pPr>
              <w:spacing w:after="0"/>
              <w:rPr>
                <w:sz w:val="24"/>
                <w:szCs w:val="24"/>
                <w:color w:val="auto"/>
              </w:rPr>
            </w:pPr>
          </w:p>
        </w:tc>
        <w:tc>
          <w:tcPr>
            <w:tcW w:w="32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23-2679963</w:t>
            </w:r>
          </w:p>
        </w:tc>
      </w:tr>
      <w:tr>
        <w:trPr>
          <w:trHeight w:val="20"/>
        </w:trPr>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6120" w:type="dxa"/>
            <w:vAlign w:val="bottom"/>
            <w:gridSpan w:val="5"/>
          </w:tcPr>
          <w:p>
            <w:pPr>
              <w:jc w:val="center"/>
              <w:ind w:right="17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5"/>
        </w:trPr>
        <w:tc>
          <w:tcPr>
            <w:tcW w:w="100" w:type="dxa"/>
            <w:vAlign w:val="bottom"/>
          </w:tcPr>
          <w:p>
            <w:pPr>
              <w:spacing w:after="0"/>
              <w:rPr>
                <w:sz w:val="24"/>
                <w:szCs w:val="24"/>
                <w:color w:val="auto"/>
              </w:rPr>
            </w:pPr>
          </w:p>
        </w:tc>
        <w:tc>
          <w:tcPr>
            <w:tcW w:w="6020" w:type="dxa"/>
            <w:vAlign w:val="bottom"/>
            <w:gridSpan w:val="4"/>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100 Deerfield Lane, Suite 300, Malvern, Pennsylvania</w:t>
            </w:r>
          </w:p>
        </w:tc>
        <w:tc>
          <w:tcPr>
            <w:tcW w:w="24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19355</w:t>
            </w:r>
          </w:p>
        </w:tc>
        <w:tc>
          <w:tcPr>
            <w:tcW w:w="8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4100" w:type="dxa"/>
            <w:vAlign w:val="bottom"/>
            <w:gridSpan w:val="3"/>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91"/>
        </w:trPr>
        <w:tc>
          <w:tcPr>
            <w:tcW w:w="10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r>
        <w:trPr>
          <w:trHeight w:val="236"/>
        </w:trPr>
        <w:tc>
          <w:tcPr>
            <w:tcW w:w="612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(610) 989-0340</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4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09"/>
        </w:trPr>
        <w:tc>
          <w:tcPr>
            <w:tcW w:w="44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54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5"/>
              </w:rPr>
              <w:t>USAT</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4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254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w w:val="98"/>
              </w:rPr>
              <w:t>USATP</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2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40" w:type="dxa"/>
        <w:tblCellMar>
          <w:top w:w="0" w:type="dxa"/>
          <w:left w:w="0" w:type="dxa"/>
          <w:bottom w:w="0" w:type="dxa"/>
          <w:right w:w="0" w:type="dxa"/>
        </w:tblCellMar>
      </w:tblP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 (Do not check if a smaller reporting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97"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30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As of November 1, 2019 there were 63,825,304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18"/>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940" w:type="dxa"/>
            <w:vAlign w:val="bottom"/>
          </w:tcPr>
          <w:p>
            <w:pPr>
              <w:spacing w:after="0"/>
              <w:rPr>
                <w:sz w:val="17"/>
                <w:szCs w:val="17"/>
                <w:color w:val="auto"/>
              </w:rPr>
            </w:pPr>
          </w:p>
        </w:tc>
      </w:tr>
      <w:tr>
        <w:trPr>
          <w:trHeight w:val="457"/>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gridSpan w:val="7"/>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USA TECHNOLOGIES, INC.</w:t>
            </w:r>
          </w:p>
        </w:tc>
        <w:tc>
          <w:tcPr>
            <w:tcW w:w="194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2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Part I - Financial Information</w:t>
              </w:r>
            </w:hyperlink>
          </w:p>
        </w:tc>
        <w:tc>
          <w:tcPr>
            <w:tcW w:w="7300" w:type="dxa"/>
            <w:vAlign w:val="bottom"/>
            <w:gridSpan w:val="12"/>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81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19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Condensed Consolidated Balance Sheets (unaudited)</w:t>
            </w:r>
          </w:p>
        </w:tc>
        <w:tc>
          <w:tcPr>
            <w:tcW w:w="4380" w:type="dxa"/>
            <w:vAlign w:val="bottom"/>
            <w:gridSpan w:val="7"/>
          </w:tcPr>
          <w:p>
            <w:pPr>
              <w:spacing w:after="0"/>
              <w:rPr>
                <w:sz w:val="24"/>
                <w:szCs w:val="24"/>
                <w:color w:val="auto"/>
              </w:rPr>
            </w:pPr>
          </w:p>
        </w:tc>
        <w:tc>
          <w:tcPr>
            <w:tcW w:w="194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Condensed Consolidated Statements of Operations (unaudited)</w:t>
            </w:r>
          </w:p>
        </w:tc>
        <w:tc>
          <w:tcPr>
            <w:tcW w:w="3660" w:type="dxa"/>
            <w:vAlign w:val="bottom"/>
            <w:gridSpan w:val="4"/>
          </w:tcPr>
          <w:p>
            <w:pPr>
              <w:spacing w:after="0"/>
              <w:rPr>
                <w:sz w:val="24"/>
                <w:szCs w:val="24"/>
                <w:color w:val="auto"/>
              </w:rPr>
            </w:pPr>
          </w:p>
        </w:tc>
        <w:tc>
          <w:tcPr>
            <w:tcW w:w="194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Shareholders’ Equity (unaudited)</w:t>
            </w:r>
          </w:p>
        </w:tc>
        <w:tc>
          <w:tcPr>
            <w:tcW w:w="2920" w:type="dxa"/>
            <w:vAlign w:val="bottom"/>
            <w:gridSpan w:val="2"/>
          </w:tcPr>
          <w:p>
            <w:pPr>
              <w:spacing w:after="0"/>
              <w:rPr>
                <w:sz w:val="24"/>
                <w:szCs w:val="24"/>
                <w:color w:val="auto"/>
              </w:rPr>
            </w:pPr>
          </w:p>
        </w:tc>
        <w:tc>
          <w:tcPr>
            <w:tcW w:w="194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Condensed Consolidated Statements of Cash Flows (unaudited)</w:t>
            </w:r>
          </w:p>
        </w:tc>
        <w:tc>
          <w:tcPr>
            <w:tcW w:w="3600" w:type="dxa"/>
            <w:vAlign w:val="bottom"/>
            <w:gridSpan w:val="3"/>
          </w:tcPr>
          <w:p>
            <w:pPr>
              <w:spacing w:after="0"/>
              <w:rPr>
                <w:sz w:val="24"/>
                <w:szCs w:val="24"/>
                <w:color w:val="auto"/>
              </w:rPr>
            </w:pPr>
          </w:p>
        </w:tc>
        <w:tc>
          <w:tcPr>
            <w:tcW w:w="194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194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7</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21">
              <w:r>
                <w:rPr>
                  <w:rFonts w:ascii="Times New Roman" w:cs="Times New Roman" w:eastAsia="Times New Roman" w:hAnsi="Times New Roman"/>
                  <w:sz w:val="18"/>
                  <w:szCs w:val="18"/>
                  <w:color w:val="auto"/>
                </w:rPr>
                <w:t>21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3.</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Quantitative and Qualitative Disclosures About Market Risk</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4.</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Part II - Other Information</w:t>
              </w:r>
            </w:hyperlink>
          </w:p>
        </w:tc>
        <w:tc>
          <w:tcPr>
            <w:tcW w:w="7440" w:type="dxa"/>
            <w:vAlign w:val="bottom"/>
            <w:gridSpan w:val="13"/>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1.</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3.</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Defaults Upon Senior Securities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6.</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Signatures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32</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0"/>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less allowance of $4,972 and $4,866, respectively</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21,712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10,908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61,028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67,902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11,596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64,149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113,195</w:t>
            </w:r>
          </w:p>
        </w:tc>
        <w:tc>
          <w:tcPr>
            <w:tcW w:w="0" w:type="dxa"/>
            <w:vAlign w:val="bottom"/>
          </w:tcPr>
          <w:p>
            <w:pPr>
              <w:spacing w:after="0"/>
              <w:rPr>
                <w:sz w:val="1"/>
                <w:szCs w:val="1"/>
                <w:color w:val="auto"/>
              </w:rPr>
            </w:pPr>
          </w:p>
        </w:tc>
      </w:tr>
      <w:tr>
        <w:trPr>
          <w:trHeight w:val="122"/>
        </w:trPr>
        <w:tc>
          <w:tcPr>
            <w:tcW w:w="84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179,296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181,097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convertible preferred stock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27,511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23,258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lease obligations and current obligations under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70,725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65,059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lease obligations and long-term debt, less current portion</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less current portion</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122"/>
        </w:trPr>
        <w:tc>
          <w:tcPr>
            <w:tcW w:w="84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76,312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65,506</w:t>
            </w:r>
          </w:p>
        </w:tc>
        <w:tc>
          <w:tcPr>
            <w:tcW w:w="0" w:type="dxa"/>
            <w:vAlign w:val="bottom"/>
          </w:tcPr>
          <w:p>
            <w:pPr>
              <w:spacing w:after="0"/>
              <w:rPr>
                <w:sz w:val="1"/>
                <w:szCs w:val="1"/>
                <w:color w:val="auto"/>
              </w:rPr>
            </w:pPr>
          </w:p>
        </w:tc>
      </w:tr>
      <w:tr>
        <w:trPr>
          <w:trHeight w:val="22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Series A convertible preferred stock, 900,000 shares authorized, 445,063 issued and outstanding, with liquidation</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preferences of $20,444 and $20,111 at September 30, 2019 and June 30, 2019, respectively</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1,800,000 shares authorized, no shares issued</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no par value, 640,000,000 shares authorized, 60,008,481 shares issued and outstanding at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2019 and June 30, 2019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377,143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376,853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(264,400)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99,846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112,453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179,296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181,097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121" w:right="239" w:bottom="77"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77"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33,833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28,971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8,313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42,146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33,522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18,544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4,868</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of sales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23,412</w:t>
            </w:r>
          </w:p>
        </w:tc>
        <w:tc>
          <w:tcPr>
            <w:tcW w:w="0" w:type="dxa"/>
            <w:vAlign w:val="bottom"/>
          </w:tcPr>
          <w:p>
            <w:pPr>
              <w:spacing w:after="0"/>
              <w:rPr>
                <w:sz w:val="1"/>
                <w:szCs w:val="1"/>
                <w:color w:val="auto"/>
              </w:rPr>
            </w:pPr>
          </w:p>
        </w:tc>
      </w:tr>
      <w:tr>
        <w:trPr>
          <w:trHeight w:val="318"/>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10,110</w:t>
            </w: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9,450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22,892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16,031</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318"/>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60,096,852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60,053,912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60,096,852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60,053,912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5560" w:type="dxa"/>
            <w:vAlign w:val="bottom"/>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 Period Ended September 30, 2019</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0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02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 2019</w:t>
            </w:r>
          </w:p>
        </w:tc>
        <w:tc>
          <w:tcPr>
            <w:tcW w:w="3980" w:type="dxa"/>
            <w:vAlign w:val="bottom"/>
            <w:tcBorders>
              <w:bottom w:val="single" w:sz="8" w:color="CCEEFF"/>
            </w:tcBorders>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60,008,481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376,853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112,453</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0" w:type="dxa"/>
            <w:vAlign w:val="bottom"/>
          </w:tcPr>
          <w:p>
            <w:pPr>
              <w:spacing w:after="0"/>
              <w:rPr>
                <w:sz w:val="1"/>
                <w:szCs w:val="1"/>
                <w:color w:val="auto"/>
              </w:rPr>
            </w:pPr>
          </w:p>
        </w:tc>
      </w:tr>
      <w:tr>
        <w:trPr>
          <w:trHeight w:val="257"/>
        </w:trPr>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September 30, 2019</w:t>
            </w:r>
          </w:p>
        </w:tc>
        <w:tc>
          <w:tcPr>
            <w:tcW w:w="2600" w:type="dxa"/>
            <w:vAlign w:val="bottom"/>
            <w:gridSpan w:val="2"/>
          </w:tcPr>
          <w:p>
            <w:pPr>
              <w:spacing w:after="0"/>
              <w:rPr>
                <w:sz w:val="22"/>
                <w:szCs w:val="22"/>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60,008,481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377,143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(277,297)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99,846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47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 Period Ended September 30, 2018</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 2018</w:t>
            </w:r>
          </w:p>
        </w:tc>
        <w:tc>
          <w:tcPr>
            <w:tcW w:w="31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59,998,811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375,436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142,688</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effect adjustment for ASC 606 adoption</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1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13,344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2018</w:t>
            </w:r>
          </w:p>
        </w:tc>
        <w:tc>
          <w:tcPr>
            <w:tcW w:w="316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60,012,155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375,806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137,114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(12,897)</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w:t>
            </w:r>
          </w:p>
        </w:tc>
      </w:tr>
      <w:tr>
        <w:trPr>
          <w:trHeight w:val="27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Non-cash stock based compensation</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415</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Bad debt expense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509</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212</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2,147</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4,677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1,707</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4,459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(8,665)</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265"/>
        </w:trPr>
        <w:tc>
          <w:tcPr>
            <w:tcW w:w="8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5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(14,122)</w:t>
            </w: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7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 including rentals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r>
      <w:tr>
        <w:trPr>
          <w:trHeight w:val="250"/>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r>
      <w:tr>
        <w:trPr>
          <w:trHeight w:val="248"/>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r>
      <w:tr>
        <w:trPr>
          <w:trHeight w:val="255"/>
        </w:trPr>
        <w:tc>
          <w:tcPr>
            <w:tcW w:w="85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(15,702)</w:t>
            </w:r>
          </w:p>
        </w:tc>
      </w:tr>
      <w:tr>
        <w:trPr>
          <w:trHeight w:val="265"/>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27,464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83,964</w:t>
            </w:r>
          </w:p>
        </w:tc>
      </w:tr>
      <w:tr>
        <w:trPr>
          <w:trHeight w:val="242"/>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68,262</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8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Supplemental disclosures of cash flow information</w:t>
            </w: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5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 paid in cash</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740</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amusement, commercial laundry, kiosk and others. Since our founding, we have designed and marketed systems and solutions that facilitate electronic payment options, as well as telemetry and IoT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INFORMATION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2019 Annual Report on Form 10-K. In the opinion of management, all adjustments considered necessary for a fair presentation, consisting of normal recurring adjustments, have been included. Operating results for the three months ended September 30, 2019 are not necessarily indicative of the results that may be expected for the year ending June 30, 2020. The balance sheet at June 30, 2019 has been derived from the audited consolidated financial statements at that date, but does not include all disclosures required by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Accounting Standards Codification, (“ASC”) 205-40. This guidance amended the existing requirements for disclosing information about an entity’s ability to continue as a going concern and explicitly requires management to assess an entity’s ability to continue as a going concern and to provide related disclosures in certain circumstances. This guidance was effective for annual reporting periods ending after December 15, 2016, and for annual and interim reporting periods thereafter. The following information reflects the results of management’s assessment, plans and conclusion of the Company’s ability to continue as a going concern.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2019, the Company had $25.5 million in cash and a working capital deficit of $9.7 million. As noted in Note 9, as of September 30, 2019, the Company was not in compliance with the fixed charge coverage ratio and the total leverage ratio of its Revolving Credit Facility, which represents an event of default under the credit agreement. As a result, the Company has classified all amounts outstanding ($10.0 million) under these credit facilities as current liabilities. Additionally, as of September 30, 2019, the Company identified sales tax liabilities and related interest in the aggregate amount of $18.0 million. Also, the Company has reported aggregate net losses of $50.8 million for the three year period ended June 30, 2019.</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its need to develop a cash management strategy, the Company developed a plan that included potentially seeking to extend the credit borrowings to beyond one year, securing a commitment for the sale of its long-term receivables, and obtaining outside financing.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a Stock Purchase Agreement dated October 9, 2019 between the Company and Antara Capital Master Fund LP (“Antara”), the Company sold to Antara 3,800,000 shares of the Company’s common stock at a price of $5.25 per share for an aggregate purchase price of $19,950,000. Antara qualifies as an accredited investor under Rule 501 of the Securities Act of 1933, as amended (the "Act"), and the offer and sale of the shares was exempt from registration under Section 4(a)(2) of the Act. Antara agreed not to dispose of the shares for a period of 90 days from the closing date. The Company also entered into a registration rights agreement (the "Registration Rights Agreement") with Antara, pursuant to which the Company has agreed, at its expense, to file a registration statement under the Act with the Securities and Exchange Commission (the "SEC") covering the resale of the shares by Antara (the "Registration Statement"). The Company will be required to pay certain negotiated cash payments to Antara in the event that the Registration Statement is not filed within 30 days of the closing date or if the Registration Statement is not declared effective within three months of the closing date, subject to the terms of the Registration Rights Agreement. On November 11, 2019, the Company received an extension of time to file the Registration Statement from Antara until November 26, 2019. In connection with the private placement, William Blair &amp; Company, L.L.C. (“Blair”) acted as exclusive placement agent for the Company and received a cash placement fee of $1.2 million.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2019, the Company also entered into a commitment letter (“Commitment Letter”) with Antara, pursuant to which Antara committed to extend to the Company a $30.0 million senior secured term loan facility (“Term Facility”). Upon the execution of the Commitment Letter, the Company paid to Antara a non-refundable commitment fee of $1.2 million. In connection with the Commitment Letter, Blair acted as exclusive placement agent for the Company and received a cash placement fee of $750,000. 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 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our periodic reports and proxy statements, our independent Audit Committee chairperson, Robert Metzger is employed by Blair. Mr. Metzger receives discretionary compensation from Blair based on various activities including, among other things, training activities and business development.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its current financial resources, as of the date of the issuance of these consolidated financial statements, are sufficient to fund its current twelve month operating budget, alleviating any substantial doubt raised by our historical operating results and satisfying our estimated liquidity needs for twelve months from the issuance of these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Leases, which requires, among other items, lessees to recognize a right of use asset and a related lease liability for most leases on the balance sheet. Lessees and lessors are required to disclose quantitative and qualitative information about leasing arrangements to enable a user of the financial statements to assess the amount, timing and uncertainty of cash flows arising from leases. ASU 2016-02 is effective for annual reporting periods beginning after December 15, 2018, including interim periods within that reporting period and requires a modified retrospective application, with early adoption permitted. The Company adopted this new guidance on July 1, 2019, using the optional modified retrospective transition method applying the guidance to leases existing as of the effective date. The Company has determined that there was no cumulative-effect adjustment to beginning retained earnings on the consolidated balance sheet. We will continue to report periods prior to July 1, 2019 in our financial statements under prior guidance as outlined in Topic 840.</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adoption of ASU No. 2016-02 resulted in an increase in the Company’s assets and liabilities of approximately $3.9 million at July 1, 2019. The Company’s adoption of ASU No. 2016-02 did not have a material impact to the Company’s consolidated statements of operations or its consolidated statements of cash flows. Further, there was no impact on the Company’s covenant compliance under its current debt agreements as a result of the adoption of ASU No. 2016-02. The Company elected the package of practical expedients included in this guidance, which allowed it to not reassess: (i) whether any expired or existing contracts contain leases; (ii) the lease classification for any expired or existing leases; and, (iii) the initial direct costs for existing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leases. From a lessee perspective, the Company elected the practical expedient related to treating lease and non-lease components as a single lease component for all leases as well as electing a policy exclusion permitting leases with an original lease term of less than one year to be excluded from the Right-of-Use (“ROU”) assets and lease liabilities. From a lessor perspective, the Company also elected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2018, the FASB issued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Company adopted this ASU on July 1, 2019, and its adoption did not have a material effect on the Company’s condensed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2018, the FASB issued ASU No. 2018-09, “Codification Improvements”. These amendments provide clarifications and corrections to certain ASC subtopics including “Compensation - Stock Compensation - Income Taxes” (Topic 718-740), “Business Combinations - Income Taxes” (Topic 805-740) and “Fair Value Measurement - Overall” (Topic 820-10). The Company adopted this ASU on July 1, 2019, and its adoption did not have a material effect on the Company’s condensed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The new guidance changes the accounting for estimated credit losses pertaining to certain types of financial instruments including, but not limited to, trade and lease receivables. This pronouncement will be effective for fiscal years beginning after December 15, 2019. Early adoption of the guidance is permitted for fiscal years beginning after December 15, 2018. The Company is currently evaluating and assessing the impact this guidance will have on its condensed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beginning after December 15, 2019, including interim periods within those fiscal years, which means that it will be effective for us in the first quarter of our fiscal year beginning July 1, 2020. The Company expects that the adoption of this ASU would not have a material impact on the Company’s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has operating and finance leases for office space, warehouses, automobiles and office equipment. USAT’s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obligation to make lease payments arising from the lease. Operating lease ROU assets and liabilities are recognized at commencement date of the lease based on the present value of lease payments over the lease term. As most of our leases do not provide an implicit rate, we use our incremental borrowing rate based on the information available at commencement date in determining the present value of lease payments. The operating lease ROU asset also includes any lease payments made and excludes lease incentives. USAT has lease agreements with lease and non-lease components, which are accounted for together as a single lease component. Lease expense for operating lease payments are recognized on a straight-line basis over the lease term.</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2019, the Company has the following balances recorded in the balance sheet related to its lease arrangements: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180" w:type="dxa"/>
            <w:vAlign w:val="bottom"/>
            <w:gridSpan w:val="2"/>
          </w:tcPr>
          <w:p>
            <w:pPr>
              <w:ind w:left="31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r>
      <w:tr>
        <w:trPr>
          <w:trHeight w:val="120"/>
        </w:trPr>
        <w:tc>
          <w:tcPr>
            <w:tcW w:w="2540" w:type="dxa"/>
            <w:vAlign w:val="bottom"/>
          </w:tcPr>
          <w:p>
            <w:pPr>
              <w:spacing w:after="0"/>
              <w:rPr>
                <w:sz w:val="10"/>
                <w:szCs w:val="10"/>
                <w:color w:val="auto"/>
              </w:rPr>
            </w:pPr>
          </w:p>
        </w:tc>
        <w:tc>
          <w:tcPr>
            <w:tcW w:w="7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7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6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6,514</w:t>
            </w:r>
          </w:p>
        </w:tc>
      </w:tr>
      <w:tr>
        <w:trPr>
          <w:trHeight w:val="27"/>
        </w:trPr>
        <w:tc>
          <w:tcPr>
            <w:tcW w:w="2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7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25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7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7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w:t>
            </w:r>
          </w:p>
        </w:tc>
      </w:tr>
      <w:tr>
        <w:trPr>
          <w:trHeight w:val="243"/>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7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Capital lease obligations and current obligations under long-term debt</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2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2540" w:type="dxa"/>
            <w:vAlign w:val="bottom"/>
            <w:shd w:val="clear" w:color="auto" w:fill="CCEEFF"/>
          </w:tcPr>
          <w:p>
            <w:pPr>
              <w:spacing w:after="0"/>
              <w:rPr>
                <w:sz w:val="24"/>
                <w:szCs w:val="24"/>
                <w:color w:val="auto"/>
              </w:rPr>
            </w:pPr>
          </w:p>
        </w:tc>
        <w:tc>
          <w:tcPr>
            <w:tcW w:w="7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7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7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5,327</w:t>
            </w:r>
          </w:p>
        </w:tc>
      </w:tr>
      <w:tr>
        <w:trPr>
          <w:trHeight w:val="243"/>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7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Capital lease obligations and long-term debt, less current portion</w:t>
            </w:r>
          </w:p>
        </w:tc>
        <w:tc>
          <w:tcPr>
            <w:tcW w:w="66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 cost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Finance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Amortization of ROU assets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on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short-term lease and variable lease costs, which are not material.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leases are as follows:</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cash flows from finance leases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Non-cash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304"/>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1226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
        <w:spacing w:after="0"/>
        <w:tabs>
          <w:tab w:leader="none" w:pos="160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226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4"/>
        <w:spacing w:after="0"/>
        <w:tabs>
          <w:tab w:leader="none" w:pos="150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2261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12261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4"/>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1226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
        <w:spacing w:after="0"/>
        <w:tabs>
          <w:tab w:leader="none" w:pos="160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384" w:hanging="1384"/>
        <w:spacing w:after="0"/>
        <w:tabs>
          <w:tab w:leader="none" w:pos="13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3,071</w:t>
      </w:r>
    </w:p>
    <w:p>
      <w:pPr>
        <w:spacing w:after="0" w:line="200" w:lineRule="exact"/>
        <w:rPr>
          <w:sz w:val="20"/>
          <w:szCs w:val="20"/>
          <w:color w:val="auto"/>
        </w:rPr>
      </w:pPr>
    </w:p>
    <w:p>
      <w:pPr>
        <w:sectPr>
          <w:pgSz w:w="11900" w:h="16838" w:orient="portrait"/>
          <w:cols w:equalWidth="0" w:num="2">
            <w:col w:w="8796" w:space="720"/>
            <w:col w:w="1904"/>
          </w:cols>
          <w:pgMar w:left="240" w:top="12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our leases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2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2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365"/>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59"/>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our leases are as follows: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5"/>
        </w:trPr>
        <w:tc>
          <w:tcPr>
            <w:tcW w:w="8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2020</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7,917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6,521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September 2019, the Company entered into an amendment to the lease for its headquarters in Malvern, Pennsylvania that has not yet commenced. The amendment grants the Company approximately 3,400 additional square feet of space in exchange for future minimum lease payments of approximately $350 thousand. The amendment did not alter the lease term and will expire on November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future minimum lease commitments as of June 30, 2019, under ASC Topic 840, the predecessor to Topic 842,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3"/>
                <w:szCs w:val="13"/>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8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minimum lease payments, net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obligations under capital leases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under capital leases, noncurrent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Lessor accounting remained substantially unchanged with the adoption of ASC Topic 842. The Company offers its customers financing for the lease of our POS electronic payment devices. We account for these transactions as sales-type leases. Our sales-type leases generally have a non-cancellable term of 60 months. Certain leases contain an end-of-term purchase option that is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generally insignificant and is reasonably certain to be exercised by the lessee. Leases that do not meet the criteria for sales-type lease accounting are accounted for as operating leases, typically our JumpStart program leases. JumpStart terms are typically 36 months and are cancellable with 30 to 60 days' written notice. As discussed in Note 2, the Company has elected to combine lease and non-lease components for its operating leases and account for the combined components under ASC 606, which is the predominant characteristic of the combined components. All QuickStart leases are sales-type and do not qualify for the election.</w:t>
      </w:r>
    </w:p>
    <w:p>
      <w:pPr>
        <w:spacing w:after="0" w:line="1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Lessor consideration is allocated between lease components and the non-lease components using the requirements under ASC 606.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License and transaction fees in the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used for the operating lease rental program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30,503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36,285</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120" w:type="dxa"/>
            <w:vAlign w:val="bottom"/>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1100" w:type="dxa"/>
            <w:vAlign w:val="bottom"/>
            <w:tcBorders>
              <w:top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(30,978)</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net investment in sales-type leases (carrying value of lease receivables) and the future minimum amounts to be collected on these lease receivables as of September 30, 2019 are disclosed within the Finance Receivables footnote. Refer to Note 6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 the level at which management makes operating decisions and assesses financial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estimated fees to be recognized in the future related to performance obligations that are unsatisfied at the end of the period: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0" w:type="dxa"/>
            <w:vAlign w:val="bottom"/>
          </w:tcPr>
          <w:p>
            <w:pPr>
              <w:spacing w:after="0"/>
              <w:rPr>
                <w:sz w:val="1"/>
                <w:szCs w:val="1"/>
                <w:color w:val="auto"/>
              </w:rPr>
            </w:pPr>
          </w:p>
        </w:tc>
      </w:tr>
      <w:tr>
        <w:trPr>
          <w:trHeight w:val="120"/>
        </w:trPr>
        <w:tc>
          <w:tcPr>
            <w:tcW w:w="9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9,867</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1"/>
                <w:szCs w:val="21"/>
                <w:color w:val="auto"/>
              </w:rPr>
            </w:pPr>
          </w:p>
        </w:tc>
        <w:tc>
          <w:tcPr>
            <w:tcW w:w="1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11,317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9,453</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1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6,514</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 and 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57"/>
        </w:trPr>
        <w:tc>
          <w:tcPr>
            <w:tcW w:w="9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39,672</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9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9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50"/>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21"/>
                <w:szCs w:val="21"/>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0"/>
        </w:trPr>
        <w:tc>
          <w:tcPr>
            <w:tcW w:w="9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160" w:type="dxa"/>
            <w:vAlign w:val="bottom"/>
          </w:tcPr>
          <w:p>
            <w:pPr>
              <w:spacing w:after="0"/>
              <w:rPr>
                <w:sz w:val="21"/>
                <w:szCs w:val="21"/>
                <w:color w:val="auto"/>
              </w:rPr>
            </w:pPr>
          </w:p>
        </w:tc>
        <w:tc>
          <w:tcPr>
            <w:tcW w:w="1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9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1" w:right="219" w:bottom="549" w:gutter="0" w:footer="0" w:header="0"/>
        </w:sect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40"/>
          </w:cols>
          <w:pgMar w:left="240" w:top="121" w:right="219" w:bottom="549"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liabilities period-over-period is primarily the result of timing difference between the Company’s satisfaction of a performance obligation and payment from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September 30, 2019, the Company had net capitalized costs to obtain contracts of $0.3 million included in Prepaid expenses and other current assets and $1.6 million included in Other noncurrent assets on the Condensed Consolidated Balance Sheet. None of these capitalized contract costs were impaired. During the three months ended September 30, 2019, amortization of capitalized contract costs was $0.1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RESTRUCTURING/INTEGRATION COSTS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Subsequent to the Cantaloupe acquisition, the Company initiated workforce reductions to integrate the Cantaloupe business for which costs totaled $2.1 million for the year ended June 30, 2018. The Company included these severance charges under “Integration and acquisition costs” within the Condensed Consolidated Statements of Operations, with the remaining outstanding balance included within “Accrued expenses” on the Condensed Consolidated Balance Sheet. Liabilities for severance will generally be paid during the next twelve months.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severance activity for the three months ended September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0" w:type="dxa"/>
            <w:vAlign w:val="bottom"/>
          </w:tcPr>
          <w:p>
            <w:pPr>
              <w:spacing w:after="0"/>
              <w:rPr>
                <w:sz w:val="1"/>
                <w:szCs w:val="1"/>
                <w:color w:val="auto"/>
              </w:rPr>
            </w:pPr>
          </w:p>
        </w:tc>
      </w:tr>
      <w:tr>
        <w:trPr>
          <w:trHeight w:val="195"/>
        </w:trPr>
        <w:tc>
          <w:tcPr>
            <w:tcW w:w="9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269"/>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July 1,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right w:val="single" w:sz="8" w:color="D9D9D9"/>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7"/>
        </w:trPr>
        <w:tc>
          <w:tcPr>
            <w:tcW w:w="10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additions</w:t>
            </w:r>
          </w:p>
        </w:tc>
        <w:tc>
          <w:tcPr>
            <w:tcW w:w="240" w:type="dxa"/>
            <w:vAlign w:val="bottom"/>
            <w:tcBorders>
              <w:top w:val="single" w:sz="8" w:color="D9D9D9"/>
            </w:tcBorders>
          </w:tcPr>
          <w:p>
            <w:pPr>
              <w:spacing w:after="0"/>
              <w:rPr>
                <w:sz w:val="20"/>
                <w:szCs w:val="20"/>
                <w:color w:val="auto"/>
              </w:rPr>
            </w:pPr>
          </w:p>
        </w:tc>
        <w:tc>
          <w:tcPr>
            <w:tcW w:w="1140" w:type="dxa"/>
            <w:vAlign w:val="bottom"/>
            <w:tcBorders>
              <w:top w:val="single" w:sz="8" w:color="D9D9D9"/>
              <w:right w:val="single" w:sz="8" w:color="D9D9D9"/>
            </w:tcBorders>
          </w:tcPr>
          <w:p>
            <w:pPr>
              <w:jc w:val="right"/>
              <w:ind w:right="36"/>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D9D9D9"/>
            </w:tcBorders>
          </w:tcPr>
          <w:p>
            <w:pPr>
              <w:spacing w:after="0"/>
              <w:rPr>
                <w:sz w:val="2"/>
                <w:szCs w:val="2"/>
                <w:color w:val="auto"/>
              </w:rPr>
            </w:pPr>
          </w:p>
        </w:tc>
        <w:tc>
          <w:tcPr>
            <w:tcW w:w="1140" w:type="dxa"/>
            <w:vAlign w:val="bottom"/>
            <w:tcBorders>
              <w:bottom w:val="single" w:sz="8" w:color="D9D9D9"/>
              <w:right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cash payments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D9D9D9"/>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right w:val="single" w:sz="8" w:color="D9D9D9"/>
            </w:tcBorders>
          </w:tcPr>
          <w:p>
            <w:pPr>
              <w:jc w:val="right"/>
              <w:ind w:right="36"/>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FINANCE RECEIVABLES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the Quickstart program and Cantaloupe devices contractually associated with the Seed platform. Predominately all of the Company's finance receivables agreements are classified as non-cancellable 60 month sales-type leases. As of September 30, 2019 and June 30, 2019 finance receivables consist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receivables,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6,260</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12,710</w:t>
            </w:r>
          </w:p>
        </w:tc>
        <w:tc>
          <w:tcPr>
            <w:tcW w:w="120" w:type="dxa"/>
            <w:vAlign w:val="bottom"/>
          </w:tcPr>
          <w:p>
            <w:pPr>
              <w:spacing w:after="0"/>
              <w:rPr>
                <w:sz w:val="20"/>
                <w:szCs w:val="20"/>
                <w:color w:val="auto"/>
              </w:rPr>
            </w:pPr>
          </w:p>
        </w:tc>
        <w:tc>
          <w:tcPr>
            <w:tcW w:w="260" w:type="dxa"/>
            <w:vAlign w:val="bottom"/>
            <w:tcBorders>
              <w:top w:val="single" w:sz="8" w:color="D9D9D9"/>
            </w:tcBorders>
          </w:tcPr>
          <w:p>
            <w:pPr>
              <w:spacing w:after="0"/>
              <w:rPr>
                <w:sz w:val="20"/>
                <w:szCs w:val="20"/>
                <w:color w:val="auto"/>
              </w:rPr>
            </w:pPr>
          </w:p>
        </w:tc>
        <w:tc>
          <w:tcPr>
            <w:tcW w:w="1100" w:type="dxa"/>
            <w:vAlign w:val="bottom"/>
            <w:tcBorders>
              <w:top w:val="single" w:sz="8" w:color="D9D9D9"/>
            </w:tcBorders>
          </w:tcPr>
          <w:p>
            <w:pPr>
              <w:jc w:val="right"/>
              <w:ind w:right="17"/>
              <w:spacing w:after="0"/>
              <w:rPr>
                <w:sz w:val="20"/>
                <w:szCs w:val="20"/>
                <w:color w:val="auto"/>
              </w:rPr>
            </w:pPr>
            <w:r>
              <w:rPr>
                <w:rFonts w:ascii="Times New Roman" w:cs="Times New Roman" w:eastAsia="Times New Roman" w:hAnsi="Times New Roman"/>
                <w:sz w:val="18"/>
                <w:szCs w:val="18"/>
                <w:color w:val="auto"/>
              </w:rPr>
              <w:t>11,596</w:t>
            </w:r>
          </w:p>
        </w:tc>
        <w:tc>
          <w:tcPr>
            <w:tcW w:w="20" w:type="dxa"/>
            <w:vAlign w:val="bottom"/>
            <w:tcBorders>
              <w:top w:val="single" w:sz="8" w:color="D9D9D9"/>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net of allowance of $607 and $606,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19,926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17,856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routinely evaluates outstanding finance receivables for impairment based on past due balances or accounts otherwise determined to be at a higher risk of loss. A finance receivable is classified as nonperforming if it is considered probable the Company will be unable to collect all contractual interest and principal payments as scheduled.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2019 and June 30, 2019, credit quality indicators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auto"/>
            </w:tcBorders>
            <w:vMerge w:val="continue"/>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Performing</w:t>
            </w:r>
          </w:p>
        </w:tc>
        <w:tc>
          <w:tcPr>
            <w:tcW w:w="5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19,926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17,856</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Nonperforming</w:t>
            </w:r>
          </w:p>
        </w:tc>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20,533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18,462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aged analysis of the Company's finance receivables as of September 30, 2019 and June 30, 2019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19,338</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17,506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30 days and under past due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31 - 60 days past due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61 - 90 days past due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than 90 days past due</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5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2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18,462</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to be collected on our finance receivables due for each of the fiscal years are as follows:</w:t>
            </w: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8,141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5,758</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 amounts to be collected</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24,450</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20,533</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EARNINGS (LOSS) PER SHARE</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 of basic earnings (loss) per share (“EPS”) and diluted EPS are presented below:</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20"/>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2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0" w:type="dxa"/>
            <w:vAlign w:val="bottom"/>
          </w:tcPr>
          <w:p>
            <w:pPr>
              <w:spacing w:after="0"/>
              <w:rPr>
                <w:sz w:val="1"/>
                <w:szCs w:val="1"/>
                <w:color w:val="auto"/>
              </w:rPr>
            </w:pP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60,096,852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60,053,912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1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60,096,852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60,053,912</w:t>
            </w:r>
          </w:p>
        </w:tc>
        <w:tc>
          <w:tcPr>
            <w:tcW w:w="0" w:type="dxa"/>
            <w:vAlign w:val="bottom"/>
          </w:tcPr>
          <w:p>
            <w:pPr>
              <w:spacing w:after="0"/>
              <w:rPr>
                <w:sz w:val="1"/>
                <w:szCs w:val="1"/>
                <w:color w:val="auto"/>
              </w:rPr>
            </w:pP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Anti-dilutive shares excluded from the calculation of diluted loss per share were 1,293,317 for the three months ended September 30, 2019 and 1,420,301 for the three months ended September 30,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and goodwill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25,387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64,149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intangible assets &amp; goodwill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95,834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89,536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7,673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17,273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26,171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64,149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intangible assets &amp; goodwill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95,834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90,320</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2019 and 2018 each there was $0.8 million in amortization expense related to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 AND OTHER FINANCING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September 30, 2019 and June 30, 2019 consisted of the following:</w:t>
      </w:r>
    </w:p>
    <w:p>
      <w:pPr>
        <w:spacing w:after="0" w:line="3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3"/>
                <w:szCs w:val="13"/>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75"/>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1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20"/>
        </w:trPr>
        <w:tc>
          <w:tcPr>
            <w:tcW w:w="44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capital lease obligations</w:t>
            </w:r>
          </w:p>
        </w:tc>
        <w:tc>
          <w:tcPr>
            <w:tcW w:w="3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12,773</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3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interest expense presented on the Condensed Consolidated Statements of Operations are as follows: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261</w:t>
            </w:r>
          </w:p>
        </w:tc>
      </w:tr>
      <w:tr>
        <w:trPr>
          <w:trHeight w:val="257"/>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786</w:t>
            </w: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Loan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($7.2 million). All advances under the Revolving Credit Facility and all other obligations must be paid in full at maturity on November 9, 2022.</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five year credit agreement bear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three months ended September 30, 2019 is LIBOR plus 4%. The Term Loan and Revolving Credit Facility contain customary representations and warranties and affirmative and negative covenants and require the Company to maintain a minimum quarterly total leverage ratio and fixed charge coverage ratio. The Revolving Credit Facility and Term Loan also require the Company to furnish various financial information on a quarterly and annual basis.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September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 On October 31, 2019, the Company repaid the outstanding balance on the Revolving Credit Facility.</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As of September 30, 2019, the Company is not in compliance with the fixed charge coverage ratio and the total leverage ratio, which represents an event of default under the credit agreement. The Company has classified all amounts outstanding under the Revolving Credit Facility and Term Loan as current liabilities as of September 30, 2019 and June 30, 2019.</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Borrowings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Cantaloupe, the Company assumed debt of $1.8 million with an outstanding balance of $0.6 million and $0.8 million as of September 30, 2019 and June 30, 2019, respectively, comprised of: (i) $0.1 million and $0.2 million of promissory notes bearing an interest rate of 5% and maturing on April 5, 2020 with principal and interest payments due monthly; (ii) $0.4 million and $0.4 million of promissory notes bearing an interest rate of 10% and maturing on April 1, 2021 with principal and interest payments due quarterly; and (iii) $0.1 million and $0.1 million of promissory notes bearing an interest rate of 12% and maturing on December 15, 2019 with principal and interest payments due quarterly.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carried at cost which approximates fair value. The Company classifies its financial instruments, which are primarily cash equivalents, accounts receivable, accounts payable and accrued expenses as Level 1 investments of the fair value hierarchy because these instruments are carried at cost which approximates fair value due to the short-term maturity of these instruments.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under its long-term debt agreements are carried at amortized cost, which approximates their fair value. The fair value of the Company’s obligations under its long-term debt agreements are considered Level 2 investments of the fair value hierarchy because these instruments have interest rates that reset frequently.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2019, the Company recorded an income tax provision of $59 thousand. As of September 30, 2019, the Company continued to record a full valuation against its deferred tax assets. The income tax provision primarily relates to the Company's uncertain tax positions, as well as state income and franchise taxes. As of September 30, 2019, the Company had a total unrecognized income tax benefit of $0.2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three months ended September 30, 2019, as the use of an estimated annual effective income tax rate does not provide a reliable estimate of the income tax provision.</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2018, an income tax provision of $18 thousand was recorded, which primarily relates to state income and franchise taxes. The provision is based upon actual loss before income taxes for the three months ended September 30, 2018, as the use of an estimated annual effective income tax rate does not provide a reliable estimate of the income tax provision.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23,978 warrants outstanding as of September 30, 2019 and June 30, 2019, all of which were exercisable at $5.00 per share. The warrants have an expiration date of March 29,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2017, 135,000 stock options were granted for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2017, the Company awarded stock options to its Chief Executive Officer and Chief Financial Officer to purchase up to 19,047 and 25,000 shares respectively of common stock at an exercise price of $5.25 per share. The Chief Executive Officer options vest on August 16, 2018, expiring if not exercised prior to August 16, 2024. The Chief Financial Officer options vest 1/3 on August 16, 2018, 1/3 on August 16, 2019 and 1/3 on August 16, 2020, expiring if not exercised prior to August 16, 2024. The Chief Executive Officer options are intended to qualify as incentive stock options under Section 422 of the Internal Revenue Code of 1986, as amended, and the Chief Financial Officer options are non-qualified stock options.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2018, the Company awarded stock options to 102 employees to purchase up to 400,000 shares of common stock at an exercise price of $8.75 which vest 1/3 each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award any stock options during the quarter ended September 30,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during the three months ended September 30, 2018 was determined using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9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 (percent)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43"/>
        </w:trPr>
        <w:tc>
          <w:tcPr>
            <w:tcW w:w="9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life (years)</w:t>
            </w:r>
          </w:p>
        </w:tc>
        <w:tc>
          <w:tcPr>
            <w:tcW w:w="180" w:type="dxa"/>
            <w:vAlign w:val="bottom"/>
          </w:tcPr>
          <w:p>
            <w:pPr>
              <w:spacing w:after="0"/>
              <w:rPr>
                <w:sz w:val="21"/>
                <w:szCs w:val="21"/>
                <w:color w:val="auto"/>
              </w:rPr>
            </w:pP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9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Risk-free interest rate (percent)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options granted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400,000</w:t>
            </w:r>
          </w:p>
        </w:tc>
      </w:tr>
      <w:tr>
        <w:trPr>
          <w:trHeight w:val="243"/>
        </w:trPr>
        <w:tc>
          <w:tcPr>
            <w:tcW w:w="9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8.75</w:t>
            </w:r>
          </w:p>
        </w:tc>
      </w:tr>
      <w:tr>
        <w:trPr>
          <w:trHeight w:val="27"/>
        </w:trPr>
        <w:tc>
          <w:tcPr>
            <w:tcW w:w="9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9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4.37</w:t>
            </w:r>
          </w:p>
        </w:tc>
      </w:tr>
      <w:tr>
        <w:trPr>
          <w:trHeight w:val="27"/>
        </w:trPr>
        <w:tc>
          <w:tcPr>
            <w:tcW w:w="9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based compensation related to all stock options for the three months ended September 30, 2019 was $0.2 million and $0.1 million for the three months ended September 30, 2018.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2018, 6,677 shares were awarded to each non-employee director for a total of 40,062 shares. The shares vest on a monthly basis over the two year period following July 2, 2018. The total expense recognized for these grants for the three months ended September 30, 2019 was $42 thousand and for the three months ended September 30, 2018 was $0.2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TERM INCENTIVE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award any long-term stock incentive compensation to its executive officers during the 2019 fiscal year.</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long-term stock incentive plans (“LTI”) in prior fiscal years for its then executive officers. Stock based compensation related to the LTI plans was as follows in the three months ended September 30, 2019 and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FY18 LTI Plan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FY17 LTI Plan</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District of Pennsylvania Consolidated Shareholder Class Actions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various putative shareholder class actions had been filed in the United States District Court for the District of New Jersey against the Company, its chief executive officer and chief financial officer at the relevant time, its directors at the relevant time, and the investment banks who served as underwriters in the May 2018 follow-on public offering of the Company (the “Underwriters”). These complaints alleged violations of the Securities Act of 1933, as amended, and the Securities Exchange Act of 1934, as amended. These various actions were consolidated by the Court into one action (the “Consolidated Action”). On September 30, 2019, the Court granted the Motion to Transfer filed by the Company and its former chief executive officer, and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transferred the Consolidated Action to the United States District Court for the Eastern District of Pennsylvania, Docket No. 19-cv-04565. On October 18, 2019, the Court entered an Order approving the parties’ stipulation which provided for the filing of an amended complaint by no later than November 20, 2019, a date for the defendants to respond thereto, and a briefing schedule, if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Chester County, Pennsylvania Class Action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a putative shareholder class action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Securities Act of 1933, as amended. As also previously reported, on September 20, 2019 the Court granted the defendants’ Petition for Stay and stayed the action until the Consolidated Action reaches a final disposition. On October 18, 2019, plaintiff filed an appeal to the Pennsylvania Superior Court from the Order granting defendants’ Petition for Stay, Docket No. 3100 EDA 2019.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resignation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17, 2019, Stephen P. Herbert resigned as Chief Executive Officer (the "CEO") and as a member of the Company's Board of Directors. On the same date, the Company's Board of Directors appointed Donald W. Layden, Jr., as interim CEO of the Company. Mr. Layden has served as a member of the Company's Board of Directors since April 2019.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course of finalizing the severance package for our prior CEO, Stephen Herbert, we identified payments made on Mr. Herbert’s behalf to the Company’s business travel partner, American Express, prior to Mr. Herbert providing reimbursement to the Company. These payments may be classified as loans. The Company is in the process of arranging the final severance amounts to Mr. Herbert taking into account the outstanding balance of approximately $30,000.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rights plan and dividend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18, 2019, the Company’s Board of Directors adopted a shareholder rights plan and declared a dividend distribution of one right on each outstanding share of the Company’s common stock. The rights plan will be put to a vote of shareholders at the next annual meeting, and will automatically terminate if approval is not obtained. If shareholder approval is obtained at the meeting, the shareholder rights plan will expire on October 18, 2020.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rights will be exercisable only if a person or group acquires 15% or more of the Company’s outstanding common stock. If a shareholder's beneficial ownership of common stock as of the time of this announcement is at or above the 15% threshold, that shareholder's existing ownership percentage would be grandfathered, but the rights would become exercisable if at any time after this announcement the shareholder acquires beneficial ownership of additional shares. Each right will entitle shareholders to buy one one-hundredth of a share of a new series of junior participating preferred stock at an exercise price of $30.</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person or group acquires 15% of the Company’s outstanding common stock, each right will entitle its holder (other than such person or members of such group) to purchase for $30, a number of Company common shares having a market value of twice such price. In addition, at any time after a person or group acquires 15% of the Company’s outstanding common stock, the Company’s Board of Directors may exchange one share of the Company’s common stock for each outstanding right (other than rights owned by such person or group, which would have become void).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acquisition by a person or group of beneficial ownership of 15% of the Company’s common stock, the rights are redeemable for one cent per right at the option of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distribution was made to holders of record as of October 28, 2019, and was not taxable to shareholders.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Long-Term Stock Incentive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2019, the Company's Board of Directors approved the Fiscal Year 2020 Long-Term Stock Incentive Plan which provides that each executive officer would be awarded shares of common stock of the Company in the event that certain metrics relating to the Company’s 2020 fiscal year would result in specified ranges of year-over-year percentage growth. The metrics are total number of connections as of June 30, 2020 as compared to total number of connections as of June 30, 2019 (40% weighting)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earned during the 2020 fiscal year as compared to the adjusted EBITDA earned during the 2019 fiscal year (60% weighting). If none of the minimum threshold year-over-year percentage target goals are achieved, the executive officers would not be awarded any shares.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(which in any event cannot exceed 150% of the executive officer’s target bonus award). Any shares awarded under the plan would vest as follows: one-third at the time of issuance; one-third on June 30, 2021; and one-third on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4000"/>
        <w:spacing w:after="0" w:line="45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49" w:lineRule="exact"/>
        <w:rPr>
          <w:sz w:val="20"/>
          <w:szCs w:val="20"/>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raise funds in the future through sales of securities or debt financing in order to sustain its operations if an unexpected or unusual event would occur;</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compete with its competitors to obtain market share;</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current or future customers purchase, lease, rent or utilize ePort devices or our other products in the future at levels currently anticipated by our Company;</w:t>
      </w:r>
    </w:p>
    <w:p>
      <w:pPr>
        <w:spacing w:after="0" w:line="12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satisfy its trade obligations included in accounts payable and accrued expenses;</w:t>
      </w:r>
    </w:p>
    <w:p>
      <w:pPr>
        <w:spacing w:after="0" w:line="184"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sell to third party lenders all or a portion of our finance receivables;</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sufficient number of our customers to utilize third party financing companies under our QuickStart program in order to improve our net cash used by operating activities;</w:t>
      </w:r>
    </w:p>
    <w:p>
      <w:pPr>
        <w:spacing w:after="0" w:line="12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would require us to divert our cash resources from achieving our business plan;</w:t>
      </w:r>
    </w:p>
    <w:p>
      <w:pPr>
        <w:spacing w:after="0" w:line="121" w:lineRule="exact"/>
        <w:rPr>
          <w:rFonts w:ascii="Times New Roman" w:cs="Times New Roman" w:eastAsia="Times New Roman" w:hAnsi="Times New Roman"/>
          <w:sz w:val="18"/>
          <w:szCs w:val="18"/>
          <w:color w:val="auto"/>
        </w:rPr>
      </w:pPr>
    </w:p>
    <w:p>
      <w:pPr>
        <w:ind w:left="500" w:right="20" w:hanging="316"/>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predict or estimate its future quarterly or annual revenue and expenses given the developing and unpredictable market for its products;</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retain key customers from whom a significant portion of its revenue are derived;</w:t>
      </w:r>
    </w:p>
    <w:p>
      <w:pPr>
        <w:spacing w:after="0" w:line="184"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the Company;</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obtain widespread commercial acceptance of its products and service offerings such as ePort QuickConnect, mobile payment and loyalty programs;</w:t>
      </w:r>
    </w:p>
    <w:p>
      <w:pPr>
        <w:spacing w:after="0" w:line="12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operate without infringing the intellectual property rights of others;</w:t>
      </w:r>
    </w:p>
    <w:p>
      <w:pPr>
        <w:spacing w:after="0" w:line="184"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unauthorized hacking or credit card fraud;</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continue to experience material weaknesses in our internal controls over financial reporting in the future, and are not able to accurately or timely report our financial condition or results of operations;</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suppliers would increase their prices, reduce their output or change their terms of sale;</w:t>
      </w:r>
    </w:p>
    <w:p>
      <w:pPr>
        <w:spacing w:after="0" w:line="184"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sell to third party lenders all or a portion of our finance receivables, or to do so in a timely manner;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500" w:hanging="316"/>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appeal to the Nasdaq Listing and Hearing Review Council of the suspension of trading of the Company’s securities on The Nasdaq Stock Market LLC (“Nasdaq”) will be successful or result in the reinstatement of trading of the Company’s securities, or whether any listing application which may be filed by the Company to relist the Company’s securities on Nasdaq would be granted;</w:t>
      </w:r>
    </w:p>
    <w:p>
      <w:pPr>
        <w:spacing w:after="0" w:line="135" w:lineRule="exact"/>
        <w:rPr>
          <w:rFonts w:ascii="Times New Roman" w:cs="Times New Roman" w:eastAsia="Times New Roman" w:hAnsi="Times New Roman"/>
          <w:sz w:val="18"/>
          <w:szCs w:val="18"/>
          <w:color w:val="auto"/>
        </w:rPr>
      </w:pPr>
    </w:p>
    <w:p>
      <w:pPr>
        <w:ind w:left="500" w:right="20" w:hanging="316"/>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 the future for working capital, capital expenditures, acquisitions, general corporate purposes or other purposes may be impaired; and</w:t>
      </w:r>
    </w:p>
    <w:p>
      <w:pPr>
        <w:spacing w:after="0" w:line="121" w:lineRule="exact"/>
        <w:rPr>
          <w:rFonts w:ascii="Times New Roman" w:cs="Times New Roman" w:eastAsia="Times New Roman" w:hAnsi="Times New Roman"/>
          <w:sz w:val="18"/>
          <w:szCs w:val="18"/>
          <w:color w:val="auto"/>
        </w:rPr>
      </w:pPr>
    </w:p>
    <w:p>
      <w:pPr>
        <w:jc w:val="both"/>
        <w:ind w:left="500" w:hanging="316"/>
        <w:spacing w:after="0" w:line="261"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currently pending litigation or possible regulatory action arising from the internal investigation and its findings, from the failure to timely file our periodic reports with the SEC, from the restatement of the affected financial statements, from allegations related to the registration statement for the follow-on public offering, or from potential litigation or other claims arising from the shareholder demands for derivative action.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Annual Report on Form 10-K for the fiscal year ended June 30, 2019 (the "2019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generates revenue in multiple ways. During the three months ended September 30, 2019, we derived approximately 80% of our revenue from recurring license and transaction fees related to our ePort Connect service and approximately 20%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ectPr>
          <w:pgSz w:w="11900" w:h="16838" w:orient="portrait"/>
          <w:cols w:equalWidth="0" w:num="1">
            <w:col w:w="11420"/>
          </w:cols>
          <w:pgMar w:left="240" w:top="121" w:right="239" w:bottom="1440" w:gutter="0" w:footer="0" w:header="0"/>
        </w:sectPr>
      </w:pP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98" w:lineRule="exact"/>
        <w:rPr>
          <w:sz w:val="20"/>
          <w:szCs w:val="20"/>
          <w:color w:val="auto"/>
        </w:rPr>
      </w:pPr>
    </w:p>
    <w:p>
      <w:pPr>
        <w:ind w:right="20"/>
        <w:spacing w:after="0" w:line="376" w:lineRule="auto"/>
        <w:rPr>
          <w:sz w:val="20"/>
          <w:szCs w:val="20"/>
          <w:color w:val="auto"/>
        </w:rPr>
      </w:pPr>
      <w:r>
        <w:rPr>
          <w:rFonts w:ascii="Times New Roman" w:cs="Times New Roman" w:eastAsia="Times New Roman" w:hAnsi="Times New Roman"/>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54"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ind w:right="2460" w:firstLine="332"/>
        <w:spacing w:after="0" w:line="345" w:lineRule="auto"/>
        <w:tabs>
          <w:tab w:leader="none" w:pos="648" w:val="left"/>
        </w:tabs>
        <w:numPr>
          <w:ilvl w:val="0"/>
          <w:numId w:val="6"/>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Renting devices under the Company’s JumpStart Program, which are cancellable month-to-month operating leases. As of September 30, 2019, highlights of the Company are below:</w:t>
      </w:r>
    </w:p>
    <w:p>
      <w:pPr>
        <w:sectPr>
          <w:pgSz w:w="11900" w:h="16838" w:orient="portrait"/>
          <w:cols w:equalWidth="0" w:num="1">
            <w:col w:w="11420"/>
          </w:cols>
          <w:pgMar w:left="240" w:top="121" w:right="2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in Malvern, Pennsylvania;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120 employees;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20,000 customers and approximately 1,215,000 connections to our service;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direct sales teams at the national, regional, and local customer-level and a growing number of OEMs and national distribution partners;</w:t>
      </w:r>
    </w:p>
    <w:p>
      <w:pPr>
        <w:spacing w:after="0" w:line="30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2">
            <w:col w:w="420" w:space="240"/>
            <w:col w:w="1076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The Company’s fiscal year ends June 30th.</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indicated in our 2019 Form 10-K, as a result of our failure to comply with our periodic reporting obligations, on September 26, 2019, our securities were suspended from trading on Nasdaq and are currently quoted on the OTC Markets. On October 8, 2019, and pursuant to applicable Nasdaq rules, we filed an appeal to the Nasdaq Listing and Hearing Review Council from the Nasdaq Hearing Panel’s determination to delist the Company’s securities from trading. There can be no assurance that our appeal will be successful or result in the reinstatement of trading of the Company’s securities, or whether any listing application which may be filed by the Company to relist the Company’s securities on Nasdaq would be granted.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critical accounting policies disclosed in “Management’s Discussion and Analysis of Financial Condition and Results of Operations” in our 2019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interim Condensed Consolidated Financial Statements for a description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TRENDING QUARTERLY FINANCIAL DATA</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show certain financial and non-financial data that management believes give readers insight into certain trends and relationships about the Company’s financial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Five Quarter Select Key Performance Indicators including Connections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32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3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Connections: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new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new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1,215,000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1,169,000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1,126,000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1,080,000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1,047,000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customers added</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Volumes: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volume (millions)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structure of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JumpStart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QuickStart &amp; all others </w:t>
            </w:r>
            <w:r>
              <w:rPr>
                <w:rFonts w:ascii="Times New Roman" w:cs="Times New Roman" w:eastAsia="Times New Roman" w:hAnsi="Times New Roman"/>
                <w:sz w:val="25"/>
                <w:szCs w:val="25"/>
                <w:color w:val="auto"/>
                <w:vertAlign w:val="superscript"/>
              </w:rPr>
              <w:t>(a)</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57"/>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credit sales with standard trade receivable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USAT’s connections for the quarter ended September 30, 2019 include:</w:t>
      </w:r>
    </w:p>
    <w:p>
      <w:pPr>
        <w:spacing w:after="0" w:line="18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46,000 additional net new connections during the quarter; and</w:t>
      </w:r>
    </w:p>
    <w:p>
      <w:pPr>
        <w:spacing w:after="0" w:line="2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1,215,000 total connections to our service compared to the same quarter last year of approximately 1,047,000 total connections to our service, an increase of 168,000 connections, or 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3940"/>
        <w:spacing w:after="0" w:line="484" w:lineRule="auto"/>
        <w:rPr>
          <w:sz w:val="20"/>
          <w:szCs w:val="20"/>
          <w:color w:val="auto"/>
        </w:rPr>
      </w:pPr>
      <w:r>
        <w:rPr>
          <w:rFonts w:ascii="Times New Roman" w:cs="Times New Roman" w:eastAsia="Times New Roman" w:hAnsi="Times New Roman"/>
          <w:sz w:val="18"/>
          <w:szCs w:val="18"/>
          <w:b w:val="1"/>
          <w:bCs w:val="1"/>
          <w:color w:val="auto"/>
        </w:rPr>
        <w:t>Three Months Ended September 30, 2019 Compared to Three Months Ended September 30, 2018 Revenue and Gross Profit</w:t>
      </w: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33,833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28,971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4,551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42,146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33,522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18,544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costs of sales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23,412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573.5 %</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10,052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10,110</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$8.6 million for the three months ended September 30, 2019 compared to the same period in 2018. The growth in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resulted from a $4.9 million increase in license and transaction fee revenue for the three months ended September 30, 2019 compared to the same period in 2018, mostly driven by the increase in connection count which caused an increase in license fee and processing fees, and a $3.8 million increase in equipment revenue for the three months ended September 30, 2019 compared to the same period in 2018 driven by higher shipments compared to the same period last year.</w:t>
      </w:r>
    </w:p>
    <w:p>
      <w:pPr>
        <w:spacing w:after="0" w:line="1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$8.7 million for nine months ended September 30, 2019 compared to the same period in 2018. The increase was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$3.1 million increase in cost of services driven by an increase in transaction processing costs commensurate with the increase in transaction processing fees for the quarter and a $5.6 million increase in cost of equipment sales, resulting from higher shipments compared to the same period last year.</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decreased 6.3%, from 30.2% for the three months ended September 30, 2018 to 23.9%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The decrease was driven primarily by a lower equipment margin resulting from a large equipment sale made to a strategic customer during the current quarter, reflecting our strategy of using equipment sales as an enabler for driving longer-term, higher margin license and transaction fees. License and transaction processing margin remained consistent compared to the same period last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1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18,171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22,892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16,031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and administrative expenses increased approximately $8.7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as compared to the same period in 2018. This change was primarily driven by an increase in professional services costs primarily related to the Company's restatement project and related audit activities.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Investigation and restatement expenses</w:t>
      </w:r>
      <w:r>
        <w:rPr>
          <w:rFonts w:ascii="Times New Roman" w:cs="Times New Roman" w:eastAsia="Times New Roman" w:hAnsi="Times New Roman"/>
          <w:sz w:val="18"/>
          <w:szCs w:val="18"/>
          <w:color w:val="auto"/>
        </w:rPr>
        <w:t>. Investigation and restatement expenses were incurred beginning in the first quarter of fiscal year 2019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the first quarter of fiscal year 2020 in connection with the Audit Committee's investigation, the restatements of previously filed financial statements, bank consents, and the ongoing remediation of deficiencies in our internal control over financial reporting.</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Integration and acquisition costs</w:t>
      </w:r>
      <w:r>
        <w:rPr>
          <w:rFonts w:ascii="Times New Roman" w:cs="Times New Roman" w:eastAsia="Times New Roman" w:hAnsi="Times New Roman"/>
          <w:sz w:val="18"/>
          <w:szCs w:val="18"/>
          <w:color w:val="auto"/>
        </w:rPr>
        <w:t>. Integration and acquisition costs were $0.9 million for the three months ended September 30, 2018 due to the completion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Cantaloupe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consistent with the same period in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5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decreased $0.4 million for the three months ended September 30, 2019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2018 due to the prepayments in fiscal year 2019 on the Term Loan which reduced the amount of interest expense to be recorded in fiscal year 2020.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vMerge w:val="restart"/>
          </w:tcPr>
          <w:p>
            <w:pPr>
              <w:spacing w:after="0"/>
              <w:rPr>
                <w:sz w:val="5"/>
                <w:szCs w:val="5"/>
                <w:color w:val="auto"/>
              </w:rPr>
            </w:pPr>
          </w:p>
        </w:tc>
        <w:tc>
          <w:tcPr>
            <w:tcW w:w="10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6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227.8%</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For the three months ended September 30, 2019, a tax provision of $59 thousand was recorded which primarily relates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uncertain tax positions, as well as state income and franchise taxes. As of September 30, 2019, the Company had a total unrecognized income tax benefit of $0.2 million. The Company is actively working with the tax authorities related to the majority of this uncertain tax position and it is reasonably possible that a majority of the uncertain tax position will be settled within the next 12 months. The provision is based upon actual loss before income taxes for the three months ended September 30, 2019, as the use of an estimated annual effective income tax rate does not provide a reliable estimate of the income tax provision.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2018, a tax provision of $18 thousand was recorded which primarily relates to state income and franchise taxes. The provision is based upon actual loss before income taxes for the three months ended September 30, 2018, as the use of an estimated annual effective income tax rate does not provide a reliable estimate of the income tax provision.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interest income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786</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depreciation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1,355</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amortization expense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litigation related professional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investigation and restatement expenses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integration and acquisition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922</w:t>
            </w: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Adjustments to EBITDA</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5,869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used herein, Adjusted EBITDA represents net income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or activist related expenses, and stock-based compensation expense. 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or the activist related matters as well as the non-recurring costs and expenses related to the Audit Committee investigation and financial statement restatement activities 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Non-GAAP Net Income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portion of income 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415</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Litigation related professional fees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4,526</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used herein, non-GAAP net income (loss) represents GAAP net loss excluding costs or benefits relating to any non-cash portions of the Company’s income tax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and class-action litigation or activist related expenses.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$0.2 million for the three months ended September 30, 2019 compared to cash used of $14.1 million in the same period in fiscal year 2018. The change reflects a change in net expense for non-cash operating activities of $0.5 million, and net cash provided by the change in various operating assets and liabilities of $21.5 million. The change in operating assets and liabilities is primarily driven by the change of accounts receivable of $8.4 million and the change of accounts payable and accrued expenses of $13.1 million.</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$0.4 million for the three months ended September 30, 2019 compared to cash used of $0.7 million in the same period in fiscal year 2018. The change was consistent between periods.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$1.8 million for the nine months ended September 30, 2019 compared to cash used of $0.9 million in the same period in fiscal year 2018. The change was primarily due to the Term Loan prepayment of $1.5 million made on September 30,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and related compliance certificates required under the terms of the credit agreement which are required to be delivered to the Lender by no later than October 31, 2019. In connection with these agreements, the Company incurred extension fees due to the lender, totaling $0.2 million, between September 28, 2018 and September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 On October 31, 2019, the Company repaid the outstanding balance on the Revolving Credit Facility.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Although as of September 30, 2019 the Company was not in compliance with the fixed charge coverage ratio and the total leverage ratio financial covenants under the credit agreement, pursuant to the September 30, 2019 extension agreement, the lender agreed that any such failure would not constitute an event of default pending the delivery to the lender of our financial statements and related compliance certificates by no later than October 31, 2019. The Company has classified all amounts outstanding under the Revolving Credit Facility and Term Loan as current liabilities as of September 30, 2019 and June 30, 2019.</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 Stock Purchase Agreement dated October 9, 2019 between the Company and Antara Capital Master Fund LP (“Antara”), on October 9, 2019, the Company sold to Antara 3,800,000 shares of the Company’s common stock at a price of $5.25 per share for gross proceeds of $19,950,000. On October 9, 2019, the Company also entered into a commitment letter (“Commitment Letter”) with Antara, pursuant to which Antara committed to extend to the Company a $30.0 million senior secured term loan facility (“Term Facility”). On October 31, 2019, the Company entered into a Financing Agreement with Antara to draw $15.0 million on the Term Facility and agreed to draw an additional $15.0 million at any time between July 31, 2020 and April 30, 2021, subject to the terms of the Financing Agreement. The outstanding amount of the draws under the Term Facility bear interest at 9.75% per annum, payable monthly in arrears. The proceeds of the initial draw were used to repay the outstanding balance of the revolving line of credit loan due to JPMorgan Chase Bank, N.A. in the amount of $10.1 million, including accrued interest payable, and to pay transaction expenses, and the Company intends to utilize the balance for working capital and general corporate purposes. The outstanding principal amount of the loan must be paid in full by no later than the maturity date of October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primary sources of capital available: (1) cash and cash equivalents on hand of $25.5 million as of September 30, 2019;</w:t>
      </w:r>
    </w:p>
    <w:p>
      <w:pPr>
        <w:spacing w:after="0" w:line="27" w:lineRule="exact"/>
        <w:rPr>
          <w:sz w:val="20"/>
          <w:szCs w:val="20"/>
          <w:color w:val="auto"/>
        </w:rPr>
      </w:pPr>
    </w:p>
    <w:p>
      <w:pPr>
        <w:jc w:val="both"/>
        <w:ind w:firstLine="8"/>
        <w:spacing w:after="0" w:line="255" w:lineRule="auto"/>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which may be provided by operating activities in the 2020 fiscal year; (3) potential sales to third party lenders of all or a portion of our finance receivables; (4) gross cash proceeds of $19,950,000 from the issuance of our shares to Antara as referred to above; and (5) an aggregate amount of $30 million under the Term Facility as described above.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anticipates that during the remainder of the 2020 fiscal year, the Company would have to satisfy its sales tax liability estimated to be no more than $20.0 million, inclusive of accruing no more than an additional $4.0 million in the 2020 fiscal year. In addition, management has recently implemented efficiencies in working capital that are designed to increase our cash balances.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Therefore, the Company believes its existing cash and cash equivalents and available cash resources described above would provide sufficient capital resources to operate its anticipated business over the next 12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exposures to market risk have not changed materially since June 30, 2019. For quantitative and qualitative disclosures about market risk, refer to Part II, Item 7A. “Quantitative and Qualitative Disclosures about Market Risk,” contained in our 2019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evaluated, with the participation of our interim chief executive officer and interim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interim chief executive officer and interim chief financial officer, to allow timely decisions regarding required disclosure. Based on this evaluation, our management, including our interim chief executive officer and interim chief financial officer, has concluded that our disclosure controls and procedures were not effective as of the end of such period as a result of the material weaknesses in our internal control over financial reporting, which are described in Item 9A. of our 2019 Form 10-K.</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the remediation actions disclosed in Item 9A. of the 2019 Form 10-K, there were no changes in our internal controls over financial reporting that occurred during the quarter ended September 30, 2019 that materially affected, or are reasonably likely to materially affect, our internal controls over financial reporting. As discussed in Item 9A. of our 2019 Form 10-K, we have initiated a broad range of remedial procedures to address the material weaknesses in our internal control over financial reporting. These remedial procedures entailed significant changes in our internal control over financial reporting throughout the course of the fiscal year ended June 30, 2019 and were not complete as of September 30, 2019, and will continue through fiscal year 2020, with the goal to fully remediate all remaining material weaknesses by fiscal year end.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District of Pennsylvania Consolidated Shareholder Class Actions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reported, various putative shareholder class actions had been filed in the United States District Court for the District of New Jersey against the Company, its chief executive officer and chief financial officer at the relevant time, its directors at the relevant time, and the investment banks who served as underwriters in the May 2018 follow-on public offering of the Company (the “Underwriters”). These complaints alleged violations of the Securities Act of 1933, as amended, and the Securities Exchange Act of 1934, as amended. These various actions were consolidated by the Court into one action (the “Consolidated Action”). On September 30, 2019, the Court granted the Motion to Transfer filed by the Company and its former chief executive officer, and transferred the Consolidated Action to the United States District Court for the Eastern District of Pennsylvania, Docket No. 19-cv-04565. On October 18, 2019, the Court entered an Order approving the parties’ stipulation which provided for the filing of an amended complaint by no later than November 20, 2019, a date for the defendants to respond thereto, and a briefing schedule, if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Chester County, Pennsylvania Class Action</w:t>
      </w:r>
    </w:p>
    <w:p>
      <w:pPr>
        <w:spacing w:after="0" w:line="254"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previously reported, a putative shareholder class action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Securities Act of 1933, as amended. As also previously reported, on September 20, 2019 the Court granted the defendants’ Petition for Stay and stayed the action until the Consolidated Action reaches a final disposition. On October 18, 2019, plaintiff filed an appeal to the Pennsylvania Superior Court from the Order granting defendants’ Petition for Stay, Docket No. 3100 EDA 2019.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defaults on any senior securities. On August 1, 2019, an additional $334 thousand of dividends were accrued on our cumulative Series A Convertible Preferred Stock. The total accrued and unpaid dividends on our Series A Convertible Preferred Stock as of September 30, 2019 was $16.0 million. The dividend accrual dates for our Preferred Stock are February 1 and August 1. The annual cumulative dividend on our Preferred Stock is $1.50 per share.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4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Amended and Restated Bylaws of the Company</w:t>
              </w:r>
            </w:hyperlink>
          </w:p>
        </w:tc>
        <w:tc>
          <w:tcPr>
            <w:tcW w:w="6840" w:type="dxa"/>
            <w:vAlign w:val="bottom"/>
            <w:gridSpan w:val="4"/>
          </w:tcPr>
          <w:p>
            <w:pPr>
              <w:spacing w:after="0"/>
              <w:rPr>
                <w:sz w:val="17"/>
                <w:szCs w:val="17"/>
                <w:color w:val="auto"/>
              </w:rPr>
            </w:pPr>
          </w:p>
        </w:tc>
      </w:tr>
      <w:tr>
        <w:trPr>
          <w:trHeight w:val="57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1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65">
              <w:r>
                <w:rPr>
                  <w:rFonts w:ascii="Times New Roman" w:cs="Times New Roman" w:eastAsia="Times New Roman" w:hAnsi="Times New Roman"/>
                  <w:sz w:val="18"/>
                  <w:szCs w:val="18"/>
                  <w:color w:val="0000FF"/>
                  <w:w w:val="99"/>
                </w:rPr>
                <w:t>Certifications of Chief Executive Officer pursuant to Rule 13a-14(a) under the Securities Exchange Act of 1934.</w:t>
              </w:r>
            </w:hyperlink>
          </w:p>
        </w:tc>
        <w:tc>
          <w:tcPr>
            <w:tcW w:w="2200" w:type="dxa"/>
            <w:vAlign w:val="bottom"/>
            <w:gridSpan w:val="2"/>
          </w:tcPr>
          <w:p>
            <w:pPr>
              <w:spacing w:after="0"/>
              <w:rPr>
                <w:sz w:val="24"/>
                <w:szCs w:val="24"/>
                <w:color w:val="auto"/>
              </w:rPr>
            </w:pPr>
          </w:p>
        </w:tc>
      </w:tr>
      <w:tr>
        <w:trPr>
          <w:trHeight w:val="54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00" w:type="dxa"/>
            <w:vAlign w:val="bottom"/>
            <w:gridSpan w:val="7"/>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Certifications of Chief Financial Officer pursuant to Rule 13a-14(a) under the Securities Exchange Act of 1934.</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40" w:type="dxa"/>
            <w:vAlign w:val="bottom"/>
            <w:gridSpan w:val="2"/>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67">
              <w:r>
                <w:rPr>
                  <w:rFonts w:ascii="Times New Roman" w:cs="Times New Roman" w:eastAsia="Times New Roman" w:hAnsi="Times New Roman"/>
                  <w:sz w:val="18"/>
                  <w:szCs w:val="18"/>
                  <w:color w:val="0000FF"/>
                  <w:w w:val="99"/>
                </w:rPr>
                <w:t>Certification of the Chief Executive Officer pursuant to 18 USC Section 1350, as adopted pursuant to Section 906 of the Sarbanes-Oxley Act</w:t>
              </w:r>
            </w:hyperlink>
          </w:p>
        </w:tc>
        <w:tc>
          <w:tcPr>
            <w:tcW w:w="1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w:anchor="page67">
              <w:r>
                <w:rPr>
                  <w:rFonts w:ascii="Times New Roman" w:cs="Times New Roman" w:eastAsia="Times New Roman" w:hAnsi="Times New Roman"/>
                  <w:sz w:val="18"/>
                  <w:szCs w:val="18"/>
                  <w:color w:val="0000FF"/>
                  <w:w w:val="96"/>
                </w:rPr>
                <w:t>of 2002.</w:t>
              </w:r>
            </w:hyperlink>
          </w:p>
        </w:tc>
        <w:tc>
          <w:tcPr>
            <w:tcW w:w="9700" w:type="dxa"/>
            <w:vAlign w:val="bottom"/>
            <w:gridSpan w:val="5"/>
          </w:tcPr>
          <w:p>
            <w:pPr>
              <w:spacing w:after="0"/>
              <w:rPr>
                <w:sz w:val="17"/>
                <w:szCs w:val="17"/>
                <w:color w:val="auto"/>
              </w:rPr>
            </w:pPr>
          </w:p>
        </w:tc>
      </w:tr>
      <w:tr>
        <w:trPr>
          <w:trHeight w:val="54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68">
              <w:r>
                <w:rPr>
                  <w:rFonts w:ascii="Times New Roman" w:cs="Times New Roman" w:eastAsia="Times New Roman" w:hAnsi="Times New Roman"/>
                  <w:sz w:val="18"/>
                  <w:szCs w:val="18"/>
                  <w:color w:val="0000FF"/>
                  <w:w w:val="99"/>
                </w:rPr>
                <w:t>Certification of the Chief Financial Officer pursuant to 18 USC Section 1350, as adopted pursuant to Section 906 of the Sarbanes-Oxley Act of</w:t>
              </w:r>
            </w:hyperlink>
          </w:p>
        </w:tc>
      </w:tr>
      <w:tr>
        <w:trPr>
          <w:trHeight w:val="196"/>
        </w:trPr>
        <w:tc>
          <w:tcPr>
            <w:tcW w:w="10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w:anchor="page68">
              <w:r>
                <w:rPr>
                  <w:rFonts w:ascii="Times New Roman" w:cs="Times New Roman" w:eastAsia="Times New Roman" w:hAnsi="Times New Roman"/>
                  <w:sz w:val="18"/>
                  <w:szCs w:val="18"/>
                  <w:color w:val="0000FF"/>
                  <w:w w:val="93"/>
                </w:rPr>
                <w:t>2002.</w:t>
              </w:r>
            </w:hyperlink>
          </w:p>
        </w:tc>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360" w:lineRule="exact"/>
        <w:rPr>
          <w:sz w:val="20"/>
          <w:szCs w:val="20"/>
          <w:color w:val="auto"/>
        </w:rPr>
      </w:pPr>
    </w:p>
    <w:p>
      <w:pPr>
        <w:jc w:val="right"/>
        <w:ind w:left="1160" w:hanging="1125"/>
        <w:spacing w:after="0" w:line="269" w:lineRule="auto"/>
        <w:tabs>
          <w:tab w:leader="none" w:pos="109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our Quarterly Report on Form 10-Q for the quarter ended September 30, 2019, filed with the SEC on November 12, 2019, formatted in Extensible Business Reporting Language (XBRL): (1) the Consolidated Balance Sheets as of September 30, 2019 and June 30, 2019, (2) the Consolidated Statements of Operations for the three-month periods ended September 30, 2019 and 2018, (3) the Consolidated Statements of Shareholders’ Equity for the three-month periods ended September 30, 2019 and 2018, (4) the Consolidated Statements of Cash Flows for the three-month periods ended September 30, 2019 and 2018, and (5) the Notes to Consolidated Financial</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Statements.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TECHNOLOGIES, INC.</w:t>
            </w:r>
          </w:p>
        </w:tc>
      </w:tr>
      <w:tr>
        <w:trPr>
          <w:trHeight w:val="56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2019</w:t>
            </w:r>
          </w:p>
        </w:tc>
        <w:tc>
          <w:tcPr>
            <w:tcW w:w="196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Donald W. Layden, Jr.</w:t>
            </w:r>
          </w:p>
        </w:tc>
      </w:tr>
      <w:tr>
        <w:trPr>
          <w:trHeight w:val="27"/>
        </w:trPr>
        <w:tc>
          <w:tcPr>
            <w:tcW w:w="3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W. Layden, Jr.</w:t>
            </w:r>
          </w:p>
        </w:tc>
      </w:tr>
      <w:tr>
        <w:trPr>
          <w:trHeight w:val="270"/>
        </w:trPr>
        <w:tc>
          <w:tcPr>
            <w:tcW w:w="37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56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2019</w:t>
            </w:r>
          </w:p>
        </w:tc>
        <w:tc>
          <w:tcPr>
            <w:tcW w:w="196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 E. Goold</w:t>
            </w:r>
          </w:p>
        </w:tc>
      </w:tr>
      <w:tr>
        <w:trPr>
          <w:trHeight w:val="27"/>
        </w:trPr>
        <w:tc>
          <w:tcPr>
            <w:tcW w:w="3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 E. Goold</w:t>
            </w:r>
          </w:p>
        </w:tc>
      </w:tr>
      <w:tr>
        <w:trPr>
          <w:trHeight w:val="270"/>
        </w:trPr>
        <w:tc>
          <w:tcPr>
            <w:tcW w:w="37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486"/>
        </w:trPr>
        <w:tc>
          <w:tcPr>
            <w:tcW w:w="3720" w:type="dxa"/>
            <w:vAlign w:val="bottom"/>
          </w:tcPr>
          <w:p>
            <w:pPr>
              <w:spacing w:after="0"/>
              <w:rPr>
                <w:sz w:val="24"/>
                <w:szCs w:val="24"/>
                <w:color w:val="auto"/>
              </w:rPr>
            </w:pPr>
          </w:p>
        </w:tc>
        <w:tc>
          <w:tcPr>
            <w:tcW w:w="766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420"/>
          </w:cols>
          <w:pgMar w:left="240" w:top="121" w:right="239"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22"/>
          <w:szCs w:val="22"/>
          <w:color w:val="auto"/>
        </w:rPr>
        <w:t>AMENDED AND RESTATED BYLAWS</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OF</w:t>
      </w:r>
    </w:p>
    <w:p>
      <w:pPr>
        <w:spacing w:after="0" w:line="301" w:lineRule="exact"/>
        <w:rPr>
          <w:sz w:val="20"/>
          <w:szCs w:val="20"/>
          <w:color w:val="auto"/>
        </w:rPr>
      </w:pPr>
    </w:p>
    <w:p>
      <w:pPr>
        <w:jc w:val="right"/>
        <w:ind w:right="4400"/>
        <w:spacing w:after="0"/>
        <w:rPr>
          <w:sz w:val="20"/>
          <w:szCs w:val="20"/>
          <w:color w:val="auto"/>
        </w:rPr>
      </w:pPr>
      <w:r>
        <w:rPr>
          <w:rFonts w:ascii="Times New Roman" w:cs="Times New Roman" w:eastAsia="Times New Roman" w:hAnsi="Times New Roman"/>
          <w:sz w:val="22"/>
          <w:szCs w:val="22"/>
          <w:color w:val="auto"/>
        </w:rPr>
        <w:t>USA TECHNOLOGIES, INC.</w:t>
      </w:r>
    </w:p>
    <w:p>
      <w:pPr>
        <w:spacing w:after="0" w:line="30" w:lineRule="exact"/>
        <w:rPr>
          <w:sz w:val="20"/>
          <w:szCs w:val="20"/>
          <w:color w:val="auto"/>
        </w:rPr>
      </w:pPr>
    </w:p>
    <w:p>
      <w:pPr>
        <w:jc w:val="right"/>
        <w:ind w:right="4460"/>
        <w:spacing w:after="0"/>
        <w:rPr>
          <w:sz w:val="20"/>
          <w:szCs w:val="20"/>
          <w:color w:val="auto"/>
        </w:rPr>
      </w:pPr>
      <w:r>
        <w:rPr>
          <w:rFonts w:ascii="Times New Roman" w:cs="Times New Roman" w:eastAsia="Times New Roman" w:hAnsi="Times New Roman"/>
          <w:sz w:val="22"/>
          <w:szCs w:val="22"/>
          <w:color w:val="auto"/>
        </w:rPr>
        <w:t>(a Pennsylvania corporation)</w:t>
      </w:r>
    </w:p>
    <w:p>
      <w:pPr>
        <w:spacing w:after="0" w:line="3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Offices and Fiscal Year</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010000"/>
        </w:rPr>
        <w:t xml:space="preserve">Section 1.01. </w:t>
      </w:r>
      <w:r>
        <w:rPr>
          <w:rFonts w:ascii="Times New Roman" w:cs="Times New Roman" w:eastAsia="Times New Roman" w:hAnsi="Times New Roman"/>
          <w:sz w:val="22"/>
          <w:szCs w:val="22"/>
          <w:u w:val="single" w:color="auto"/>
          <w:color w:val="000000"/>
        </w:rPr>
        <w:t>Registered Office</w:t>
      </w:r>
      <w:r>
        <w:rPr>
          <w:rFonts w:ascii="Times New Roman" w:cs="Times New Roman" w:eastAsia="Times New Roman" w:hAnsi="Times New Roman"/>
          <w:sz w:val="22"/>
          <w:szCs w:val="22"/>
          <w:color w:val="000000"/>
        </w:rPr>
        <w:t>.--The registered office of the corporation in the Commonwealth of Pennsylvania shall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100 Deerfield Lane, Suite 300, Malvern, Pennsylvania 19355, until otherwise established by an amendment of the articles of incorporation (the “articles”) or by the board of directors and a record of such change is filed with the Department of State in the manner provided by law.</w:t>
      </w:r>
    </w:p>
    <w:p>
      <w:pPr>
        <w:spacing w:after="0" w:line="31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010000"/>
        </w:rPr>
        <w:t xml:space="preserve">Section 1.02. </w:t>
      </w:r>
      <w:r>
        <w:rPr>
          <w:rFonts w:ascii="Times New Roman" w:cs="Times New Roman" w:eastAsia="Times New Roman" w:hAnsi="Times New Roman"/>
          <w:sz w:val="22"/>
          <w:szCs w:val="22"/>
          <w:u w:val="single" w:color="auto"/>
          <w:color w:val="000000"/>
        </w:rPr>
        <w:t>Other offices</w:t>
      </w:r>
      <w:r>
        <w:rPr>
          <w:rFonts w:ascii="Times New Roman" w:cs="Times New Roman" w:eastAsia="Times New Roman" w:hAnsi="Times New Roman"/>
          <w:sz w:val="22"/>
          <w:szCs w:val="22"/>
          <w:color w:val="000000"/>
        </w:rPr>
        <w:t>.--The corporation may also have offices at such other places within or without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Commonwealth of Pennsylvania as the board of directors may from time to time appoint or the business of the corporation may require.</w:t>
      </w:r>
    </w:p>
    <w:p>
      <w:pPr>
        <w:spacing w:after="0" w:line="30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1.03.</w:t>
      </w:r>
      <w:r>
        <w:rPr>
          <w:sz w:val="20"/>
          <w:szCs w:val="20"/>
          <w:color w:val="auto"/>
        </w:rPr>
        <w:tab/>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.--The fiscal year of the corporation shall begin on the first day of July in each year.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Notice - Waivers - Meetings Generally</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2.01.</w:t>
      </w:r>
      <w:r>
        <w:rPr>
          <w:sz w:val="20"/>
          <w:szCs w:val="20"/>
          <w:color w:val="auto"/>
        </w:rPr>
        <w:tab/>
      </w:r>
      <w:r>
        <w:rPr>
          <w:rFonts w:ascii="Times New Roman" w:cs="Times New Roman" w:eastAsia="Times New Roman" w:hAnsi="Times New Roman"/>
          <w:sz w:val="21"/>
          <w:szCs w:val="21"/>
          <w:u w:val="single" w:color="auto"/>
          <w:color w:val="auto"/>
        </w:rPr>
        <w:t>Manner of Giving Notice</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3" w:lineRule="auto"/>
        <w:tabs>
          <w:tab w:leader="none" w:pos="1149"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.--Whenever written notice is required to be given to any person under the provisions of the Business Corporation Law or by the articles or these bylaws, it may be given to the person either personally or by sending a copy thereof by first class or express mail, postage prepaid, or by telegram (with messenger service specified), telex or TWX (with answerback received) or courier service, charges prepaid, or by facsimile transmission to the address (or to the telex, TWX, facsimile or telephone number) of the person appearing on the books of the corporation or, in the case of directors, supplied by the director to the corporation for the purpose of notice. If the notice is sent by mail, telegraph or courier service, it shall be deemed to have been given to the person entitled thereto when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841" w:right="239" w:bottom="1440" w:gutter="0" w:footer="0" w:header="0"/>
        </w:sectPr>
      </w:pPr>
    </w:p>
    <w:bookmarkStart w:id="33" w:name="page34"/>
    <w:bookmarkEnd w:id="33"/>
    <w:p>
      <w:pPr>
        <w:jc w:val="both"/>
        <w:spacing w:after="0" w:line="265" w:lineRule="auto"/>
        <w:rPr>
          <w:sz w:val="20"/>
          <w:szCs w:val="20"/>
          <w:color w:val="auto"/>
        </w:rPr>
      </w:pPr>
      <w:r>
        <w:rPr>
          <w:rFonts w:ascii="Times New Roman" w:cs="Times New Roman" w:eastAsia="Times New Roman" w:hAnsi="Times New Roman"/>
          <w:sz w:val="22"/>
          <w:szCs w:val="22"/>
          <w:color w:val="auto"/>
        </w:rPr>
        <w:t>deposited in the United States mail or with a telegraph office or courier service for delivery to that person or, in the case of telex or TWX, when dispatched or, in the case of facsimile transmission when received. A notice of meeting shall specify the place, day and hour of the meeting and any other information required by any other provision of the Business Corporation Law, the articles or these bylaws.</w:t>
      </w:r>
    </w:p>
    <w:p>
      <w:pPr>
        <w:spacing w:after="0" w:line="314" w:lineRule="exact"/>
        <w:rPr>
          <w:sz w:val="20"/>
          <w:szCs w:val="20"/>
          <w:color w:val="auto"/>
        </w:rPr>
      </w:pPr>
    </w:p>
    <w:p>
      <w:pPr>
        <w:jc w:val="both"/>
        <w:ind w:firstLine="656"/>
        <w:spacing w:after="0" w:line="269" w:lineRule="auto"/>
        <w:tabs>
          <w:tab w:leader="none" w:pos="1107"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Adjourned Shareholder Meetings</w:t>
      </w:r>
      <w:r>
        <w:rPr>
          <w:rFonts w:ascii="Times New Roman" w:cs="Times New Roman" w:eastAsia="Times New Roman" w:hAnsi="Times New Roman"/>
          <w:sz w:val="22"/>
          <w:szCs w:val="22"/>
          <w:color w:val="auto"/>
        </w:rPr>
        <w:t>.--When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in which event notice shall be given in accordance with Section 2.03.</w:t>
      </w:r>
    </w:p>
    <w:p>
      <w:pPr>
        <w:spacing w:after="0" w:line="31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010000"/>
        </w:rPr>
        <w:t xml:space="preserve">Section 2.02. </w:t>
      </w:r>
      <w:r>
        <w:rPr>
          <w:rFonts w:ascii="Times New Roman" w:cs="Times New Roman" w:eastAsia="Times New Roman" w:hAnsi="Times New Roman"/>
          <w:sz w:val="22"/>
          <w:szCs w:val="22"/>
          <w:u w:val="single" w:color="auto"/>
          <w:color w:val="000000"/>
        </w:rPr>
        <w:t>Notice of Meetings of Board of Directors</w:t>
      </w:r>
      <w:r>
        <w:rPr>
          <w:rFonts w:ascii="Times New Roman" w:cs="Times New Roman" w:eastAsia="Times New Roman" w:hAnsi="Times New Roman"/>
          <w:sz w:val="22"/>
          <w:szCs w:val="22"/>
          <w:color w:val="000000"/>
        </w:rPr>
        <w:t>.--Notice of a regular meeting of the board of directors need not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given. Notice of every special meeting of the board of directors shall be given to each director by telephone or in writing at least 24 hours (in the case of notice by telephone, telex, TWX or facsimile transmission) or 48 hours (in the case of notice by telegraph, courier service or express mail) or five days (in the case of notice by first class mail) before the time at which the meeting is to be held. Every such notice shall state the time and place of the meeting. Neither the business to be transacted at, nor the purpose of, any regular or special meeting of the board need be specified in a notice of the meeting.</w:t>
      </w:r>
    </w:p>
    <w:p>
      <w:pPr>
        <w:spacing w:after="0" w:line="31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2.03.</w:t>
      </w:r>
      <w:r>
        <w:rPr>
          <w:sz w:val="20"/>
          <w:szCs w:val="20"/>
          <w:color w:val="auto"/>
        </w:rPr>
        <w:tab/>
      </w:r>
      <w:r>
        <w:rPr>
          <w:rFonts w:ascii="Times New Roman" w:cs="Times New Roman" w:eastAsia="Times New Roman" w:hAnsi="Times New Roman"/>
          <w:sz w:val="21"/>
          <w:szCs w:val="21"/>
          <w:u w:val="single" w:color="auto"/>
          <w:color w:val="auto"/>
        </w:rPr>
        <w:t>Notice of Meetings of Shareholders</w:t>
      </w:r>
    </w:p>
    <w:p>
      <w:pPr>
        <w:spacing w:after="0" w:line="382" w:lineRule="exact"/>
        <w:rPr>
          <w:sz w:val="20"/>
          <w:szCs w:val="20"/>
          <w:color w:val="auto"/>
        </w:rPr>
      </w:pPr>
    </w:p>
    <w:p>
      <w:pPr>
        <w:jc w:val="both"/>
        <w:ind w:firstLine="656"/>
        <w:spacing w:after="0" w:line="274" w:lineRule="auto"/>
        <w:tabs>
          <w:tab w:leader="none" w:pos="1203" w:val="left"/>
        </w:tabs>
        <w:numPr>
          <w:ilvl w:val="1"/>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General Rule</w:t>
      </w:r>
      <w:r>
        <w:rPr>
          <w:rFonts w:ascii="Times New Roman" w:cs="Times New Roman" w:eastAsia="Times New Roman" w:hAnsi="Times New Roman"/>
          <w:sz w:val="21"/>
          <w:szCs w:val="21"/>
          <w:color w:val="auto"/>
        </w:rPr>
        <w:t>.--Written notice of every meeting of the shareholders shall be given by, or at the direction of, the secretary or other authorized person to each shareholder of record entitled to vote at the meeting at least (1) ten days prior to the day named for a meeting (and, in case of a meeting called to consider a merger, consolidation, share exchange or division, to each shareholder of record not entitled to vote at the meeting) called to consider a fundamental change under 15 Pa.C.S. Chapter 19 or</w:t>
      </w:r>
    </w:p>
    <w:p>
      <w:pPr>
        <w:spacing w:after="0" w:line="3" w:lineRule="exact"/>
        <w:rPr>
          <w:rFonts w:ascii="Times New Roman" w:cs="Times New Roman" w:eastAsia="Times New Roman" w:hAnsi="Times New Roman"/>
          <w:sz w:val="21"/>
          <w:szCs w:val="21"/>
          <w:color w:val="010000"/>
        </w:rPr>
      </w:pPr>
    </w:p>
    <w:p>
      <w:pPr>
        <w:jc w:val="both"/>
        <w:ind w:firstLine="8"/>
        <w:spacing w:after="0" w:line="264" w:lineRule="auto"/>
        <w:tabs>
          <w:tab w:leader="none" w:pos="3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five days prior to the day named for the meeting in any other case. If the secretary neglects or refuses to give notice of a meeting, the person or persons calling the meeting may do so. In the case of a special meeting of shareholders, the notice shall specify the general nature of the business to be transacted.</w:t>
      </w:r>
    </w:p>
    <w:p>
      <w:pPr>
        <w:spacing w:after="0" w:line="314" w:lineRule="exact"/>
        <w:rPr>
          <w:rFonts w:ascii="Times New Roman" w:cs="Times New Roman" w:eastAsia="Times New Roman" w:hAnsi="Times New Roman"/>
          <w:sz w:val="22"/>
          <w:szCs w:val="22"/>
          <w:color w:val="auto"/>
        </w:rPr>
      </w:pPr>
    </w:p>
    <w:p>
      <w:pPr>
        <w:jc w:val="both"/>
        <w:ind w:firstLine="656"/>
        <w:spacing w:after="0" w:line="276" w:lineRule="auto"/>
        <w:tabs>
          <w:tab w:leader="none" w:pos="1107" w:val="left"/>
        </w:tabs>
        <w:numPr>
          <w:ilvl w:val="1"/>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of Action by Shareholders on Bylaws</w:t>
      </w:r>
      <w:r>
        <w:rPr>
          <w:rFonts w:ascii="Times New Roman" w:cs="Times New Roman" w:eastAsia="Times New Roman" w:hAnsi="Times New Roman"/>
          <w:sz w:val="22"/>
          <w:szCs w:val="22"/>
          <w:color w:val="auto"/>
        </w:rPr>
        <w:t>.--In the case of a meeting of shareholders that has as one of its purposes action on the bylaws, written notice shall be given to each shareholder that the purpose, or one of the purposes, of the meeting is to consider the adoption, amendment or repeal of the bylaws. There shall be included in, or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841"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enclosed with, the notice a copy of the proposed amendment or a summary of the changes to be affected thereby.</w:t>
      </w:r>
    </w:p>
    <w:p>
      <w:pPr>
        <w:spacing w:after="0" w:line="368" w:lineRule="exact"/>
        <w:rPr>
          <w:sz w:val="20"/>
          <w:szCs w:val="20"/>
          <w:color w:val="auto"/>
        </w:rPr>
      </w:pPr>
    </w:p>
    <w:p>
      <w:pPr>
        <w:jc w:val="both"/>
        <w:ind w:firstLine="656"/>
        <w:spacing w:after="0" w:line="269" w:lineRule="auto"/>
        <w:tabs>
          <w:tab w:leader="none" w:pos="1122"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of Action by Shareholders on Fundamental Change</w:t>
      </w:r>
      <w:r>
        <w:rPr>
          <w:rFonts w:ascii="Times New Roman" w:cs="Times New Roman" w:eastAsia="Times New Roman" w:hAnsi="Times New Roman"/>
          <w:sz w:val="22"/>
          <w:szCs w:val="22"/>
          <w:color w:val="auto"/>
        </w:rPr>
        <w:t>.--In the case of a meeting of the shareholders that has as one of its purposes action with respect to any fundamental change under 15 Pa.C.S. Chapter 19, each shareholder shall be given, together with written notice of the meeting, a copy or summary of the amendment or plan to be considered at the meeting in compliance with the provisions of Chapter 19.</w:t>
      </w:r>
    </w:p>
    <w:p>
      <w:pPr>
        <w:spacing w:after="0" w:line="310"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107"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of Action by Shareholders Giving Rise to Dissenters Rights</w:t>
      </w:r>
      <w:r>
        <w:rPr>
          <w:rFonts w:ascii="Times New Roman" w:cs="Times New Roman" w:eastAsia="Times New Roman" w:hAnsi="Times New Roman"/>
          <w:sz w:val="22"/>
          <w:szCs w:val="22"/>
          <w:color w:val="auto"/>
        </w:rPr>
        <w:t>.--In the case of a meeting of the shareholders that has as one of its purposes action that would give rise to dissenters rights under the provisions of 15 Pa.C.S. Subchapter 15D, each shareholder shall be given, together with written notice of the meeting:</w:t>
      </w:r>
    </w:p>
    <w:p>
      <w:pPr>
        <w:spacing w:after="0" w:line="302" w:lineRule="exact"/>
        <w:rPr>
          <w:rFonts w:ascii="Times New Roman" w:cs="Times New Roman" w:eastAsia="Times New Roman" w:hAnsi="Times New Roman"/>
          <w:sz w:val="22"/>
          <w:szCs w:val="22"/>
          <w:color w:val="010000"/>
        </w:rPr>
      </w:pPr>
    </w:p>
    <w:p>
      <w:pPr>
        <w:ind w:left="660" w:firstLine="645"/>
        <w:spacing w:after="0" w:line="297" w:lineRule="auto"/>
        <w:tabs>
          <w:tab w:leader="none" w:pos="1767" w:val="left"/>
        </w:tabs>
        <w:numPr>
          <w:ilvl w:val="1"/>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statement that the shareholders have a right to dissent and obtain payment of the fair value of their shares by complying with the provisions of Subchapter 15D (relating to dissenters rights); and</w:t>
      </w:r>
    </w:p>
    <w:p>
      <w:pPr>
        <w:spacing w:after="0" w:line="278" w:lineRule="exact"/>
        <w:rPr>
          <w:rFonts w:ascii="Times New Roman" w:cs="Times New Roman" w:eastAsia="Times New Roman" w:hAnsi="Times New Roman"/>
          <w:sz w:val="22"/>
          <w:szCs w:val="22"/>
          <w:color w:val="010000"/>
        </w:rPr>
      </w:pPr>
    </w:p>
    <w:p>
      <w:pPr>
        <w:ind w:left="1740" w:hanging="435"/>
        <w:spacing w:after="0"/>
        <w:tabs>
          <w:tab w:leader="none" w:pos="1740" w:val="left"/>
        </w:tabs>
        <w:numPr>
          <w:ilvl w:val="1"/>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copy of Subchapter 15D.</w:t>
      </w:r>
    </w:p>
    <w:p>
      <w:pPr>
        <w:spacing w:after="0" w:line="38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2.04.</w:t>
      </w:r>
      <w:r>
        <w:rPr>
          <w:sz w:val="20"/>
          <w:szCs w:val="20"/>
          <w:color w:val="auto"/>
        </w:rPr>
        <w:tab/>
      </w:r>
      <w:r>
        <w:rPr>
          <w:rFonts w:ascii="Times New Roman" w:cs="Times New Roman" w:eastAsia="Times New Roman" w:hAnsi="Times New Roman"/>
          <w:sz w:val="21"/>
          <w:szCs w:val="21"/>
          <w:u w:val="single" w:color="auto"/>
          <w:color w:val="auto"/>
        </w:rPr>
        <w:t>Waiver of Notice</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9" w:lineRule="auto"/>
        <w:tabs>
          <w:tab w:leader="none" w:pos="1068"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Written Waiver</w:t>
      </w:r>
      <w:r>
        <w:rPr>
          <w:rFonts w:ascii="Times New Roman" w:cs="Times New Roman" w:eastAsia="Times New Roman" w:hAnsi="Times New Roman"/>
          <w:sz w:val="22"/>
          <w:szCs w:val="22"/>
          <w:color w:val="auto"/>
        </w:rPr>
        <w:t>.--Whenever any written notice is required to be given under the provisions of the Business Corporation Law, the articles or these bylaws, a waiver thereof in writing, signed by the person or persons entitled to the notice, whether before or after the time stated therein, shall be deemed equivalent to the giving of the notice. Neither the business to be transacted at, nor the purpose of, a meeting need be specified in the waiver of notice of the meeting.</w:t>
      </w:r>
    </w:p>
    <w:p>
      <w:pPr>
        <w:spacing w:after="0" w:line="310"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188"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Waiver by Attendance</w:t>
      </w:r>
      <w:r>
        <w:rPr>
          <w:rFonts w:ascii="Times New Roman" w:cs="Times New Roman" w:eastAsia="Times New Roman" w:hAnsi="Times New Roman"/>
          <w:sz w:val="22"/>
          <w:szCs w:val="22"/>
          <w:color w:val="auto"/>
        </w:rPr>
        <w:t>.--Attendance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3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010000"/>
        </w:rPr>
        <w:t xml:space="preserve">Section 2.05. </w:t>
      </w:r>
      <w:r>
        <w:rPr>
          <w:rFonts w:ascii="Times New Roman" w:cs="Times New Roman" w:eastAsia="Times New Roman" w:hAnsi="Times New Roman"/>
          <w:sz w:val="22"/>
          <w:szCs w:val="22"/>
          <w:u w:val="single" w:color="auto"/>
          <w:color w:val="000000"/>
        </w:rPr>
        <w:t>Modification of Proposal Contained in Notice</w:t>
      </w:r>
      <w:r>
        <w:rPr>
          <w:rFonts w:ascii="Times New Roman" w:cs="Times New Roman" w:eastAsia="Times New Roman" w:hAnsi="Times New Roman"/>
          <w:sz w:val="22"/>
          <w:szCs w:val="22"/>
          <w:color w:val="000000"/>
        </w:rPr>
        <w:t>.--Whenever the language of a proposed resolution is included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a written notice of a meeting required to be given under the provisions of the Business Corporation Law or the articles or these bylaws, the meeting considering the resolution may without further notice adopt it with such clarifying or other amendments as do not enlarge its original purpose.</w:t>
      </w:r>
    </w:p>
    <w:p>
      <w:pPr>
        <w:spacing w:after="0" w:line="31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2.06.</w:t>
      </w:r>
      <w:r>
        <w:rPr>
          <w:sz w:val="20"/>
          <w:szCs w:val="20"/>
          <w:color w:val="auto"/>
        </w:rPr>
        <w:tab/>
      </w:r>
      <w:r>
        <w:rPr>
          <w:rFonts w:ascii="Times New Roman" w:cs="Times New Roman" w:eastAsia="Times New Roman" w:hAnsi="Times New Roman"/>
          <w:sz w:val="21"/>
          <w:szCs w:val="21"/>
          <w:u w:val="single" w:color="auto"/>
          <w:color w:val="auto"/>
        </w:rPr>
        <w:t>Exception to Requirement of Notice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841" w:right="239" w:bottom="1440" w:gutter="0" w:footer="0" w:header="0"/>
        </w:sectPr>
      </w:pPr>
    </w:p>
    <w:bookmarkStart w:id="35" w:name="page36"/>
    <w:bookmarkEnd w:id="35"/>
    <w:p>
      <w:pPr>
        <w:jc w:val="both"/>
        <w:ind w:firstLine="656"/>
        <w:spacing w:after="0" w:line="269" w:lineRule="auto"/>
        <w:tabs>
          <w:tab w:leader="none" w:pos="1109"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.--Whenever any notice or communication is required to be given to any person under the provisions of the Business Corporation Law or by the articles or these bylaws or by the terms of any agreement or other instrument or as a condition precedent to taking any corporate action and communication with that person is then unlawful, the giving of the notice or communication to that parson shall not be required.</w:t>
      </w:r>
    </w:p>
    <w:p>
      <w:pPr>
        <w:spacing w:after="0" w:line="310" w:lineRule="exact"/>
        <w:rPr>
          <w:rFonts w:ascii="Times New Roman" w:cs="Times New Roman" w:eastAsia="Times New Roman" w:hAnsi="Times New Roman"/>
          <w:sz w:val="22"/>
          <w:szCs w:val="22"/>
          <w:color w:val="010000"/>
        </w:rPr>
      </w:pPr>
    </w:p>
    <w:p>
      <w:pPr>
        <w:jc w:val="both"/>
        <w:ind w:firstLine="656"/>
        <w:spacing w:after="0" w:line="266" w:lineRule="auto"/>
        <w:tabs>
          <w:tab w:leader="none" w:pos="1161"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Shareholders Without Forwarding Addresses</w:t>
      </w:r>
      <w:r>
        <w:rPr>
          <w:rFonts w:ascii="Times New Roman" w:cs="Times New Roman" w:eastAsia="Times New Roman" w:hAnsi="Times New Roman"/>
          <w:sz w:val="22"/>
          <w:szCs w:val="22"/>
          <w:color w:val="auto"/>
        </w:rPr>
        <w:t>.--Notice or other communications need not be sent to any shareholder with who the corporation has been unable to communicate for more than 24 consecutive months because communications to the shareholder are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3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010000"/>
        </w:rPr>
        <w:t xml:space="preserve">Section 2.07. </w:t>
      </w:r>
      <w:r>
        <w:rPr>
          <w:rFonts w:ascii="Times New Roman" w:cs="Times New Roman" w:eastAsia="Times New Roman" w:hAnsi="Times New Roman"/>
          <w:sz w:val="22"/>
          <w:szCs w:val="22"/>
          <w:u w:val="single" w:color="auto"/>
          <w:color w:val="000000"/>
        </w:rPr>
        <w:t>Use of Conference Telephone and Similar Equipment</w:t>
      </w:r>
      <w:r>
        <w:rPr>
          <w:rFonts w:ascii="Times New Roman" w:cs="Times New Roman" w:eastAsia="Times New Roman" w:hAnsi="Times New Roman"/>
          <w:sz w:val="22"/>
          <w:szCs w:val="22"/>
          <w:color w:val="000000"/>
        </w:rPr>
        <w:t>.--Any director may participate in any meeting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board of directors, and the board of directors may provide by resolution with respect to a specific meeting or with respect to a class of meetings that one or more persons may participate in a meeting of the shareholders of the corporation, by means of conference telephone or similar communications equipment by means of which all persons participating in the meeting can hear each other. Participation in a meeting pursuant to this section shall constitute presence in person at the meeting.</w:t>
      </w:r>
    </w:p>
    <w:p>
      <w:pPr>
        <w:spacing w:after="0" w:line="31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III</w:t>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Shareholders</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2"/>
          <w:szCs w:val="22"/>
          <w:color w:val="010000"/>
        </w:rPr>
        <w:t xml:space="preserve">Section 3.01. </w:t>
      </w:r>
      <w:r>
        <w:rPr>
          <w:rFonts w:ascii="Times New Roman" w:cs="Times New Roman" w:eastAsia="Times New Roman" w:hAnsi="Times New Roman"/>
          <w:sz w:val="22"/>
          <w:szCs w:val="22"/>
          <w:u w:val="single" w:color="auto"/>
          <w:color w:val="000000"/>
        </w:rPr>
        <w:t>Place of Meeting</w:t>
      </w:r>
      <w:r>
        <w:rPr>
          <w:rFonts w:ascii="Times New Roman" w:cs="Times New Roman" w:eastAsia="Times New Roman" w:hAnsi="Times New Roman"/>
          <w:sz w:val="22"/>
          <w:szCs w:val="22"/>
          <w:color w:val="000000"/>
        </w:rPr>
        <w:t>.--All meetings of the shareholders of the corporation shall be held at the registered office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corporation or such other place as may be designated by the board of directors in the notice of a meeting.</w:t>
      </w:r>
    </w:p>
    <w:p>
      <w:pPr>
        <w:spacing w:after="0" w:line="27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3.02.</w:t>
      </w:r>
      <w:r>
        <w:rPr>
          <w:sz w:val="20"/>
          <w:szCs w:val="20"/>
          <w:color w:val="auto"/>
        </w:rPr>
        <w:tab/>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76" w:lineRule="auto"/>
        <w:tabs>
          <w:tab w:leader="none" w:pos="1203"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annual meeting of shareholders shall be held at such date and at such time and place as may be fixed and designated by the Board of Directors, and at said meeting the shareholders then entitled to vote shall elect directors and shall transact such other business as may properly be brought before the meeting.</w:t>
      </w:r>
    </w:p>
    <w:p>
      <w:pPr>
        <w:spacing w:after="0" w:line="302" w:lineRule="exact"/>
        <w:rPr>
          <w:rFonts w:ascii="Times New Roman" w:cs="Times New Roman" w:eastAsia="Times New Roman" w:hAnsi="Times New Roman"/>
          <w:sz w:val="22"/>
          <w:szCs w:val="22"/>
          <w:color w:val="010000"/>
        </w:rPr>
      </w:pPr>
    </w:p>
    <w:p>
      <w:pPr>
        <w:ind w:firstLine="656"/>
        <w:spacing w:after="0" w:line="297" w:lineRule="auto"/>
        <w:tabs>
          <w:tab w:leader="none" w:pos="1107"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Nominations of persons for election to the board of directors of the corporation at an annual meeting of shareholders, or the proposal of business to be considered by the shareholders at an annual meeting of shareholders, shall only be made: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841" w:right="239" w:bottom="1440" w:gutter="0" w:footer="0" w:header="0"/>
        </w:sectPr>
      </w:pPr>
    </w:p>
    <w:bookmarkStart w:id="36" w:name="page37"/>
    <w:bookmarkEnd w:id="36"/>
    <w:p>
      <w:pPr>
        <w:ind w:left="660" w:firstLine="645"/>
        <w:spacing w:after="0" w:line="297" w:lineRule="auto"/>
        <w:tabs>
          <w:tab w:leader="none" w:pos="1862"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pursuant to the corporation’s notice of the annual meeting (or any supplement thereto) given by or at the direction of the board of directors; or</w:t>
      </w:r>
    </w:p>
    <w:p>
      <w:pPr>
        <w:spacing w:after="0" w:line="278" w:lineRule="exact"/>
        <w:rPr>
          <w:rFonts w:ascii="Times New Roman" w:cs="Times New Roman" w:eastAsia="Times New Roman" w:hAnsi="Times New Roman"/>
          <w:sz w:val="22"/>
          <w:szCs w:val="22"/>
          <w:color w:val="010000"/>
        </w:rPr>
      </w:pPr>
    </w:p>
    <w:p>
      <w:pPr>
        <w:ind w:left="1740" w:hanging="435"/>
        <w:spacing w:after="0"/>
        <w:tabs>
          <w:tab w:leader="none" w:pos="1740"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otherwise properly brought before the annual meeting by or at the direction of the board of directors; or</w:t>
      </w:r>
    </w:p>
    <w:p>
      <w:pPr>
        <w:spacing w:after="0" w:line="381" w:lineRule="exact"/>
        <w:rPr>
          <w:rFonts w:ascii="Times New Roman" w:cs="Times New Roman" w:eastAsia="Times New Roman" w:hAnsi="Times New Roman"/>
          <w:sz w:val="22"/>
          <w:szCs w:val="22"/>
          <w:color w:val="010000"/>
        </w:rPr>
      </w:pPr>
    </w:p>
    <w:p>
      <w:pPr>
        <w:jc w:val="both"/>
        <w:ind w:left="660" w:firstLine="645"/>
        <w:spacing w:after="0" w:line="276" w:lineRule="auto"/>
        <w:tabs>
          <w:tab w:leader="none" w:pos="1754"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brought before the annual meeting by any shareholder of the corporation who was a shareholder of record at the time of giving of notice provided for in this Section 3.02, who is entitled to vote at the annual meeting, and who complies with the notice procedures set forth in this Section 3.02.</w:t>
      </w:r>
    </w:p>
    <w:p>
      <w:pPr>
        <w:spacing w:after="0" w:line="302" w:lineRule="exact"/>
        <w:rPr>
          <w:rFonts w:ascii="Times New Roman" w:cs="Times New Roman" w:eastAsia="Times New Roman" w:hAnsi="Times New Roman"/>
          <w:sz w:val="22"/>
          <w:szCs w:val="22"/>
          <w:color w:val="010000"/>
        </w:rPr>
      </w:pPr>
    </w:p>
    <w:p>
      <w:pPr>
        <w:ind w:left="1080" w:hanging="424"/>
        <w:spacing w:after="0"/>
        <w:tabs>
          <w:tab w:leader="none" w:pos="1080" w:val="left"/>
        </w:tabs>
        <w:numPr>
          <w:ilvl w:val="1"/>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nominations or other business to be properly brought before an annual meeting by a shareholder pursuant to clause</w:t>
      </w:r>
    </w:p>
    <w:p>
      <w:pPr>
        <w:spacing w:after="0" w:line="42" w:lineRule="exact"/>
        <w:rPr>
          <w:rFonts w:ascii="Times New Roman" w:cs="Times New Roman" w:eastAsia="Times New Roman" w:hAnsi="Times New Roman"/>
          <w:sz w:val="21"/>
          <w:szCs w:val="21"/>
          <w:color w:val="010000"/>
        </w:rPr>
      </w:pPr>
    </w:p>
    <w:p>
      <w:pPr>
        <w:jc w:val="both"/>
        <w:ind w:firstLine="8"/>
        <w:spacing w:after="0" w:line="258" w:lineRule="auto"/>
        <w:tabs>
          <w:tab w:leader="none" w:pos="32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paragraph (b) of this Section 3.02, the shareholder must have given timely notice thereof in writing to the secretary of the corporation and such other business must otherwise be a proper matter for shareholder action under these Bylaws and Pennsylvania law. To be timely, a shareholder’s notice must be received by the secretary at the principal executive offices of the corporation not later than the close of business on the 60th day nor earlier than the 90th day prior to the first anniversary of the preceding year’s annual meeting; provided, however, that in the event that the date of the annual meeting is more than 30 days before or more than 60 days after such anniversary date, notice by the shareholder must be so received not earlier than the 90th day prior to the annual meeting and not later than the close of business on the later of (i) the 60th day prior to the annual meeting, or (ii) the 10th day following the date on which public announcement of the date of the meeting is first made by the corporation. In no event shall the public announcement of an adjournment or postponement of an annual meeting commence a new time period (or extend any time period) for the giving of a shareholder’s notice as described above. Only such persons who are nominated by a shareholder in accordance with the procedures set forth in this Section 3.02 shall be eligible to be elected as a director at any annual meeting. Notwithstanding the foregoing, if the corporation is required under Rule 14a-8 under the Securities Exchange Act of 1934 (“Exchange Act”) to include a shareholder’s proposal in its proxy statement, such shareholder shall be deemed to have given timely notice for purposes of this paragraph (c) of Section 3.02 with respect to such proposal.</w:t>
      </w:r>
    </w:p>
    <w:p>
      <w:pPr>
        <w:spacing w:after="0" w:line="32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shareholder’s notice to the secretary of the corporation relating to the nomination of directors shall set forth:</w:t>
      </w:r>
    </w:p>
    <w:p>
      <w:pPr>
        <w:spacing w:after="0" w:line="381" w:lineRule="exact"/>
        <w:rPr>
          <w:rFonts w:ascii="Times New Roman" w:cs="Times New Roman" w:eastAsia="Times New Roman" w:hAnsi="Times New Roman"/>
          <w:sz w:val="22"/>
          <w:szCs w:val="22"/>
          <w:color w:val="010000"/>
        </w:rPr>
      </w:pPr>
    </w:p>
    <w:p>
      <w:pPr>
        <w:jc w:val="both"/>
        <w:ind w:left="660" w:firstLine="645"/>
        <w:spacing w:after="0" w:line="276" w:lineRule="auto"/>
        <w:tabs>
          <w:tab w:leader="none" w:pos="1808" w:val="left"/>
        </w:tabs>
        <w:numPr>
          <w:ilvl w:val="2"/>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to each person whom the shareholder proposes to nominate for election or reelection as a director: (i) the name and address of such person and all information relating to such person that is required to be disclosed in solicitations of proxies for election of directors, or is otherwise required, in each case pursuant to Regulation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841" w:right="239" w:bottom="1440" w:gutter="0" w:footer="0" w:header="0"/>
        </w:sectPr>
      </w:pPr>
    </w:p>
    <w:bookmarkStart w:id="37" w:name="page38"/>
    <w:bookmarkEnd w:id="37"/>
    <w:p>
      <w:pPr>
        <w:jc w:val="both"/>
        <w:spacing w:after="0" w:line="259" w:lineRule="auto"/>
        <w:rPr>
          <w:sz w:val="20"/>
          <w:szCs w:val="20"/>
          <w:color w:val="auto"/>
        </w:rPr>
      </w:pPr>
      <w:r>
        <w:rPr>
          <w:rFonts w:ascii="Times New Roman" w:cs="Times New Roman" w:eastAsia="Times New Roman" w:hAnsi="Times New Roman"/>
          <w:sz w:val="22"/>
          <w:szCs w:val="22"/>
          <w:color w:val="auto"/>
        </w:rPr>
        <w:t>14A under the Exchange Act (including such person’s written consent to be named as a nominee and to serve as a director if elected); (ii) all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any law, rule, regulation or listing standard that may be applicable to the corporation, and the corporation’s corporate governance policies and guidelines) (all of which will be promptly provided by the corporation to any requesting shareholder following a request therefor); and (iii) such other information that the corporation may deem to be necessary to permit the corporation to determine the eligibility of such person as serve as a director of the corporation, including information relevant to a determination whether such person can be considered an independent director.</w:t>
      </w:r>
    </w:p>
    <w:p>
      <w:pPr>
        <w:spacing w:after="0" w:line="325" w:lineRule="exact"/>
        <w:rPr>
          <w:sz w:val="20"/>
          <w:szCs w:val="20"/>
          <w:color w:val="auto"/>
        </w:rPr>
      </w:pPr>
    </w:p>
    <w:p>
      <w:pPr>
        <w:jc w:val="both"/>
        <w:ind w:firstLine="645"/>
        <w:spacing w:after="0" w:line="271" w:lineRule="auto"/>
        <w:tabs>
          <w:tab w:leader="none" w:pos="1269" w:val="left"/>
        </w:tabs>
        <w:numPr>
          <w:ilvl w:val="0"/>
          <w:numId w:val="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to the shareholder giving notice (i) the name and address of such shareholder, as it appears on the corporation’s share transfer books who intends to make the nomination (“Nominating Shareholder”); (ii) the name and address of the beneficial owner, if different than the Nominating Shareholder, of any of the shares owned of record by the Nominating Shareholder (“Beneficial Owner”); (iii) the number of shares of each class and series of shares of the corporation which are owned of record and beneficially by the Nominating Shareholder and the number which are owned beneficially by any Beneficial Owner; (iv) a description of any arrangements or understandings between the Nominating Shareholder and any Beneficial Owner and any other person or persons (naming such person or persons) pursuant to which the nomination is being made; (v) a representation that the Nominating Shareholder is at the time of giving the notice, was or will be on the record date for the meeting, and will be on the meeting date a holder of record of shares of the corporation entitled to vote at the meeting, and intends to appear in person or by proxy at the meeting to nominate the person or persons specified in the notice; (vi) a description of any agreement, arrangement or understanding (including, without limitation, any derivative or short positions, profit interests, options, hedging transactions, and borrowed or loaned shares) that has been entered into as of the date of the Nominating Shareholder’s notice by, or on behalf of, such Nominating Shareholder or Beneficial Owner, the effect or intent of which is to mitigate loss, manage risk or benefit from changes in the share price of any class or series of the corporation’s stock, or maintain, increase or decrease the voting power of the Nominating Shareholder or Beneficial Owner with respect to securities of the corporation; and (vii) such other information related to such Nominating Shareholder that is required to be disclosed in solicitations of proxies for election of directors,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60"/>
          </w:cols>
          <w:pgMar w:left="900" w:top="841" w:right="239" w:bottom="1440" w:gutter="0" w:footer="0" w:header="0"/>
        </w:sectPr>
      </w:pPr>
    </w:p>
    <w:bookmarkStart w:id="38" w:name="page39"/>
    <w:bookmarkEnd w:id="38"/>
    <w:p>
      <w:pPr>
        <w:ind w:left="660"/>
        <w:spacing w:after="0" w:line="284" w:lineRule="auto"/>
        <w:rPr>
          <w:sz w:val="20"/>
          <w:szCs w:val="20"/>
          <w:color w:val="auto"/>
        </w:rPr>
      </w:pPr>
      <w:r>
        <w:rPr>
          <w:rFonts w:ascii="Times New Roman" w:cs="Times New Roman" w:eastAsia="Times New Roman" w:hAnsi="Times New Roman"/>
          <w:sz w:val="22"/>
          <w:szCs w:val="22"/>
          <w:color w:val="auto"/>
        </w:rPr>
        <w:t>or is otherwise required to be disclosed by such Nominating Shareholder in a proxy statement, in each case pursuant to Regulation 14A under the Exchange Act.</w:t>
      </w:r>
    </w:p>
    <w:p>
      <w:pPr>
        <w:spacing w:after="0" w:line="293" w:lineRule="exact"/>
        <w:rPr>
          <w:sz w:val="20"/>
          <w:szCs w:val="20"/>
          <w:color w:val="auto"/>
        </w:rPr>
      </w:pPr>
    </w:p>
    <w:p>
      <w:pPr>
        <w:jc w:val="both"/>
        <w:ind w:firstLine="656"/>
        <w:spacing w:after="0" w:line="258" w:lineRule="auto"/>
        <w:tabs>
          <w:tab w:leader="none" w:pos="1082"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shareholder’s notice to the secretary of the corporation relating to other business shall set forth as to each matter the shareholder proposes to bring before the annual meeting: (i) the name and address of such shareholder, as it appears on the corporation’s share transfer books who intends to bring the business before the annual meeting (“Proposing Shareholder”); (ii) the name and address of the beneficial owner, if different than the Proposing Shareholder, of any of the shares owned of record by the Proposing Shareholder (“Beneficial Owner”); (iii) the number of shares of each class and series of shares of the corporation which are owned of record and beneficially by the Proposing Shareholder and the number which are owned beneficially by any Beneficial Owner; (iv) any interest which the Proposing Shareholder or a Beneficial Owner has in the business being proposed by the Proposing Shareholder; (v) a description of any arrangements or understandings between the Proposing Shareholder and any Beneficial Owner and any other person or persons (naming such person or persons) pursuant to which the proposal in the notice is being made; (vi) a description of the business desired to be brought before the annual meeting, the reasons for conducting such business at the annual meeting, and if a specific action is to be proposed, the text of the resolution or resolutions which the Proposing Shareholder proposes that the corporation adopt; (vii) a representation that the Proposing Shareholder is at the time of giving the notice, was or will be on the record date for the annual meeting, and will be on the annual meeting date a holder of record of shares of the corporation entitled to vote at the annual meeting, and intends to appear in person or by proxy at the annual meeting to bring the business specified in the notice before the annual meeting; (viii) a description of any agreement, arrangement or understanding (including, without limitation, any derivative or short positions, profit interests, options, hedging transactions, and borrowed or loaned shares) that has been entered into as of the date of the Proposing Shareholder’s notice by, or on behalf of, such Proposing Shareholder or Beneficial Owner, the effect or intent of which is to mitigate loss, manage risk or benefit from changes in the share price of any class or series of the corporation’s stock, or maintain, increase or decrease the voting power of the Proposing Shareholder or Beneficial Owner with respect to securities of the corporation; and (vii) such other information related to such Proposing Shareholder that is required to be disclosed in solicitations of proxies for election of directors, or is otherwise required to be disclosed by such Proposing Shareholder in a proxy statement, in each case pursuant to Regulation 14A under the Exchange Act..</w:t>
      </w:r>
    </w:p>
    <w:p>
      <w:pPr>
        <w:spacing w:after="0" w:line="322"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085"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chairman of the annual meeting shall if the facts warrant, determine and declare to the meeting that the proposed business or nomination, as the case may be, was not properly brought before the meeting in compliance with the provisions of this Section 3.02, and if he shall so determine, he shall so declare to the meeting, and any such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841" w:right="239" w:bottom="1440" w:gutter="0" w:footer="0" w:header="0"/>
        </w:sectPr>
      </w:pPr>
    </w:p>
    <w:bookmarkStart w:id="39" w:name="page40"/>
    <w:bookmarkEnd w:id="39"/>
    <w:p>
      <w:pPr>
        <w:jc w:val="both"/>
        <w:spacing w:after="0" w:line="270" w:lineRule="auto"/>
        <w:rPr>
          <w:sz w:val="20"/>
          <w:szCs w:val="20"/>
          <w:color w:val="auto"/>
        </w:rPr>
      </w:pPr>
      <w:r>
        <w:rPr>
          <w:rFonts w:ascii="Times New Roman" w:cs="Times New Roman" w:eastAsia="Times New Roman" w:hAnsi="Times New Roman"/>
          <w:sz w:val="22"/>
          <w:szCs w:val="22"/>
          <w:color w:val="auto"/>
        </w:rPr>
        <w:t>not properly brought before the meeting shall not be transacted, and any defective nomination shall be disregarded. Notwithstanding the foregoing provisions of this Section, a shareholder shall also comply with the applicable requirements of the Exchange Act and the rules and regulations thereunder with respect to the matters set forth in this Section 3.02.</w:t>
      </w:r>
    </w:p>
    <w:p>
      <w:pPr>
        <w:spacing w:after="0" w:line="38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3.03.</w:t>
      </w:r>
      <w:r>
        <w:rPr>
          <w:sz w:val="20"/>
          <w:szCs w:val="20"/>
          <w:color w:val="auto"/>
        </w:rPr>
        <w:tab/>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59" w:lineRule="auto"/>
        <w:tabs>
          <w:tab w:leader="none" w:pos="1082"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special meeting of the shareholders for any purpose or purposes shall be called only by the chairman of the board of directors, the chief executive officer, or the board of directors. Only such business shall be conducted at a special meeting of shareholders as shall have been brought before the meeting pursuant to the corporation’s notice of meeting. Special meetings of the shareholders may also be called by the holders of at least 20% of the combined voting power of the then outstanding shares entitled to vote at the particular meeting; provided, however, that a special meeting may not be called by any shareholder or shareholders for the purpose of electing or removing any director or directors of the corporation. Upon request in writing sent by registered mail to the chairman of the board of directors or chief executive officer of the corporation by any shareholder or shareholders entitled to call a special meeting of the shareholders pursuant to this Section 3.03(a), the board of directors shall determine a place and time for such meeting, which time shall not be less than ninety (90) nor more than one hundred and twenty (120) days after the receipt of such request, and a record date for the determination of shareholders entitled to vote at such meeting in the manner set forth in Section 3.12 hereof. Following such receipt, it shall be the duty of the secretary of the corporation to cause notice to be given to the shareholders entitled to vote at such meeting, in the manner set forth in Section 2.03 hereof, that a meeting will be held at the time and place so determined. Notwithstanding anything to the contrary in these Bylaws, a special meeting of the shareholders may not be called or otherwise requested by any shareholder or shareholders before the first annual meeting of shareholders that is held after November 8, 2019.</w:t>
      </w:r>
    </w:p>
    <w:p>
      <w:pPr>
        <w:spacing w:after="0" w:line="321" w:lineRule="exact"/>
        <w:rPr>
          <w:rFonts w:ascii="Times New Roman" w:cs="Times New Roman" w:eastAsia="Times New Roman" w:hAnsi="Times New Roman"/>
          <w:sz w:val="22"/>
          <w:szCs w:val="22"/>
          <w:color w:val="010000"/>
        </w:rPr>
      </w:pPr>
    </w:p>
    <w:p>
      <w:pPr>
        <w:jc w:val="both"/>
        <w:ind w:firstLine="656"/>
        <w:spacing w:after="0" w:line="262" w:lineRule="auto"/>
        <w:tabs>
          <w:tab w:leader="none" w:pos="1161"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Nominations of persons for election to the board of directors may be made at a special meeting of shareholders at which directors are to be elected pursuant to the corporation’s notice of meeting (1) by or at the direction of the board of directors, or (2) provided that the board of directors has determined that directors shall be elected at such meeting, by any shareholder of the corporation who is a shareholder of record at the time of giving of notice provided for in this Section 3.03, who shall be entitled to vote at the meeting, and who complies with the notice procedures set forth in this Section 3.03(b). In the event the corporation calls a special meeting of shareholders for the purpose of electing one or more directors to the board, any such shareholder may nominate a person or persons (as the case may be), for election to such position(s) as specified in the corporation’s notice of meeting, if the shareholder’s notice in the form required by paragraph (d) of Section 3.02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841" w:right="239" w:bottom="1440" w:gutter="0" w:footer="0" w:header="0"/>
        </w:sectPr>
      </w:pPr>
    </w:p>
    <w:bookmarkStart w:id="40" w:name="page41"/>
    <w:bookmarkEnd w:id="40"/>
    <w:p>
      <w:pPr>
        <w:spacing w:after="0" w:line="274" w:lineRule="auto"/>
        <w:rPr>
          <w:sz w:val="20"/>
          <w:szCs w:val="20"/>
          <w:color w:val="auto"/>
        </w:rPr>
      </w:pPr>
      <w:r>
        <w:rPr>
          <w:rFonts w:ascii="Times New Roman" w:cs="Times New Roman" w:eastAsia="Times New Roman" w:hAnsi="Times New Roman"/>
          <w:sz w:val="21"/>
          <w:szCs w:val="21"/>
          <w:color w:val="auto"/>
        </w:rPr>
        <w:t>of these Bylaws shall be received by the secretary at the principal executive offices of the corporation not earlier than the 90th day prior to such special meeting and not later than the close of business on the later of (i) the 60th day prior to such special meeting, or</w:t>
      </w:r>
    </w:p>
    <w:p>
      <w:pPr>
        <w:spacing w:after="0" w:line="1" w:lineRule="exact"/>
        <w:rPr>
          <w:sz w:val="20"/>
          <w:szCs w:val="20"/>
          <w:color w:val="auto"/>
        </w:rPr>
      </w:pPr>
    </w:p>
    <w:p>
      <w:pPr>
        <w:jc w:val="both"/>
        <w:ind w:firstLine="8"/>
        <w:spacing w:after="0" w:line="277" w:lineRule="auto"/>
        <w:tabs>
          <w:tab w:leader="none" w:pos="3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10th day following the date on which public announcement is first made of the date of the special meeting. In no event shall the public announcement of an adjournment or postponement of a special meeting commence a new time period (or extend any time period) for the giving of a shareholder’s notice as described above. Only such persons who are nominated by a shareholder in accordance with the procedures set forth in this Section 3.03 shall be eligible to be elected as a director at any special meeting.</w:t>
      </w:r>
    </w:p>
    <w:p>
      <w:pPr>
        <w:spacing w:after="0" w:line="304" w:lineRule="exact"/>
        <w:rPr>
          <w:rFonts w:ascii="Times New Roman" w:cs="Times New Roman" w:eastAsia="Times New Roman" w:hAnsi="Times New Roman"/>
          <w:sz w:val="21"/>
          <w:szCs w:val="21"/>
          <w:color w:val="auto"/>
        </w:rPr>
      </w:pPr>
    </w:p>
    <w:p>
      <w:pPr>
        <w:jc w:val="both"/>
        <w:ind w:firstLine="656"/>
        <w:spacing w:after="0" w:line="266" w:lineRule="auto"/>
        <w:tabs>
          <w:tab w:leader="none" w:pos="1122" w:val="left"/>
        </w:tabs>
        <w:numPr>
          <w:ilvl w:val="1"/>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chairman of the special meeting shall have the power and duty to determine whether a nomination was made in accordance with the procedures set forth in this Section 3.03 and, if any proposed nomination is not in compliance with this Section 3.03, to declare that such defective nomination shall be disregarded. Notwithstanding the foregoing provisions of this Section, a shareholder shall also comply with the applicable requirements of the Exchange Act and the rules and regulations thereunder with respect to the matters set forth in this Sections 3.03.</w:t>
      </w:r>
    </w:p>
    <w:p>
      <w:pPr>
        <w:spacing w:after="0" w:line="31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3.04.</w:t>
      </w:r>
      <w:r>
        <w:rPr>
          <w:sz w:val="20"/>
          <w:szCs w:val="20"/>
          <w:color w:val="auto"/>
        </w:rPr>
        <w:tab/>
      </w:r>
      <w:r>
        <w:rPr>
          <w:rFonts w:ascii="Times New Roman" w:cs="Times New Roman" w:eastAsia="Times New Roman" w:hAnsi="Times New Roman"/>
          <w:sz w:val="21"/>
          <w:szCs w:val="21"/>
          <w:u w:val="single" w:color="auto"/>
          <w:color w:val="auto"/>
        </w:rPr>
        <w:t>Quorum and Adjournment</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4" w:lineRule="auto"/>
        <w:tabs>
          <w:tab w:leader="none" w:pos="1122"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.--A meeting of shareholders of the corporation duly called shall not be organized for the transaction of business unless a quorum is present. The presence of shareholders entitled to cast at least a majority of the votes that all shareholders are entitled to cast on a particular matter to be acted upon at the meeting shall constitute a quorum for the purposes of consideration and action on the matter. Shares of the corporation owned, directly or indirectly, by it and controlled, directly or indirectly, by the board of directors of this corporation, as such, shall not be counted in determining the total number of outstanding shares for quorum purposes at any given time.</w:t>
      </w:r>
    </w:p>
    <w:p>
      <w:pPr>
        <w:spacing w:after="0" w:line="315" w:lineRule="exact"/>
        <w:rPr>
          <w:rFonts w:ascii="Times New Roman" w:cs="Times New Roman" w:eastAsia="Times New Roman" w:hAnsi="Times New Roman"/>
          <w:sz w:val="22"/>
          <w:szCs w:val="22"/>
          <w:color w:val="010000"/>
        </w:rPr>
      </w:pPr>
    </w:p>
    <w:p>
      <w:pPr>
        <w:ind w:firstLine="656"/>
        <w:spacing w:after="0" w:line="297" w:lineRule="auto"/>
        <w:tabs>
          <w:tab w:leader="none" w:pos="1175"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Withdrawal of a Quorum</w:t>
      </w:r>
      <w:r>
        <w:rPr>
          <w:rFonts w:ascii="Times New Roman" w:cs="Times New Roman" w:eastAsia="Times New Roman" w:hAnsi="Times New Roman"/>
          <w:sz w:val="22"/>
          <w:szCs w:val="22"/>
          <w:color w:val="auto"/>
        </w:rPr>
        <w:t>.--The shareholders present at a duly organized meeting can continue to do business until adjournment notwithstanding the withdrawal of enough shareholders to leave less than a quorum.</w:t>
      </w:r>
    </w:p>
    <w:p>
      <w:pPr>
        <w:spacing w:after="0" w:line="278" w:lineRule="exact"/>
        <w:rPr>
          <w:rFonts w:ascii="Times New Roman" w:cs="Times New Roman" w:eastAsia="Times New Roman" w:hAnsi="Times New Roman"/>
          <w:sz w:val="22"/>
          <w:szCs w:val="22"/>
          <w:color w:val="010000"/>
        </w:rPr>
      </w:pPr>
    </w:p>
    <w:p>
      <w:pPr>
        <w:jc w:val="both"/>
        <w:ind w:firstLine="656"/>
        <w:spacing w:after="0" w:line="266" w:lineRule="auto"/>
        <w:tabs>
          <w:tab w:leader="none" w:pos="1109"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Adjournments Generally</w:t>
      </w:r>
      <w:r>
        <w:rPr>
          <w:rFonts w:ascii="Times New Roman" w:cs="Times New Roman" w:eastAsia="Times New Roman" w:hAnsi="Times New Roman"/>
          <w:sz w:val="22"/>
          <w:szCs w:val="22"/>
          <w:color w:val="auto"/>
        </w:rPr>
        <w:t>.--Any regular or special meeting of the shareholders, including one at which directors are to be elected and one which cannot be organized because a quorum has not attended, may be adjourned for such period and to such place as the shareholders present and entitled to vote shall direct, except that any meeting at which directors are to be elected shall be adjourned only from day to day or for such longer periods not exceeding 15 days each as the shareholders present and entitled to vote shall direct.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841" w:right="239" w:bottom="1440" w:gutter="0" w:footer="0" w:header="0"/>
        </w:sectPr>
      </w:pPr>
    </w:p>
    <w:bookmarkStart w:id="41" w:name="page42"/>
    <w:bookmarkEnd w:id="41"/>
    <w:p>
      <w:pPr>
        <w:jc w:val="both"/>
        <w:ind w:firstLine="656"/>
        <w:spacing w:after="0" w:line="276" w:lineRule="auto"/>
        <w:tabs>
          <w:tab w:leader="none" w:pos="1175"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Elective Directors at Adjourned Meeting</w:t>
      </w:r>
      <w:r>
        <w:rPr>
          <w:rFonts w:ascii="Times New Roman" w:cs="Times New Roman" w:eastAsia="Times New Roman" w:hAnsi="Times New Roman"/>
          <w:sz w:val="22"/>
          <w:szCs w:val="22"/>
          <w:color w:val="auto"/>
        </w:rPr>
        <w:t>.--Those shareholders entitled to vote who attend a meeting called for the election of directors that has been previously adjourned for lack of a quorum, although less than a quorum as fixed in this section, shall nevertheless constitute a quorum for the purpose of electing directors.</w:t>
      </w:r>
    </w:p>
    <w:p>
      <w:pPr>
        <w:spacing w:after="0" w:line="302" w:lineRule="exact"/>
        <w:rPr>
          <w:rFonts w:ascii="Times New Roman" w:cs="Times New Roman" w:eastAsia="Times New Roman" w:hAnsi="Times New Roman"/>
          <w:sz w:val="22"/>
          <w:szCs w:val="22"/>
          <w:color w:val="010000"/>
        </w:rPr>
      </w:pPr>
    </w:p>
    <w:p>
      <w:pPr>
        <w:jc w:val="both"/>
        <w:ind w:firstLine="656"/>
        <w:spacing w:after="0" w:line="266" w:lineRule="auto"/>
        <w:tabs>
          <w:tab w:leader="none" w:pos="1122"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Action in Absence of Quorum</w:t>
      </w:r>
      <w:r>
        <w:rPr>
          <w:rFonts w:ascii="Times New Roman" w:cs="Times New Roman" w:eastAsia="Times New Roman" w:hAnsi="Times New Roman"/>
          <w:sz w:val="22"/>
          <w:szCs w:val="22"/>
          <w:color w:val="auto"/>
        </w:rPr>
        <w:t>.--Those shareholders entitled to vote who attend a meeting of shareholders that has been previously adjourned for one or more periods aggregating at least 15 days because of an absence of a quorum, although less than a quorum as fixed in this section, shall nevertheless constitute a quorum for the purpose of acting upon any matter set forth in the notice of the meeting if the notice states that those shareholders who attend the adjourned meeting shall nevertheless constitute a quorum for the purpose of acting upon the matter.</w:t>
      </w:r>
    </w:p>
    <w:p>
      <w:pPr>
        <w:spacing w:after="0" w:line="3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010000"/>
        </w:rPr>
        <w:t xml:space="preserve">Section 3.05. </w:t>
      </w:r>
      <w:r>
        <w:rPr>
          <w:rFonts w:ascii="Times New Roman" w:cs="Times New Roman" w:eastAsia="Times New Roman" w:hAnsi="Times New Roman"/>
          <w:sz w:val="22"/>
          <w:szCs w:val="22"/>
          <w:u w:val="single" w:color="auto"/>
          <w:color w:val="000000"/>
        </w:rPr>
        <w:t>Action by Shareholders</w:t>
      </w:r>
      <w:r>
        <w:rPr>
          <w:rFonts w:ascii="Times New Roman" w:cs="Times New Roman" w:eastAsia="Times New Roman" w:hAnsi="Times New Roman"/>
          <w:sz w:val="22"/>
          <w:szCs w:val="22"/>
          <w:color w:val="000000"/>
        </w:rPr>
        <w:t>.--Except as otherwise provided in the Business Corporation Law or the articles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these bylaws, whenever any corporate action is to be taken by vote of the shareholders of the corporation, it shall be authorized upon receiving the affirmative vote of a majority of the votes cast by all shareholders entitled to vote thereon and, if any shareholders are entitled to vote thereon as a class, upon receiving the affirmative vote of a majority of the votes cast by the shareholders entitled to vote as a class.</w:t>
      </w:r>
    </w:p>
    <w:p>
      <w:pPr>
        <w:spacing w:after="0" w:line="31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010000"/>
        </w:rPr>
        <w:t xml:space="preserve">Section 3.06. </w:t>
      </w:r>
      <w:r>
        <w:rPr>
          <w:rFonts w:ascii="Times New Roman" w:cs="Times New Roman" w:eastAsia="Times New Roman" w:hAnsi="Times New Roman"/>
          <w:sz w:val="22"/>
          <w:szCs w:val="22"/>
          <w:u w:val="single" w:color="auto"/>
          <w:color w:val="000000"/>
        </w:rPr>
        <w:t>Organization</w:t>
      </w:r>
      <w:r>
        <w:rPr>
          <w:rFonts w:ascii="Times New Roman" w:cs="Times New Roman" w:eastAsia="Times New Roman" w:hAnsi="Times New Roman"/>
          <w:sz w:val="22"/>
          <w:szCs w:val="22"/>
          <w:color w:val="000000"/>
        </w:rPr>
        <w:t>.--At every meeting of the shareholders, the chairman of the board, if there be one, or,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case of vacancy in office or absence of the chairman of the board, one of the following persons present in the order stated: the vice chairman of the board, if there be one, the chief executive officer, the president, the vice presidents in their order of rank and seniority, or a person chosen by vote of the shareholders present, shall act as chairman of the meeting. The secretary or, in the absence of the secretary, an assistant secretary, or, in the absence of both the secretary and assistant secretaries, a person appointed by the chairman of the meeting, shall act as secretary of the meeting.</w:t>
      </w:r>
    </w:p>
    <w:p>
      <w:pPr>
        <w:spacing w:after="0" w:line="3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2"/>
          <w:szCs w:val="22"/>
          <w:color w:val="010000"/>
        </w:rPr>
        <w:t xml:space="preserve">Section 3.07. </w:t>
      </w:r>
      <w:r>
        <w:rPr>
          <w:rFonts w:ascii="Times New Roman" w:cs="Times New Roman" w:eastAsia="Times New Roman" w:hAnsi="Times New Roman"/>
          <w:sz w:val="22"/>
          <w:szCs w:val="22"/>
          <w:u w:val="single" w:color="auto"/>
          <w:color w:val="000000"/>
        </w:rPr>
        <w:t>Voting Rights of Shareholders</w:t>
      </w:r>
      <w:r>
        <w:rPr>
          <w:rFonts w:ascii="Times New Roman" w:cs="Times New Roman" w:eastAsia="Times New Roman" w:hAnsi="Times New Roman"/>
          <w:sz w:val="22"/>
          <w:szCs w:val="22"/>
          <w:color w:val="000000"/>
        </w:rPr>
        <w:t>.--Unless otherwise provided in the articles, every shareholder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shall be entitled to one vote for every share standing in the name of the shareholder on the books of the corporation.</w:t>
      </w:r>
    </w:p>
    <w:p>
      <w:pPr>
        <w:spacing w:after="0" w:line="27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3.08.</w:t>
      </w:r>
      <w:r>
        <w:rPr>
          <w:sz w:val="20"/>
          <w:szCs w:val="20"/>
          <w:color w:val="auto"/>
        </w:rPr>
        <w:tab/>
      </w:r>
      <w:r>
        <w:rPr>
          <w:rFonts w:ascii="Times New Roman" w:cs="Times New Roman" w:eastAsia="Times New Roman" w:hAnsi="Times New Roman"/>
          <w:sz w:val="21"/>
          <w:szCs w:val="21"/>
          <w:u w:val="single" w:color="auto"/>
          <w:color w:val="auto"/>
        </w:rPr>
        <w:t>Voting and Other Action by Proxy</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w:t>
      </w:r>
    </w:p>
    <w:p>
      <w:pPr>
        <w:spacing w:after="0" w:line="381" w:lineRule="exact"/>
        <w:rPr>
          <w:rFonts w:ascii="Times New Roman" w:cs="Times New Roman" w:eastAsia="Times New Roman" w:hAnsi="Times New Roman"/>
          <w:sz w:val="22"/>
          <w:szCs w:val="22"/>
          <w:color w:val="010000"/>
        </w:rPr>
      </w:pPr>
    </w:p>
    <w:p>
      <w:pPr>
        <w:ind w:left="660" w:firstLine="645"/>
        <w:spacing w:after="0" w:line="297" w:lineRule="auto"/>
        <w:tabs>
          <w:tab w:leader="none" w:pos="1808" w:val="left"/>
        </w:tabs>
        <w:numPr>
          <w:ilvl w:val="1"/>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Every shareholder entitled to vote at a meeting of shareholders or to express consent or dissent to corporate action in writing without a meeting may authorize another person to act for the shareholder by proxy.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841" w:right="239" w:bottom="1440" w:gutter="0" w:footer="0" w:header="0"/>
        </w:sectPr>
      </w:pPr>
    </w:p>
    <w:bookmarkStart w:id="42" w:name="page43"/>
    <w:bookmarkEnd w:id="42"/>
    <w:p>
      <w:pPr>
        <w:jc w:val="both"/>
        <w:ind w:left="660" w:firstLine="645"/>
        <w:spacing w:after="0" w:line="276" w:lineRule="auto"/>
        <w:tabs>
          <w:tab w:leader="none" w:pos="1754" w:val="left"/>
        </w:tabs>
        <w:numPr>
          <w:ilvl w:val="1"/>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presence of, or vote or other action at a meeting of shareholders, or the expression of consent or dissent to corporate action in writing, by a proxy of a shareholder shall constitute the presence of, or vote or action by, or written consent or dissent of, the shareholder.</w:t>
      </w:r>
    </w:p>
    <w:p>
      <w:pPr>
        <w:spacing w:after="0" w:line="302" w:lineRule="exact"/>
        <w:rPr>
          <w:rFonts w:ascii="Times New Roman" w:cs="Times New Roman" w:eastAsia="Times New Roman" w:hAnsi="Times New Roman"/>
          <w:sz w:val="22"/>
          <w:szCs w:val="22"/>
          <w:color w:val="010000"/>
        </w:rPr>
      </w:pPr>
    </w:p>
    <w:p>
      <w:pPr>
        <w:jc w:val="both"/>
        <w:ind w:left="660" w:firstLine="645"/>
        <w:spacing w:after="0" w:line="269" w:lineRule="auto"/>
        <w:tabs>
          <w:tab w:leader="none" w:pos="1848" w:val="left"/>
        </w:tabs>
        <w:numPr>
          <w:ilvl w:val="1"/>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Where two or more proxies of a shareholder are present, the corporation shall, unless otherwise expressly provided in the proxy, accept as the vote of all shares represented thereby the vote cast by a majority of them and, if a majority of the proxies cannot agree whether the shares represented shall be voted or upon the manner of voting the shares, the voting of the shares shall be divided equally among those persons.</w:t>
      </w:r>
    </w:p>
    <w:p>
      <w:pPr>
        <w:spacing w:after="0" w:line="310" w:lineRule="exact"/>
        <w:rPr>
          <w:rFonts w:ascii="Times New Roman" w:cs="Times New Roman" w:eastAsia="Times New Roman" w:hAnsi="Times New Roman"/>
          <w:sz w:val="22"/>
          <w:szCs w:val="22"/>
          <w:color w:val="010000"/>
        </w:rPr>
      </w:pPr>
    </w:p>
    <w:p>
      <w:pPr>
        <w:ind w:left="660" w:firstLine="645"/>
        <w:spacing w:after="0" w:line="297" w:lineRule="auto"/>
        <w:tabs>
          <w:tab w:leader="none" w:pos="1794" w:val="left"/>
        </w:tabs>
        <w:numPr>
          <w:ilvl w:val="1"/>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shareholder directly or indirectly soliciting proxies from other shareholders must use a proxy card color other than white, which shall be reserved for the exclusive use by the board of directors of the corporation.</w:t>
      </w:r>
    </w:p>
    <w:p>
      <w:pPr>
        <w:spacing w:after="0" w:line="278" w:lineRule="exact"/>
        <w:rPr>
          <w:rFonts w:ascii="Times New Roman" w:cs="Times New Roman" w:eastAsia="Times New Roman" w:hAnsi="Times New Roman"/>
          <w:sz w:val="22"/>
          <w:szCs w:val="22"/>
          <w:color w:val="010000"/>
        </w:rPr>
      </w:pPr>
    </w:p>
    <w:p>
      <w:pPr>
        <w:jc w:val="both"/>
        <w:ind w:firstLine="656"/>
        <w:spacing w:after="0" w:line="269" w:lineRule="auto"/>
        <w:tabs>
          <w:tab w:leader="none" w:pos="1094"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Execution and Filing</w:t>
      </w:r>
      <w:r>
        <w:rPr>
          <w:rFonts w:ascii="Times New Roman" w:cs="Times New Roman" w:eastAsia="Times New Roman" w:hAnsi="Times New Roman"/>
          <w:sz w:val="22"/>
          <w:szCs w:val="22"/>
          <w:color w:val="auto"/>
        </w:rPr>
        <w:t>.--Every proxy shall be executed in writing by the shareholder or by the duly authorized attorney-in-fact of the shareholder and filed with the secretary of the corporation. A telegram, telex, cablegram, datagram or similar transmission from a shareholder or attorney-in-tact, or a photographic, facsimile or similar reproduction of a writing executed by a shareholder or attorney-in-fact:</w:t>
      </w:r>
    </w:p>
    <w:p>
      <w:pPr>
        <w:spacing w:after="0" w:line="391" w:lineRule="exact"/>
        <w:rPr>
          <w:rFonts w:ascii="Times New Roman" w:cs="Times New Roman" w:eastAsia="Times New Roman" w:hAnsi="Times New Roman"/>
          <w:sz w:val="22"/>
          <w:szCs w:val="22"/>
          <w:color w:val="010000"/>
        </w:rPr>
      </w:pPr>
    </w:p>
    <w:p>
      <w:pPr>
        <w:ind w:left="1740" w:hanging="435"/>
        <w:spacing w:after="0"/>
        <w:tabs>
          <w:tab w:leader="none" w:pos="174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may be treated as properly executed for purposes of this subsection; and</w:t>
      </w:r>
    </w:p>
    <w:p>
      <w:pPr>
        <w:spacing w:after="0" w:line="381" w:lineRule="exact"/>
        <w:rPr>
          <w:rFonts w:ascii="Times New Roman" w:cs="Times New Roman" w:eastAsia="Times New Roman" w:hAnsi="Times New Roman"/>
          <w:sz w:val="22"/>
          <w:szCs w:val="22"/>
          <w:color w:val="010000"/>
        </w:rPr>
      </w:pPr>
    </w:p>
    <w:p>
      <w:pPr>
        <w:ind w:left="660" w:right="20" w:firstLine="645"/>
        <w:spacing w:after="0" w:line="297" w:lineRule="auto"/>
        <w:tabs>
          <w:tab w:leader="none" w:pos="174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shall be so treated if it sets forth a confidential and unique identification number or other mark furnished by the corporation to the shareholder for the purposes of a particular meeting or transaction.</w:t>
      </w:r>
    </w:p>
    <w:p>
      <w:pPr>
        <w:spacing w:after="0" w:line="278" w:lineRule="exact"/>
        <w:rPr>
          <w:rFonts w:ascii="Times New Roman" w:cs="Times New Roman" w:eastAsia="Times New Roman" w:hAnsi="Times New Roman"/>
          <w:sz w:val="22"/>
          <w:szCs w:val="22"/>
          <w:color w:val="010000"/>
        </w:rPr>
      </w:pPr>
    </w:p>
    <w:p>
      <w:pPr>
        <w:jc w:val="both"/>
        <w:ind w:firstLine="656"/>
        <w:spacing w:after="0" w:line="264" w:lineRule="auto"/>
        <w:tabs>
          <w:tab w:leader="none" w:pos="1082"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Revocation</w:t>
      </w:r>
      <w:r>
        <w:rPr>
          <w:rFonts w:ascii="Times New Roman" w:cs="Times New Roman" w:eastAsia="Times New Roman" w:hAnsi="Times New Roman"/>
          <w:sz w:val="22"/>
          <w:szCs w:val="22"/>
          <w:color w:val="auto"/>
        </w:rPr>
        <w:t>.--A proxy, unless coupled with an interest, shall be revocable at will, notwithstanding any other agreement or any provision in the proxy to the contrary, but the revocation of a proxy shall not be effective until written notice thereof has been given to the secretary of the corporation. An unrevoked proxy shall not be valid after three years from the date of its execution unless a longer time is expressly provided therein. A proxy shall not be revoked by the death or incapacity of the maker unless, before the vote is counted or the authority is exercised, written notice of the death or incapacity is given to the secretary of the corporation.</w:t>
      </w:r>
    </w:p>
    <w:p>
      <w:pPr>
        <w:spacing w:after="0" w:line="315"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283"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.--The corporation shall pay the reasonable expenses of solicitation of votes, proxies or consents of shareholders by or on behalf of the board of directors or its nominees for election to the board, including solicitation by professional proxy solicitors and otherwise.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841" w:right="2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22"/>
          <w:szCs w:val="22"/>
          <w:color w:val="010000"/>
        </w:rPr>
        <w:t xml:space="preserve">Section 3.09. </w:t>
      </w:r>
      <w:r>
        <w:rPr>
          <w:rFonts w:ascii="Times New Roman" w:cs="Times New Roman" w:eastAsia="Times New Roman" w:hAnsi="Times New Roman"/>
          <w:sz w:val="22"/>
          <w:szCs w:val="22"/>
          <w:u w:val="single" w:color="auto"/>
          <w:color w:val="000000"/>
        </w:rPr>
        <w:t>Voting by Fiduciaries and Pledgees</w:t>
      </w:r>
      <w:r>
        <w:rPr>
          <w:rFonts w:ascii="Times New Roman" w:cs="Times New Roman" w:eastAsia="Times New Roman" w:hAnsi="Times New Roman"/>
          <w:sz w:val="22"/>
          <w:szCs w:val="22"/>
          <w:color w:val="000000"/>
        </w:rPr>
        <w:t>.--Shares of the corporation standing in the name of a trustee or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fiduciary and shares held by an assignee for the benefit of creditors or by a receiver may be voted by the trustee, fiduciary, assignee or receiver. A shareholder whose shares are pledged shall be entitled to vote the shares until the shares have been transferred into the name of the pledgee, or a nominee of the pledgee, but nothing in this section shall affect the validity of a proxy given to a pledgee or nominee.</w:t>
      </w:r>
    </w:p>
    <w:p>
      <w:pPr>
        <w:spacing w:after="0" w:line="31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3.10.</w:t>
      </w:r>
      <w:r>
        <w:rPr>
          <w:sz w:val="20"/>
          <w:szCs w:val="20"/>
          <w:color w:val="auto"/>
        </w:rPr>
        <w:tab/>
      </w:r>
      <w:r>
        <w:rPr>
          <w:rFonts w:ascii="Times New Roman" w:cs="Times New Roman" w:eastAsia="Times New Roman" w:hAnsi="Times New Roman"/>
          <w:sz w:val="21"/>
          <w:szCs w:val="21"/>
          <w:u w:val="single" w:color="auto"/>
          <w:color w:val="auto"/>
        </w:rPr>
        <w:t>Voting by Joint Holders of Shares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ind w:firstLine="656"/>
        <w:spacing w:after="0" w:line="297" w:lineRule="auto"/>
        <w:tabs>
          <w:tab w:leader="none" w:pos="1122"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.--Where shares of the corporation are held jointly or as tenants in common by two or more persons, as fiduciaries or otherwise:</w:t>
      </w:r>
    </w:p>
    <w:p>
      <w:pPr>
        <w:spacing w:after="0" w:line="278" w:lineRule="exact"/>
        <w:rPr>
          <w:rFonts w:ascii="Times New Roman" w:cs="Times New Roman" w:eastAsia="Times New Roman" w:hAnsi="Times New Roman"/>
          <w:sz w:val="22"/>
          <w:szCs w:val="22"/>
          <w:color w:val="010000"/>
        </w:rPr>
      </w:pPr>
    </w:p>
    <w:p>
      <w:pPr>
        <w:jc w:val="both"/>
        <w:ind w:left="660" w:firstLine="645"/>
        <w:spacing w:after="0" w:line="276" w:lineRule="auto"/>
        <w:tabs>
          <w:tab w:leader="none" w:pos="1767" w:val="left"/>
        </w:tabs>
        <w:numPr>
          <w:ilvl w:val="1"/>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only one or more of such persons is present in person or by proxy, all of the shares standing in the names of such persons shall be deemed to be represented for the purpose of determining a quorum and the corporation shall accept as the vote of all the shares the vote cast by a joint owner or a majority of them; and</w:t>
      </w:r>
    </w:p>
    <w:p>
      <w:pPr>
        <w:spacing w:after="0" w:line="302" w:lineRule="exact"/>
        <w:rPr>
          <w:rFonts w:ascii="Times New Roman" w:cs="Times New Roman" w:eastAsia="Times New Roman" w:hAnsi="Times New Roman"/>
          <w:sz w:val="22"/>
          <w:szCs w:val="22"/>
          <w:color w:val="010000"/>
        </w:rPr>
      </w:pPr>
    </w:p>
    <w:p>
      <w:pPr>
        <w:jc w:val="both"/>
        <w:ind w:left="660" w:firstLine="645"/>
        <w:spacing w:after="0" w:line="276" w:lineRule="auto"/>
        <w:tabs>
          <w:tab w:leader="none" w:pos="1781" w:val="left"/>
        </w:tabs>
        <w:numPr>
          <w:ilvl w:val="1"/>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persons are equally divided upon whether the shares held by them shall be voted or upon the manner of voting the shares, the voting of the shares shall be divided equally among the persons without prejudice to the rights of the joint owners or the beneficial owners thereof among themselves.</w:t>
      </w:r>
    </w:p>
    <w:p>
      <w:pPr>
        <w:spacing w:after="0" w:line="302" w:lineRule="exact"/>
        <w:rPr>
          <w:rFonts w:ascii="Times New Roman" w:cs="Times New Roman" w:eastAsia="Times New Roman" w:hAnsi="Times New Roman"/>
          <w:sz w:val="22"/>
          <w:szCs w:val="22"/>
          <w:color w:val="010000"/>
        </w:rPr>
      </w:pPr>
    </w:p>
    <w:p>
      <w:pPr>
        <w:jc w:val="both"/>
        <w:ind w:firstLine="656"/>
        <w:spacing w:after="0" w:line="266" w:lineRule="auto"/>
        <w:tabs>
          <w:tab w:leader="none" w:pos="1134"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.--If there has been filed with the secretary of the corporation a copy, certified by an attorney at law to be correct, of the relevant portions of the agreement, under which the shares are held or the instrument by which the trust or estate was created or the order of court appointing them or of an order of court directing the voting of the shares, the persons specified as having such voting power in the document latest in date of operative effect so filed, and only those persons, shall be entitled to vote the shares but only in accordance therewith.</w:t>
      </w:r>
    </w:p>
    <w:p>
      <w:pPr>
        <w:spacing w:after="0" w:line="31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3.11.</w:t>
      </w:r>
      <w:r>
        <w:rPr>
          <w:sz w:val="20"/>
          <w:szCs w:val="20"/>
          <w:color w:val="auto"/>
        </w:rPr>
        <w:tab/>
      </w:r>
      <w:r>
        <w:rPr>
          <w:rFonts w:ascii="Times New Roman" w:cs="Times New Roman" w:eastAsia="Times New Roman" w:hAnsi="Times New Roman"/>
          <w:sz w:val="21"/>
          <w:szCs w:val="21"/>
          <w:u w:val="single" w:color="auto"/>
          <w:color w:val="auto"/>
        </w:rPr>
        <w:t>Voting by Corporations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6" w:lineRule="auto"/>
        <w:tabs>
          <w:tab w:leader="none" w:pos="1109"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Voting by Corporate Shareholders</w:t>
      </w:r>
      <w:r>
        <w:rPr>
          <w:rFonts w:ascii="Times New Roman" w:cs="Times New Roman" w:eastAsia="Times New Roman" w:hAnsi="Times New Roman"/>
          <w:sz w:val="22"/>
          <w:szCs w:val="22"/>
          <w:color w:val="auto"/>
        </w:rPr>
        <w:t>.--Any corporation that is a shareholder of this corporation may vote at meetings of shareholders of this corporation by any of its officers or agents, or by proxy appointed by any officer or agent, unless some other person, by resolution of the board of directors of the other corporation or a provision of its articles or bylaws, a copy of which resolution or provision certified to be correct by one of its officers has been filed with the secretary of this corporation, is appointed its general or special proxy in which case that person shall be entitled to vote the shares.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841" w:right="239" w:bottom="1440" w:gutter="0" w:footer="0" w:header="0"/>
        </w:sectPr>
      </w:pPr>
    </w:p>
    <w:bookmarkStart w:id="44" w:name="page45"/>
    <w:bookmarkEnd w:id="44"/>
    <w:p>
      <w:pPr>
        <w:jc w:val="both"/>
        <w:ind w:firstLine="656"/>
        <w:spacing w:after="0" w:line="276" w:lineRule="auto"/>
        <w:tabs>
          <w:tab w:leader="none" w:pos="1107"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Controlled Shares</w:t>
      </w:r>
      <w:r>
        <w:rPr>
          <w:rFonts w:ascii="Times New Roman" w:cs="Times New Roman" w:eastAsia="Times New Roman" w:hAnsi="Times New Roman"/>
          <w:sz w:val="22"/>
          <w:szCs w:val="22"/>
          <w:color w:val="auto"/>
        </w:rPr>
        <w:t>.--Shares of this corporation owned, directly or indirectly, by it and controlled, directly or indirectly, by the board of directors of this corporation, as such, shall not be voted at any meeting and shall not be counted in determining the total number of outstanding shares for voting purposes at any given time.</w:t>
      </w:r>
    </w:p>
    <w:p>
      <w:pPr>
        <w:spacing w:after="0" w:line="30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3.12.</w:t>
      </w:r>
      <w:r>
        <w:rPr>
          <w:sz w:val="20"/>
          <w:szCs w:val="20"/>
          <w:color w:val="auto"/>
        </w:rPr>
        <w:tab/>
      </w:r>
      <w:r>
        <w:rPr>
          <w:rFonts w:ascii="Times New Roman" w:cs="Times New Roman" w:eastAsia="Times New Roman" w:hAnsi="Times New Roman"/>
          <w:sz w:val="21"/>
          <w:szCs w:val="21"/>
          <w:u w:val="single" w:color="auto"/>
          <w:color w:val="auto"/>
        </w:rPr>
        <w:t>Determination of Shareholders of Record</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2" w:lineRule="auto"/>
        <w:tabs>
          <w:tab w:leader="none" w:pos="1068"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Fixing Record Date</w:t>
      </w:r>
      <w:r>
        <w:rPr>
          <w:rFonts w:ascii="Times New Roman" w:cs="Times New Roman" w:eastAsia="Times New Roman" w:hAnsi="Times New Roman"/>
          <w:sz w:val="22"/>
          <w:szCs w:val="22"/>
          <w:color w:val="auto"/>
        </w:rPr>
        <w:t>.--The board of directors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for purposes of a meeting, the determination shall apply to any adjournment thereof unless the board fixes a new record date for the adjourned meeting.</w:t>
      </w:r>
    </w:p>
    <w:p>
      <w:pPr>
        <w:spacing w:after="0" w:line="316" w:lineRule="exact"/>
        <w:rPr>
          <w:rFonts w:ascii="Times New Roman" w:cs="Times New Roman" w:eastAsia="Times New Roman" w:hAnsi="Times New Roman"/>
          <w:sz w:val="22"/>
          <w:szCs w:val="22"/>
          <w:color w:val="010000"/>
        </w:rPr>
      </w:pPr>
    </w:p>
    <w:p>
      <w:pPr>
        <w:ind w:left="1080" w:hanging="424"/>
        <w:spacing w:after="0"/>
        <w:tabs>
          <w:tab w:leader="none" w:pos="1080"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Determination When a Record Date is Not Fixed</w:t>
      </w:r>
      <w:r>
        <w:rPr>
          <w:rFonts w:ascii="Times New Roman" w:cs="Times New Roman" w:eastAsia="Times New Roman" w:hAnsi="Times New Roman"/>
          <w:sz w:val="22"/>
          <w:szCs w:val="22"/>
          <w:color w:val="auto"/>
        </w:rPr>
        <w:t>.--If a record date is not fixed:</w:t>
      </w:r>
    </w:p>
    <w:p>
      <w:pPr>
        <w:spacing w:after="0" w:line="381" w:lineRule="exact"/>
        <w:rPr>
          <w:rFonts w:ascii="Times New Roman" w:cs="Times New Roman" w:eastAsia="Times New Roman" w:hAnsi="Times New Roman"/>
          <w:sz w:val="22"/>
          <w:szCs w:val="22"/>
          <w:color w:val="010000"/>
        </w:rPr>
      </w:pPr>
    </w:p>
    <w:p>
      <w:pPr>
        <w:jc w:val="both"/>
        <w:ind w:left="660" w:firstLine="645"/>
        <w:spacing w:after="0" w:line="276" w:lineRule="auto"/>
        <w:tabs>
          <w:tab w:leader="none" w:pos="1767"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302" w:lineRule="exact"/>
        <w:rPr>
          <w:rFonts w:ascii="Times New Roman" w:cs="Times New Roman" w:eastAsia="Times New Roman" w:hAnsi="Times New Roman"/>
          <w:sz w:val="22"/>
          <w:szCs w:val="22"/>
          <w:color w:val="010000"/>
        </w:rPr>
      </w:pPr>
    </w:p>
    <w:p>
      <w:pPr>
        <w:jc w:val="both"/>
        <w:ind w:left="660" w:firstLine="645"/>
        <w:spacing w:after="0" w:line="266" w:lineRule="auto"/>
        <w:tabs>
          <w:tab w:leader="none" w:pos="1875"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record date for determining shareholders entitled to express consent or dissent to corporate action in writing without a meeting, when prior action by the board of directors is not necessary, to call a special meeting or to propose an amendment of the articles shall be the close of business on the day on which the first written consent or dissent, request for a special meeting or petition proposing an amendment of the articles is filed with the secretary of the corporation.</w:t>
      </w:r>
    </w:p>
    <w:p>
      <w:pPr>
        <w:spacing w:after="0" w:line="313" w:lineRule="exact"/>
        <w:rPr>
          <w:rFonts w:ascii="Times New Roman" w:cs="Times New Roman" w:eastAsia="Times New Roman" w:hAnsi="Times New Roman"/>
          <w:sz w:val="22"/>
          <w:szCs w:val="22"/>
          <w:color w:val="010000"/>
        </w:rPr>
      </w:pPr>
    </w:p>
    <w:p>
      <w:pPr>
        <w:ind w:left="660" w:firstLine="645"/>
        <w:spacing w:after="0" w:line="297" w:lineRule="auto"/>
        <w:tabs>
          <w:tab w:leader="none" w:pos="1754"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record date for determining shareholders for any other purpose shall be at the close of business on the day on which the board of directors adopts the resolution relating thereto.</w:t>
      </w:r>
    </w:p>
    <w:p>
      <w:pPr>
        <w:spacing w:after="0" w:line="278"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136"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Certification by Nominee</w:t>
      </w:r>
      <w:r>
        <w:rPr>
          <w:rFonts w:ascii="Times New Roman" w:cs="Times New Roman" w:eastAsia="Times New Roman" w:hAnsi="Times New Roman"/>
          <w:sz w:val="22"/>
          <w:szCs w:val="22"/>
          <w:color w:val="auto"/>
        </w:rPr>
        <w:t>.--The board of directors may adopt a procedure whereby a shareholder of the corporation may certify in writing to the corporation that all or a portion of the shares registered in the name of the shareholder are held for the account of a specified parson or persons. Upon receipt by the corporation of a certification complying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841" w:right="239" w:bottom="1440" w:gutter="0" w:footer="0" w:header="0"/>
        </w:sectPr>
      </w:pPr>
    </w:p>
    <w:bookmarkStart w:id="45" w:name="page46"/>
    <w:bookmarkEnd w:id="45"/>
    <w:p>
      <w:pPr>
        <w:spacing w:after="0" w:line="284" w:lineRule="auto"/>
        <w:rPr>
          <w:sz w:val="20"/>
          <w:szCs w:val="20"/>
          <w:color w:val="auto"/>
        </w:rPr>
      </w:pPr>
      <w:r>
        <w:rPr>
          <w:rFonts w:ascii="Times New Roman" w:cs="Times New Roman" w:eastAsia="Times New Roman" w:hAnsi="Times New Roman"/>
          <w:sz w:val="22"/>
          <w:szCs w:val="22"/>
          <w:color w:val="auto"/>
        </w:rPr>
        <w:t>with the procedure, the persons specified in the certification shall be deemed, for the purposes set forth in the certification, to be the holders of record of the number of shares specified in place of the shareholder making the certification.</w:t>
      </w:r>
    </w:p>
    <w:p>
      <w:pPr>
        <w:spacing w:after="0" w:line="29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3.13.</w:t>
      </w:r>
      <w:r>
        <w:rPr>
          <w:sz w:val="20"/>
          <w:szCs w:val="20"/>
          <w:color w:val="auto"/>
        </w:rPr>
        <w:tab/>
      </w:r>
      <w:r>
        <w:rPr>
          <w:rFonts w:ascii="Times New Roman" w:cs="Times New Roman" w:eastAsia="Times New Roman" w:hAnsi="Times New Roman"/>
          <w:sz w:val="21"/>
          <w:szCs w:val="21"/>
          <w:u w:val="single" w:color="auto"/>
          <w:color w:val="auto"/>
        </w:rPr>
        <w:t>Voting Lists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9" w:lineRule="auto"/>
        <w:tabs>
          <w:tab w:leader="none" w:pos="1163"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time and place of the meeting and shall be subject to the inspection of any shareholder during the whole time of the meeting for the purposes thereof.</w:t>
      </w:r>
    </w:p>
    <w:p>
      <w:pPr>
        <w:spacing w:after="0" w:line="310" w:lineRule="exact"/>
        <w:rPr>
          <w:rFonts w:ascii="Times New Roman" w:cs="Times New Roman" w:eastAsia="Times New Roman" w:hAnsi="Times New Roman"/>
          <w:sz w:val="22"/>
          <w:szCs w:val="22"/>
          <w:color w:val="010000"/>
        </w:rPr>
      </w:pPr>
    </w:p>
    <w:p>
      <w:pPr>
        <w:jc w:val="both"/>
        <w:ind w:firstLine="656"/>
        <w:spacing w:after="0" w:line="286" w:lineRule="auto"/>
        <w:tabs>
          <w:tab w:leader="none" w:pos="1107"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Effect of List</w:t>
      </w:r>
      <w:r>
        <w:rPr>
          <w:rFonts w:ascii="Times New Roman" w:cs="Times New Roman" w:eastAsia="Times New Roman" w:hAnsi="Times New Roman"/>
          <w:sz w:val="21"/>
          <w:szCs w:val="21"/>
          <w:color w:val="auto"/>
        </w:rPr>
        <w:t>.--Failure to comply with the requirements of this section shall not affect the validity of any action taken at a meeting prior to a demand at the meeting by any shareholder entitled to vote thereat to examine the list. The original share register or transfer book, or a duplicate thereof kept in the Commonwealth of Pennsylvania, shall be prima facie evidence as to who are the shareholders entitled to examine the list or share register or transfer book or to vote at any meeting of shareholders.</w:t>
      </w:r>
    </w:p>
    <w:p>
      <w:pPr>
        <w:spacing w:after="0" w:line="29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3.14.</w:t>
      </w:r>
      <w:r>
        <w:rPr>
          <w:sz w:val="20"/>
          <w:szCs w:val="20"/>
          <w:color w:val="auto"/>
        </w:rPr>
        <w:tab/>
      </w:r>
      <w:r>
        <w:rPr>
          <w:rFonts w:ascii="Times New Roman" w:cs="Times New Roman" w:eastAsia="Times New Roman" w:hAnsi="Times New Roman"/>
          <w:sz w:val="21"/>
          <w:szCs w:val="21"/>
          <w:u w:val="single" w:color="auto"/>
          <w:color w:val="auto"/>
        </w:rPr>
        <w:t>Judges of Election</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6" w:lineRule="auto"/>
        <w:tabs>
          <w:tab w:leader="none" w:pos="1068"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Appointment</w:t>
      </w:r>
      <w:r>
        <w:rPr>
          <w:rFonts w:ascii="Times New Roman" w:cs="Times New Roman" w:eastAsia="Times New Roman" w:hAnsi="Times New Roman"/>
          <w:sz w:val="22"/>
          <w:szCs w:val="22"/>
          <w:color w:val="auto"/>
        </w:rPr>
        <w:t>.--In advance of any meeting of shareholders of the corporation, the board of directors may appoint judges of election, who need not be shareholders, to act at the meeting or any adjournment thereof. If judges of election are not so appointed, the presiding officer of the meeting may, and on the request of any shareholder shall, appoint judges of election at the meeting. The number of judges shall be one or three. A person who is a candidate for an office to be filled at the meeting shall not act as a judge.</w:t>
      </w:r>
    </w:p>
    <w:p>
      <w:pPr>
        <w:spacing w:after="0" w:line="313"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094"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.--In case any person appointed as a judge fails to appear or fails or refuses to act, the vacancy may be filled by appointment made by the board of directors in advance of the convening of the meeting or at the meeting by the presiding officer thereof.</w:t>
      </w:r>
    </w:p>
    <w:p>
      <w:pPr>
        <w:spacing w:after="0" w:line="302" w:lineRule="exact"/>
        <w:rPr>
          <w:rFonts w:ascii="Times New Roman" w:cs="Times New Roman" w:eastAsia="Times New Roman" w:hAnsi="Times New Roman"/>
          <w:sz w:val="22"/>
          <w:szCs w:val="22"/>
          <w:color w:val="010000"/>
        </w:rPr>
      </w:pPr>
    </w:p>
    <w:p>
      <w:pPr>
        <w:jc w:val="both"/>
        <w:ind w:firstLine="656"/>
        <w:spacing w:after="0" w:line="264" w:lineRule="auto"/>
        <w:tabs>
          <w:tab w:leader="none" w:pos="1136"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.--The judges of election shall determine the number of shares outstanding and the voting power of each, the shares represented at the meeting, the existence of a quorum, and the authenticity, validity and effect of proxies, receive votes or ballots, hear and determine all challenges and questions in any way arising in connection with nominations by shareholders or the right to vote, count and tabulate all votes, determine the result and do such acts as may be proper to conduct the election or vote with fairness to all shareholders. The judges of election shall perform their duties impartially, in good faith, to the best of their ability and as expeditiously as is practical. If there are three judges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841"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election, the decision, act or certificate of a majority shall be effective in all respects as the decision, act or certificate of all.</w:t>
      </w:r>
    </w:p>
    <w:p>
      <w:pPr>
        <w:spacing w:after="0" w:line="368" w:lineRule="exact"/>
        <w:rPr>
          <w:sz w:val="20"/>
          <w:szCs w:val="20"/>
          <w:color w:val="auto"/>
        </w:rPr>
      </w:pPr>
    </w:p>
    <w:p>
      <w:pPr>
        <w:jc w:val="both"/>
        <w:ind w:firstLine="656"/>
        <w:spacing w:after="0" w:line="276" w:lineRule="auto"/>
        <w:tabs>
          <w:tab w:leader="none" w:pos="1148"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.--On request of the presiding officer of the meeting or of any shareholder, the judges shall make a report in writing of any challenge or question or matter determined by them, and execute a certificate of any fact found by them. Any report or certificate made by them shall be prima facie evidence of the facts stated therein.</w:t>
      </w:r>
    </w:p>
    <w:p>
      <w:pPr>
        <w:spacing w:after="0" w:line="30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3.15.</w:t>
      </w:r>
      <w:r>
        <w:rPr>
          <w:sz w:val="20"/>
          <w:szCs w:val="20"/>
          <w:color w:val="auto"/>
        </w:rPr>
        <w:tab/>
      </w:r>
      <w:r>
        <w:rPr>
          <w:rFonts w:ascii="Times New Roman" w:cs="Times New Roman" w:eastAsia="Times New Roman" w:hAnsi="Times New Roman"/>
          <w:sz w:val="21"/>
          <w:szCs w:val="21"/>
          <w:u w:val="single" w:color="auto"/>
          <w:color w:val="auto"/>
        </w:rPr>
        <w:t>Consent of Shareholders in Lieu of Meeting</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76" w:lineRule="auto"/>
        <w:tabs>
          <w:tab w:leader="none" w:pos="1136"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Unanimous Written Consent</w:t>
      </w:r>
      <w:r>
        <w:rPr>
          <w:rFonts w:ascii="Times New Roman" w:cs="Times New Roman" w:eastAsia="Times New Roman" w:hAnsi="Times New Roman"/>
          <w:sz w:val="22"/>
          <w:szCs w:val="22"/>
          <w:color w:val="auto"/>
        </w:rPr>
        <w:t>.--Any action required or permitted to be taken at a meeting of the shareholders or of a class of shareholders may be taken without a meeting if, prior or subsequent to the action, a consent or consents thereto by all of the shareholders who would be entitled to vote at a meeting for such purpose shall be filed with the secretary of the corporation.</w:t>
      </w:r>
    </w:p>
    <w:p>
      <w:pPr>
        <w:spacing w:after="0" w:line="302" w:lineRule="exact"/>
        <w:rPr>
          <w:rFonts w:ascii="Times New Roman" w:cs="Times New Roman" w:eastAsia="Times New Roman" w:hAnsi="Times New Roman"/>
          <w:sz w:val="22"/>
          <w:szCs w:val="22"/>
          <w:color w:val="010000"/>
        </w:rPr>
      </w:pPr>
    </w:p>
    <w:p>
      <w:pPr>
        <w:jc w:val="both"/>
        <w:ind w:firstLine="656"/>
        <w:spacing w:after="0" w:line="264" w:lineRule="auto"/>
        <w:tabs>
          <w:tab w:leader="none" w:pos="1094"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Partial Written Consent</w:t>
      </w:r>
      <w:r>
        <w:rPr>
          <w:rFonts w:ascii="Times New Roman" w:cs="Times New Roman" w:eastAsia="Times New Roman" w:hAnsi="Times New Roman"/>
          <w:sz w:val="22"/>
          <w:szCs w:val="22"/>
          <w:color w:val="auto"/>
        </w:rPr>
        <w:t>.--Any action required or permitted to be taken at a meeting of the shareholders or of a class of shareholders may be taken without a meeting upon the written consent of shareholders who would have been entitled to cast the minimum number of votes that would be necessary to authorize the action at a meeting at which all shareholders entitled to vote thereon were present and voting. The consents shall be filed with the secretary of the corporation. The action shall not become effective until after at least ten days’ written notice of the action has been given to each shareholder entitled to vote thereon who has not consented thereto.</w:t>
      </w:r>
    </w:p>
    <w:p>
      <w:pPr>
        <w:spacing w:after="0" w:line="31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010000"/>
        </w:rPr>
        <w:t xml:space="preserve">Section 3.16. </w:t>
      </w:r>
      <w:r>
        <w:rPr>
          <w:rFonts w:ascii="Times New Roman" w:cs="Times New Roman" w:eastAsia="Times New Roman" w:hAnsi="Times New Roman"/>
          <w:sz w:val="22"/>
          <w:szCs w:val="22"/>
          <w:u w:val="single" w:color="auto"/>
          <w:color w:val="000000"/>
        </w:rPr>
        <w:t>Minors as Securityholders</w:t>
      </w:r>
      <w:r>
        <w:rPr>
          <w:rFonts w:ascii="Times New Roman" w:cs="Times New Roman" w:eastAsia="Times New Roman" w:hAnsi="Times New Roman"/>
          <w:sz w:val="22"/>
          <w:szCs w:val="22"/>
          <w:color w:val="000000"/>
        </w:rPr>
        <w:t>.--The corporation may treat a minor who holds shares or obligations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as having capacity to receive and to empower others to receive dividends, interest, principal and other payments or distributions, to vote or express consent or dissent and to make elections and exercise rights relating to such shares or obligations unless, in the case of payments or distributions on shares, the corporate officer responsible for maintaining the list of shareholders or the transfer agent of the corporation or, in the case of payments or distributions on obligations, the treasurer or paying officer or agent has received written notice that the holder is a minor.</w:t>
      </w: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200" w:lineRule="exact"/>
        <w:rPr>
          <w:sz w:val="20"/>
          <w:szCs w:val="20"/>
          <w:color w:val="auto"/>
        </w:rPr>
      </w:pPr>
    </w:p>
    <w:p>
      <w:pPr>
        <w:spacing w:after="0" w:line="35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4.01.</w:t>
      </w:r>
      <w:r>
        <w:rPr>
          <w:sz w:val="20"/>
          <w:szCs w:val="20"/>
          <w:color w:val="auto"/>
        </w:rPr>
        <w:tab/>
      </w:r>
      <w:r>
        <w:rPr>
          <w:rFonts w:ascii="Times New Roman" w:cs="Times New Roman" w:eastAsia="Times New Roman" w:hAnsi="Times New Roman"/>
          <w:sz w:val="21"/>
          <w:szCs w:val="21"/>
          <w:u w:val="single" w:color="auto"/>
          <w:color w:val="auto"/>
        </w:rPr>
        <w:t>Powers; Personal Liability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841" w:right="239" w:bottom="1440" w:gutter="0" w:footer="0" w:header="0"/>
        </w:sectPr>
      </w:pPr>
    </w:p>
    <w:bookmarkStart w:id="47" w:name="page48"/>
    <w:bookmarkEnd w:id="47"/>
    <w:p>
      <w:pPr>
        <w:jc w:val="both"/>
        <w:ind w:firstLine="656"/>
        <w:spacing w:after="0" w:line="276" w:lineRule="auto"/>
        <w:tabs>
          <w:tab w:leader="none" w:pos="1082"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.--Unless otherwise provided by statute, all powers vested by law in the corporation shall be exercised by or under the authority of, and the business and affairs of the corporation shall be managed under the direction of, the board of directors.</w:t>
      </w:r>
    </w:p>
    <w:p>
      <w:pPr>
        <w:spacing w:after="0" w:line="302"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107"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Fundamental Transactions</w:t>
      </w:r>
      <w:r>
        <w:rPr>
          <w:rFonts w:ascii="Times New Roman" w:cs="Times New Roman" w:eastAsia="Times New Roman" w:hAnsi="Times New Roman"/>
          <w:sz w:val="22"/>
          <w:szCs w:val="22"/>
          <w:color w:val="auto"/>
        </w:rPr>
        <w:t>.--Where any provision of 15 Pa.C.S. Ch. 19 requires that an amendment of the articles or a plan be proposed by action of the board of directors, that requirement shall be construed to authorize and be satisfied by the written agreement of all of the shareholders of a business corporation.</w:t>
      </w:r>
    </w:p>
    <w:p>
      <w:pPr>
        <w:spacing w:after="0" w:line="268" w:lineRule="exact"/>
        <w:rPr>
          <w:rFonts w:ascii="Times New Roman" w:cs="Times New Roman" w:eastAsia="Times New Roman" w:hAnsi="Times New Roman"/>
          <w:sz w:val="22"/>
          <w:szCs w:val="22"/>
          <w:color w:val="010000"/>
        </w:rPr>
      </w:pPr>
    </w:p>
    <w:p>
      <w:pPr>
        <w:ind w:left="1080" w:hanging="424"/>
        <w:spacing w:after="0" w:line="253" w:lineRule="exact"/>
        <w:tabs>
          <w:tab w:leader="none" w:pos="108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Personal Liability of Directors</w:t>
      </w:r>
      <w:r>
        <w:rPr>
          <w:rFonts w:ascii="Times New Roman" w:cs="Times New Roman" w:eastAsia="Times New Roman" w:hAnsi="Times New Roman"/>
          <w:sz w:val="22"/>
          <w:szCs w:val="22"/>
          <w:color w:val="auto"/>
        </w:rPr>
        <w:t>.-</w:t>
      </w:r>
      <w:r>
        <w:rPr>
          <w:rFonts w:ascii="MS PGothic" w:cs="MS PGothic" w:eastAsia="MS PGothic" w:hAnsi="MS PGothic"/>
          <w:sz w:val="22"/>
          <w:szCs w:val="22"/>
          <w:color w:val="auto"/>
        </w:rPr>
        <w:t>‑</w:t>
      </w:r>
    </w:p>
    <w:p>
      <w:pPr>
        <w:spacing w:after="0" w:line="200" w:lineRule="exact"/>
        <w:rPr>
          <w:rFonts w:ascii="Times New Roman" w:cs="Times New Roman" w:eastAsia="Times New Roman" w:hAnsi="Times New Roman"/>
          <w:sz w:val="22"/>
          <w:szCs w:val="22"/>
          <w:color w:val="010000"/>
        </w:rPr>
      </w:pPr>
    </w:p>
    <w:p>
      <w:pPr>
        <w:spacing w:after="0" w:line="215" w:lineRule="exact"/>
        <w:rPr>
          <w:rFonts w:ascii="Times New Roman" w:cs="Times New Roman" w:eastAsia="Times New Roman" w:hAnsi="Times New Roman"/>
          <w:sz w:val="22"/>
          <w:szCs w:val="22"/>
          <w:color w:val="010000"/>
        </w:rPr>
      </w:pPr>
    </w:p>
    <w:p>
      <w:pPr>
        <w:jc w:val="both"/>
        <w:ind w:left="660" w:firstLine="645"/>
        <w:spacing w:after="0" w:line="276" w:lineRule="auto"/>
        <w:tabs>
          <w:tab w:leader="none" w:pos="1835"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director shall not be personally liable, as such, for monetary damages (including, without limitation, any judgment, amount paid in settlement, penalty, punitive damages or expense of any nature (including, without limitation, attorneys fees and disbursements)) for any action taken, or any failure to take any action, unless:</w:t>
      </w:r>
    </w:p>
    <w:p>
      <w:pPr>
        <w:spacing w:after="0" w:line="302" w:lineRule="exact"/>
        <w:rPr>
          <w:rFonts w:ascii="Times New Roman" w:cs="Times New Roman" w:eastAsia="Times New Roman" w:hAnsi="Times New Roman"/>
          <w:sz w:val="22"/>
          <w:szCs w:val="22"/>
          <w:color w:val="010000"/>
        </w:rPr>
      </w:pPr>
    </w:p>
    <w:p>
      <w:pPr>
        <w:ind w:left="1300" w:firstLine="653"/>
        <w:spacing w:after="0" w:line="297" w:lineRule="auto"/>
        <w:tabs>
          <w:tab w:leader="none" w:pos="2346" w:val="left"/>
        </w:tabs>
        <w:numPr>
          <w:ilvl w:val="2"/>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director has breached or failed to perform the duties of his or her office under subchapter 17B of the Business Corporation Law (or any successor provision); and</w:t>
      </w:r>
    </w:p>
    <w:p>
      <w:pPr>
        <w:spacing w:after="0" w:line="278" w:lineRule="exact"/>
        <w:rPr>
          <w:rFonts w:ascii="Times New Roman" w:cs="Times New Roman" w:eastAsia="Times New Roman" w:hAnsi="Times New Roman"/>
          <w:sz w:val="22"/>
          <w:szCs w:val="22"/>
          <w:color w:val="010000"/>
        </w:rPr>
      </w:pPr>
    </w:p>
    <w:p>
      <w:pPr>
        <w:ind w:left="2400" w:hanging="447"/>
        <w:spacing w:after="0"/>
        <w:tabs>
          <w:tab w:leader="none" w:pos="2400" w:val="left"/>
        </w:tabs>
        <w:numPr>
          <w:ilvl w:val="2"/>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breach or failure to perform constitutes self-dealing, willful misconduct or recklessness.</w:t>
      </w:r>
    </w:p>
    <w:p>
      <w:pPr>
        <w:spacing w:after="0" w:line="381" w:lineRule="exact"/>
        <w:rPr>
          <w:rFonts w:ascii="Times New Roman" w:cs="Times New Roman" w:eastAsia="Times New Roman" w:hAnsi="Times New Roman"/>
          <w:sz w:val="22"/>
          <w:szCs w:val="22"/>
          <w:color w:val="010000"/>
        </w:rPr>
      </w:pPr>
    </w:p>
    <w:p>
      <w:pPr>
        <w:ind w:left="660" w:firstLine="645"/>
        <w:spacing w:after="0" w:line="297" w:lineRule="auto"/>
        <w:tabs>
          <w:tab w:leader="none" w:pos="1808"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provisions of paragraph (1) shall not apply to the responsibility or liability of a director pursuant to any criminal statute, or the liability of a director for the payment of taxes pursuant to local, state or federal law.</w:t>
      </w:r>
    </w:p>
    <w:p>
      <w:pPr>
        <w:spacing w:after="0" w:line="278" w:lineRule="exact"/>
        <w:rPr>
          <w:rFonts w:ascii="Times New Roman" w:cs="Times New Roman" w:eastAsia="Times New Roman" w:hAnsi="Times New Roman"/>
          <w:sz w:val="22"/>
          <w:szCs w:val="22"/>
          <w:color w:val="010000"/>
        </w:rPr>
      </w:pPr>
    </w:p>
    <w:p>
      <w:pPr>
        <w:jc w:val="both"/>
        <w:ind w:firstLine="656"/>
        <w:spacing w:after="0" w:line="262" w:lineRule="auto"/>
        <w:tabs>
          <w:tab w:leader="none" w:pos="108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Notation of Dissent</w:t>
      </w:r>
      <w:r>
        <w:rPr>
          <w:rFonts w:ascii="Times New Roman" w:cs="Times New Roman" w:eastAsia="Times New Roman" w:hAnsi="Times New Roman"/>
          <w:sz w:val="22"/>
          <w:szCs w:val="22"/>
          <w:color w:val="auto"/>
        </w:rPr>
        <w:t>.--A director who is present at a meeting of the board of directors, or of a committee of the board, at which action on any corporate matter is taken on which the director is generally competent to act, shall be presumed to have assented to the action taken unless his or her dissent is entered in the minutes of the meeting or unless the director files a written dissent to the action with the secretary of the meeting before the adjournment thereof or transmits the dissent in writing to the secretary of the corporation immediately after the adjournment of the meeting. The right to dissent shall not apply to a director who voted in favor of the action. Nothing in this section shall bar a director from asserting that minutes of the meeting incorrectly omitted his or her dissent if, promptly upon receipt of a copy of such minutes, the director notifies the secretary, in writing, of the asserted omission or inaccuracy.</w:t>
      </w:r>
    </w:p>
    <w:p>
      <w:pPr>
        <w:spacing w:after="0" w:line="31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4.02.</w:t>
      </w:r>
      <w:r>
        <w:rPr>
          <w:sz w:val="20"/>
          <w:szCs w:val="20"/>
          <w:color w:val="auto"/>
        </w:rPr>
        <w:tab/>
      </w:r>
      <w:r>
        <w:rPr>
          <w:rFonts w:ascii="Times New Roman" w:cs="Times New Roman" w:eastAsia="Times New Roman" w:hAnsi="Times New Roman"/>
          <w:sz w:val="21"/>
          <w:szCs w:val="21"/>
          <w:u w:val="single" w:color="auto"/>
          <w:color w:val="auto"/>
        </w:rPr>
        <w:t>Qualifications and Selection of Directors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841" w:right="239" w:bottom="1440" w:gutter="0" w:footer="0" w:header="0"/>
        </w:sectPr>
      </w:pPr>
    </w:p>
    <w:bookmarkStart w:id="48" w:name="page49"/>
    <w:bookmarkEnd w:id="48"/>
    <w:p>
      <w:pPr>
        <w:ind w:firstLine="656"/>
        <w:spacing w:after="0" w:line="297" w:lineRule="auto"/>
        <w:tabs>
          <w:tab w:leader="none" w:pos="1082"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Qualifications</w:t>
      </w:r>
      <w:r>
        <w:rPr>
          <w:rFonts w:ascii="Times New Roman" w:cs="Times New Roman" w:eastAsia="Times New Roman" w:hAnsi="Times New Roman"/>
          <w:sz w:val="22"/>
          <w:szCs w:val="22"/>
          <w:color w:val="auto"/>
        </w:rPr>
        <w:t>.--Each director of the corporation shall be a natural person of full age who need not be a resident of the Commonwealth of Pennsylvania or a shareholder of the corporation.</w:t>
      </w:r>
    </w:p>
    <w:p>
      <w:pPr>
        <w:spacing w:after="0" w:line="278" w:lineRule="exact"/>
        <w:rPr>
          <w:rFonts w:ascii="Times New Roman" w:cs="Times New Roman" w:eastAsia="Times New Roman" w:hAnsi="Times New Roman"/>
          <w:sz w:val="22"/>
          <w:szCs w:val="22"/>
          <w:color w:val="010000"/>
        </w:rPr>
      </w:pPr>
    </w:p>
    <w:p>
      <w:pPr>
        <w:ind w:firstLine="656"/>
        <w:spacing w:after="0" w:line="297" w:lineRule="auto"/>
        <w:tabs>
          <w:tab w:leader="none" w:pos="1094"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Power to Select Directors</w:t>
      </w:r>
      <w:r>
        <w:rPr>
          <w:rFonts w:ascii="Times New Roman" w:cs="Times New Roman" w:eastAsia="Times New Roman" w:hAnsi="Times New Roman"/>
          <w:sz w:val="22"/>
          <w:szCs w:val="22"/>
          <w:color w:val="auto"/>
        </w:rPr>
        <w:t>.--Except as otherwise provided in these bylaws, directors of the corporation shall be elected by the shareholders.</w:t>
      </w:r>
    </w:p>
    <w:p>
      <w:pPr>
        <w:spacing w:after="0" w:line="278" w:lineRule="exact"/>
        <w:rPr>
          <w:rFonts w:ascii="Times New Roman" w:cs="Times New Roman" w:eastAsia="Times New Roman" w:hAnsi="Times New Roman"/>
          <w:sz w:val="22"/>
          <w:szCs w:val="22"/>
          <w:color w:val="010000"/>
        </w:rPr>
      </w:pPr>
    </w:p>
    <w:p>
      <w:pPr>
        <w:jc w:val="both"/>
        <w:ind w:firstLine="656"/>
        <w:spacing w:after="0" w:line="261" w:lineRule="auto"/>
        <w:tabs>
          <w:tab w:leader="none" w:pos="1163"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Nominations of Directors</w:t>
      </w:r>
      <w:r>
        <w:rPr>
          <w:rFonts w:ascii="Times New Roman" w:cs="Times New Roman" w:eastAsia="Times New Roman" w:hAnsi="Times New Roman"/>
          <w:sz w:val="22"/>
          <w:szCs w:val="22"/>
          <w:color w:val="auto"/>
        </w:rPr>
        <w:t>. Nominees for election to the board of directors at any special or annual meeting of the shareholders shall be selected by the board of directors or a committee of the board of directors to which the board of directors has delegated the authority to make such selections pursuant to Section 4.11 of these Bylaws. Nominees for election to the board of directors at any special or annual meeting of the shareholders may also be selected by shareholders, provided that such nominations are made in accordance with, and accompanied by the information required by, Section 3.02 (relating to annual meetings of shareholders) or Section 3.03 (relating to special meetings of shareholders). If the board of directors is classified with respect to the terms of directors, and if, due to a vacancy or vacancies, or otherwise, directors of more than one class are to be elected, each class of directors to be elected at the meeting shall be nominated and elected separately. Any shareholder may nominate as many persons for the office of director as there are positions to be filled.</w:t>
      </w:r>
    </w:p>
    <w:p>
      <w:pPr>
        <w:spacing w:after="0" w:line="319" w:lineRule="exact"/>
        <w:rPr>
          <w:rFonts w:ascii="Times New Roman" w:cs="Times New Roman" w:eastAsia="Times New Roman" w:hAnsi="Times New Roman"/>
          <w:sz w:val="22"/>
          <w:szCs w:val="22"/>
          <w:color w:val="010000"/>
        </w:rPr>
      </w:pPr>
    </w:p>
    <w:p>
      <w:pPr>
        <w:jc w:val="both"/>
        <w:ind w:firstLine="656"/>
        <w:spacing w:after="0" w:line="266" w:lineRule="auto"/>
        <w:tabs>
          <w:tab w:leader="none" w:pos="1269"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Election of Directors</w:t>
      </w:r>
      <w:r>
        <w:rPr>
          <w:rFonts w:ascii="Times New Roman" w:cs="Times New Roman" w:eastAsia="Times New Roman" w:hAnsi="Times New Roman"/>
          <w:sz w:val="22"/>
          <w:szCs w:val="22"/>
          <w:color w:val="auto"/>
        </w:rPr>
        <w:t>.--In elections for directors, voting need not be by ballot, unless required by vote of the shareholders before the voting for the election of directors begins. The candidates receiving the highest number of votes from each class or group of classes, if any, entitled to elect directors separately up to the number of directors to be elected by the class or group of classes shall be elected. If at any meeting of shareholders, directors of more than one class are to be elected, each class of directors shall be elected in a separate election.</w:t>
      </w:r>
    </w:p>
    <w:p>
      <w:pPr>
        <w:spacing w:after="0" w:line="31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4.03.</w:t>
      </w:r>
      <w:r>
        <w:rPr>
          <w:sz w:val="20"/>
          <w:szCs w:val="20"/>
          <w:color w:val="auto"/>
        </w:rPr>
        <w:tab/>
      </w:r>
      <w:r>
        <w:rPr>
          <w:rFonts w:ascii="Times New Roman" w:cs="Times New Roman" w:eastAsia="Times New Roman" w:hAnsi="Times New Roman"/>
          <w:sz w:val="21"/>
          <w:szCs w:val="21"/>
          <w:u w:val="single" w:color="auto"/>
          <w:color w:val="auto"/>
        </w:rPr>
        <w:t>Number and Term of Office</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ind w:firstLine="656"/>
        <w:spacing w:after="0" w:line="297" w:lineRule="auto"/>
        <w:tabs>
          <w:tab w:leader="none" w:pos="1095"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.--The board of directors shall consist of not less than five members, nor more than eleven members, with the exact number within said limits to be fixed from time to time solely by resolution of the board of directors.</w:t>
      </w:r>
    </w:p>
    <w:p>
      <w:pPr>
        <w:spacing w:after="0" w:line="278" w:lineRule="exact"/>
        <w:rPr>
          <w:rFonts w:ascii="Times New Roman" w:cs="Times New Roman" w:eastAsia="Times New Roman" w:hAnsi="Times New Roman"/>
          <w:sz w:val="22"/>
          <w:szCs w:val="22"/>
          <w:color w:val="010000"/>
        </w:rPr>
      </w:pPr>
    </w:p>
    <w:p>
      <w:pPr>
        <w:ind w:left="1080" w:hanging="424"/>
        <w:spacing w:after="0"/>
        <w:tabs>
          <w:tab w:leader="none" w:pos="1080"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Office</w:t>
      </w:r>
      <w:r>
        <w:rPr>
          <w:rFonts w:ascii="Times New Roman" w:cs="Times New Roman" w:eastAsia="Times New Roman" w:hAnsi="Times New Roman"/>
          <w:sz w:val="22"/>
          <w:szCs w:val="22"/>
          <w:color w:val="auto"/>
        </w:rPr>
        <w:t>.</w:t>
      </w:r>
    </w:p>
    <w:p>
      <w:pPr>
        <w:spacing w:after="0" w:line="38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term of office of each director shall be one year. Each director shall hold office until the expiration of the term for which he or she was selected and until a successor has been selected and qualified or until his or her earlier death, resignation or removal. A decrease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841"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in the number of directors shall not have the effect of shortening the term of any incumbent director.</w:t>
      </w:r>
    </w:p>
    <w:p>
      <w:pPr>
        <w:spacing w:after="0" w:line="368" w:lineRule="exact"/>
        <w:rPr>
          <w:sz w:val="20"/>
          <w:szCs w:val="20"/>
          <w:color w:val="auto"/>
        </w:rPr>
      </w:pPr>
    </w:p>
    <w:p>
      <w:pPr>
        <w:ind w:firstLine="656"/>
        <w:spacing w:after="0" w:line="297" w:lineRule="auto"/>
        <w:tabs>
          <w:tab w:leader="none" w:pos="1163"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.--Any director may resign at any time upon written notice to the corporation. The resignation shall be effective upon receipt thereof by the corporation or at such subsequent time as shall be specified in the notice of resignation.</w:t>
      </w:r>
    </w:p>
    <w:p>
      <w:pPr>
        <w:spacing w:after="0" w:line="278" w:lineRule="exact"/>
        <w:rPr>
          <w:rFonts w:ascii="Times New Roman" w:cs="Times New Roman" w:eastAsia="Times New Roman" w:hAnsi="Times New Roman"/>
          <w:sz w:val="22"/>
          <w:szCs w:val="22"/>
          <w:color w:val="010000"/>
        </w:rPr>
      </w:pPr>
    </w:p>
    <w:p>
      <w:pPr>
        <w:jc w:val="both"/>
        <w:ind w:firstLine="656"/>
        <w:spacing w:after="0" w:line="266" w:lineRule="auto"/>
        <w:tabs>
          <w:tab w:leader="none" w:pos="1107"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Chairman</w:t>
      </w:r>
      <w:r>
        <w:rPr>
          <w:rFonts w:ascii="Times New Roman" w:cs="Times New Roman" w:eastAsia="Times New Roman" w:hAnsi="Times New Roman"/>
          <w:sz w:val="22"/>
          <w:szCs w:val="22"/>
          <w:color w:val="auto"/>
        </w:rPr>
        <w:t>.--The board of directors shall annually elect from among the members of the board a chairman of the board who may, but shall not be required to, qualify as independent under the applicable listing standards of The Nasdaq Stock Market LLC or such other securities market on which the Company’s securities are listed. Any vacancy in the position of the chairman shall be filled at such time and in such manner as the board of directors shall determine. The chairman of the board may also serve as the chief executive officer and/or as another officer of the Company.</w:t>
      </w:r>
    </w:p>
    <w:p>
      <w:pPr>
        <w:spacing w:after="0" w:line="31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4.04.</w:t>
      </w:r>
      <w:r>
        <w:rPr>
          <w:sz w:val="20"/>
          <w:szCs w:val="20"/>
          <w:color w:val="auto"/>
        </w:rPr>
        <w:tab/>
      </w:r>
      <w:r>
        <w:rPr>
          <w:rFonts w:ascii="Times New Roman" w:cs="Times New Roman" w:eastAsia="Times New Roman" w:hAnsi="Times New Roman"/>
          <w:sz w:val="19"/>
          <w:szCs w:val="19"/>
          <w:u w:val="single" w:color="auto"/>
          <w:color w:val="auto"/>
        </w:rPr>
        <w:t>Vacancies</w:t>
      </w:r>
      <w:r>
        <w:rPr>
          <w:rFonts w:ascii="Times New Roman" w:cs="Times New Roman" w:eastAsia="Times New Roman" w:hAnsi="Times New Roman"/>
          <w:sz w:val="19"/>
          <w:szCs w:val="19"/>
          <w:color w:val="auto"/>
        </w:rPr>
        <w:t>.</w:t>
      </w:r>
    </w:p>
    <w:p>
      <w:pPr>
        <w:spacing w:after="0" w:line="382" w:lineRule="exact"/>
        <w:rPr>
          <w:sz w:val="20"/>
          <w:szCs w:val="20"/>
          <w:color w:val="auto"/>
        </w:rPr>
      </w:pPr>
    </w:p>
    <w:p>
      <w:pPr>
        <w:jc w:val="both"/>
        <w:ind w:firstLine="656"/>
        <w:spacing w:after="0" w:line="266" w:lineRule="auto"/>
        <w:tabs>
          <w:tab w:leader="none" w:pos="1136"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.--Vacancies in the board of directors, including vacancies resulting from an increase in the number of directors, may be filled by a majority vote of the remaining members of the board though less than a quorum, or by a sole remaining director, and each person so selected shall be a director to serve until the next selection of the class for which such director has been chosen, and until a successor has been selected and qualified or until his or her earlier death, resignation or removal.</w:t>
      </w:r>
    </w:p>
    <w:p>
      <w:pPr>
        <w:spacing w:after="0" w:line="313"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202"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Action by Resigned Directors</w:t>
      </w:r>
      <w:r>
        <w:rPr>
          <w:rFonts w:ascii="Times New Roman" w:cs="Times New Roman" w:eastAsia="Times New Roman" w:hAnsi="Times New Roman"/>
          <w:sz w:val="22"/>
          <w:szCs w:val="22"/>
          <w:color w:val="auto"/>
        </w:rPr>
        <w:t>.--When one or more directors resign from the board effective at a future date, the directors then in office, including those who have so resigned, shall have power by the applicable vote to fill the vacancies, the vote thereon to take effect when the resignations become effective.</w:t>
      </w:r>
    </w:p>
    <w:p>
      <w:pPr>
        <w:spacing w:after="0" w:line="30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4.05.</w:t>
      </w:r>
      <w:r>
        <w:rPr>
          <w:sz w:val="20"/>
          <w:szCs w:val="20"/>
          <w:color w:val="auto"/>
        </w:rPr>
        <w:tab/>
      </w:r>
      <w:r>
        <w:rPr>
          <w:rFonts w:ascii="Times New Roman" w:cs="Times New Roman" w:eastAsia="Times New Roman" w:hAnsi="Times New Roman"/>
          <w:sz w:val="21"/>
          <w:szCs w:val="21"/>
          <w:u w:val="single" w:color="auto"/>
          <w:color w:val="auto"/>
        </w:rPr>
        <w:t>Removal of Directors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76" w:lineRule="auto"/>
        <w:tabs>
          <w:tab w:leader="none" w:pos="1095"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Removal by the Shareholders</w:t>
      </w:r>
      <w:r>
        <w:rPr>
          <w:rFonts w:ascii="Times New Roman" w:cs="Times New Roman" w:eastAsia="Times New Roman" w:hAnsi="Times New Roman"/>
          <w:sz w:val="22"/>
          <w:szCs w:val="22"/>
          <w:color w:val="auto"/>
        </w:rPr>
        <w:t>.--The entire board of directors, or any class of the board, or any individual director may be removed from office by vote of the shareholders entitled to vote thereon without assigning any cause. In case the board or a class of the board or any one or more directors are so removed, new directors may be elected at the same meeting.</w:t>
      </w:r>
    </w:p>
    <w:p>
      <w:pPr>
        <w:spacing w:after="0" w:line="302"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161"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Removal by the Board</w:t>
      </w:r>
      <w:r>
        <w:rPr>
          <w:rFonts w:ascii="Times New Roman" w:cs="Times New Roman" w:eastAsia="Times New Roman" w:hAnsi="Times New Roman"/>
          <w:sz w:val="22"/>
          <w:szCs w:val="22"/>
          <w:color w:val="auto"/>
        </w:rPr>
        <w:t>.--The board of directors may declare vacant the office of a director who has been judicially declared of unsound mind or who has been convicted of an offense punishable by imprisonment for a term of more than one year or if, within 60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841" w:right="239" w:bottom="1440" w:gutter="0" w:footer="0" w:header="0"/>
        </w:sectPr>
      </w:pPr>
    </w:p>
    <w:bookmarkStart w:id="50" w:name="page51"/>
    <w:bookmarkEnd w:id="50"/>
    <w:p>
      <w:pPr>
        <w:jc w:val="both"/>
        <w:spacing w:after="0" w:line="284" w:lineRule="auto"/>
        <w:rPr>
          <w:sz w:val="20"/>
          <w:szCs w:val="20"/>
          <w:color w:val="auto"/>
        </w:rPr>
      </w:pPr>
      <w:r>
        <w:rPr>
          <w:rFonts w:ascii="Times New Roman" w:cs="Times New Roman" w:eastAsia="Times New Roman" w:hAnsi="Times New Roman"/>
          <w:sz w:val="22"/>
          <w:szCs w:val="22"/>
          <w:color w:val="auto"/>
        </w:rPr>
        <w:t>days after notice of his or her selection, the director does not accept the office either in writing or by attending a meeting of the board of directors.</w:t>
      </w:r>
    </w:p>
    <w:p>
      <w:pPr>
        <w:spacing w:after="0" w:line="29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010000"/>
        </w:rPr>
        <w:t xml:space="preserve">Section 4.06. </w:t>
      </w:r>
      <w:r>
        <w:rPr>
          <w:rFonts w:ascii="Times New Roman" w:cs="Times New Roman" w:eastAsia="Times New Roman" w:hAnsi="Times New Roman"/>
          <w:sz w:val="22"/>
          <w:szCs w:val="22"/>
          <w:u w:val="single" w:color="auto"/>
          <w:color w:val="000000"/>
        </w:rPr>
        <w:t>Place of Meeting</w:t>
      </w:r>
      <w:r>
        <w:rPr>
          <w:rFonts w:ascii="Times New Roman" w:cs="Times New Roman" w:eastAsia="Times New Roman" w:hAnsi="Times New Roman"/>
          <w:sz w:val="22"/>
          <w:szCs w:val="22"/>
          <w:color w:val="000000"/>
        </w:rPr>
        <w:t>.--Meetings of the board of directors may be held at such place within or without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Commonwealth of Pennsylvania as the board of directors may from time to time appoint or as may be designated in the notice of the meeting.</w:t>
      </w:r>
    </w:p>
    <w:p>
      <w:pPr>
        <w:spacing w:after="0" w:line="30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010000"/>
        </w:rPr>
        <w:t xml:space="preserve">Section 4.07. </w:t>
      </w:r>
      <w:r>
        <w:rPr>
          <w:rFonts w:ascii="Times New Roman" w:cs="Times New Roman" w:eastAsia="Times New Roman" w:hAnsi="Times New Roman"/>
          <w:sz w:val="22"/>
          <w:szCs w:val="22"/>
          <w:u w:val="single" w:color="auto"/>
          <w:color w:val="000000"/>
        </w:rPr>
        <w:t>Organization of Meetings</w:t>
      </w:r>
      <w:r>
        <w:rPr>
          <w:rFonts w:ascii="Times New Roman" w:cs="Times New Roman" w:eastAsia="Times New Roman" w:hAnsi="Times New Roman"/>
          <w:sz w:val="22"/>
          <w:szCs w:val="22"/>
          <w:color w:val="000000"/>
        </w:rPr>
        <w:t>.--At every meeting of the board of directors, the chairman of the board, if there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one, or, in the case of a vacancy in the office or absence of the Chairman of the board, one of the following officers present in the order stated: the vice chairman of the board, if there be one, the chief executive officer, the president, the vice presidents in their order of rank and seniority, or a person chosen by a majority of the directors present, shall act as chairman of the meeting. The secretary or, in the absence of the secretary, an assistant secretary, or, in the absence of the secretary and the assistant secretaries, any person appointed by the chairman of the meeting, shall act as secretary of the meeting.</w:t>
      </w:r>
    </w:p>
    <w:p>
      <w:pPr>
        <w:spacing w:after="0" w:line="3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2"/>
          <w:szCs w:val="22"/>
          <w:color w:val="010000"/>
        </w:rPr>
        <w:t xml:space="preserve">Section 4.08. </w:t>
      </w:r>
      <w:r>
        <w:rPr>
          <w:rFonts w:ascii="Times New Roman" w:cs="Times New Roman" w:eastAsia="Times New Roman" w:hAnsi="Times New Roman"/>
          <w:sz w:val="22"/>
          <w:szCs w:val="22"/>
          <w:u w:val="single" w:color="auto"/>
          <w:color w:val="000000"/>
        </w:rPr>
        <w:t>Regular Meetings</w:t>
      </w:r>
      <w:r>
        <w:rPr>
          <w:rFonts w:ascii="Times New Roman" w:cs="Times New Roman" w:eastAsia="Times New Roman" w:hAnsi="Times New Roman"/>
          <w:sz w:val="22"/>
          <w:szCs w:val="22"/>
          <w:color w:val="000000"/>
        </w:rPr>
        <w:t>.--Regular meetings of the board of directors shall be held at such time and place as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designated from time to time by resolution of the board of directors.</w:t>
      </w:r>
    </w:p>
    <w:p>
      <w:pPr>
        <w:spacing w:after="0" w:line="27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2"/>
          <w:szCs w:val="22"/>
          <w:color w:val="010000"/>
        </w:rPr>
        <w:t xml:space="preserve">Section 4.09. </w:t>
      </w:r>
      <w:r>
        <w:rPr>
          <w:rFonts w:ascii="Times New Roman" w:cs="Times New Roman" w:eastAsia="Times New Roman" w:hAnsi="Times New Roman"/>
          <w:sz w:val="22"/>
          <w:szCs w:val="22"/>
          <w:u w:val="single" w:color="auto"/>
          <w:color w:val="000000"/>
        </w:rPr>
        <w:t>Special Meetings</w:t>
      </w:r>
      <w:r>
        <w:rPr>
          <w:rFonts w:ascii="Times New Roman" w:cs="Times New Roman" w:eastAsia="Times New Roman" w:hAnsi="Times New Roman"/>
          <w:sz w:val="22"/>
          <w:szCs w:val="22"/>
          <w:color w:val="000000"/>
        </w:rPr>
        <w:t>.--Special meetings of the board of directors shall be held whenever called by the chairman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by two or more of the directors.</w:t>
      </w:r>
    </w:p>
    <w:p>
      <w:pPr>
        <w:spacing w:after="0" w:line="27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4.10.</w:t>
      </w:r>
      <w:r>
        <w:rPr>
          <w:sz w:val="20"/>
          <w:szCs w:val="20"/>
          <w:color w:val="auto"/>
        </w:rPr>
        <w:tab/>
      </w:r>
      <w:r>
        <w:rPr>
          <w:rFonts w:ascii="Times New Roman" w:cs="Times New Roman" w:eastAsia="Times New Roman" w:hAnsi="Times New Roman"/>
          <w:sz w:val="21"/>
          <w:szCs w:val="21"/>
          <w:u w:val="single" w:color="auto"/>
          <w:color w:val="auto"/>
        </w:rPr>
        <w:t>Quorum of and Action by Directors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76" w:lineRule="auto"/>
        <w:tabs>
          <w:tab w:leader="none" w:pos="1082"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.--A majority of the directors in office of the corporation shall be necessary to constitute a quorum for the transaction of business and the acts of a majority of the directors present and voting at a meeting at which a quorum is present shall be the acts of the board of directors.</w:t>
      </w:r>
    </w:p>
    <w:p>
      <w:pPr>
        <w:spacing w:after="0" w:line="302"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121"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.--Any action required or permitted to be taken at a meeting of the directors may be taken without a meeting if, prior or subsequent to the action, a consent or consents thereto by all of the directors in office is filed with the secretary of the corporation.</w:t>
      </w:r>
    </w:p>
    <w:p>
      <w:pPr>
        <w:spacing w:after="0" w:line="30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4.11.</w:t>
      </w:r>
      <w:r>
        <w:rPr>
          <w:sz w:val="20"/>
          <w:szCs w:val="20"/>
          <w:color w:val="auto"/>
        </w:rPr>
        <w:tab/>
      </w:r>
      <w:r>
        <w:rPr>
          <w:rFonts w:ascii="Times New Roman" w:cs="Times New Roman" w:eastAsia="Times New Roman" w:hAnsi="Times New Roman"/>
          <w:sz w:val="21"/>
          <w:szCs w:val="21"/>
          <w:u w:val="single" w:color="auto"/>
          <w:color w:val="auto"/>
        </w:rPr>
        <w:t>Executive and other Committees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76" w:lineRule="auto"/>
        <w:tabs>
          <w:tab w:leader="none" w:pos="1095"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Establishment and Powers</w:t>
      </w:r>
      <w:r>
        <w:rPr>
          <w:rFonts w:ascii="Times New Roman" w:cs="Times New Roman" w:eastAsia="Times New Roman" w:hAnsi="Times New Roman"/>
          <w:sz w:val="22"/>
          <w:szCs w:val="22"/>
          <w:color w:val="auto"/>
        </w:rPr>
        <w:t>.--The board of directors may, by resolution adopted by a majority of the directors in office, establish one or more committees to consist of one or more directors of the corporation. Any committee, to the extent provided in the resolution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841" w:right="239" w:bottom="1440" w:gutter="0" w:footer="0" w:header="0"/>
        </w:sectPr>
      </w:pPr>
    </w:p>
    <w:bookmarkStart w:id="51" w:name="page52"/>
    <w:bookmarkEnd w:id="51"/>
    <w:p>
      <w:pPr>
        <w:spacing w:after="0" w:line="284" w:lineRule="auto"/>
        <w:rPr>
          <w:sz w:val="20"/>
          <w:szCs w:val="20"/>
          <w:color w:val="auto"/>
        </w:rPr>
      </w:pPr>
      <w:r>
        <w:rPr>
          <w:rFonts w:ascii="Times New Roman" w:cs="Times New Roman" w:eastAsia="Times New Roman" w:hAnsi="Times New Roman"/>
          <w:sz w:val="22"/>
          <w:szCs w:val="22"/>
          <w:color w:val="auto"/>
        </w:rPr>
        <w:t>of the board of directors, shall have and may exercise all of the powers and authority of the board of directors except that a committee shall not have any power or authority as to the following:</w:t>
      </w:r>
    </w:p>
    <w:p>
      <w:pPr>
        <w:spacing w:after="0" w:line="293" w:lineRule="exact"/>
        <w:rPr>
          <w:sz w:val="20"/>
          <w:szCs w:val="20"/>
          <w:color w:val="auto"/>
        </w:rPr>
      </w:pPr>
    </w:p>
    <w:p>
      <w:pPr>
        <w:ind w:left="660" w:firstLine="645"/>
        <w:spacing w:after="0" w:line="297" w:lineRule="auto"/>
        <w:tabs>
          <w:tab w:leader="none" w:pos="1983"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submission to shareholders of any action requiring approval of shareholders under the Business Corporation Law.</w:t>
      </w:r>
    </w:p>
    <w:p>
      <w:pPr>
        <w:spacing w:after="0" w:line="278" w:lineRule="exact"/>
        <w:rPr>
          <w:rFonts w:ascii="Times New Roman" w:cs="Times New Roman" w:eastAsia="Times New Roman" w:hAnsi="Times New Roman"/>
          <w:sz w:val="22"/>
          <w:szCs w:val="22"/>
          <w:color w:val="010000"/>
        </w:rPr>
      </w:pPr>
    </w:p>
    <w:p>
      <w:pPr>
        <w:ind w:left="1740" w:hanging="435"/>
        <w:spacing w:after="0"/>
        <w:tabs>
          <w:tab w:leader="none" w:pos="1740"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creation or filling of vacancies in the board of directors.</w:t>
      </w:r>
    </w:p>
    <w:p>
      <w:pPr>
        <w:spacing w:after="0" w:line="381" w:lineRule="exact"/>
        <w:rPr>
          <w:rFonts w:ascii="Times New Roman" w:cs="Times New Roman" w:eastAsia="Times New Roman" w:hAnsi="Times New Roman"/>
          <w:sz w:val="22"/>
          <w:szCs w:val="22"/>
          <w:color w:val="010000"/>
        </w:rPr>
      </w:pPr>
    </w:p>
    <w:p>
      <w:pPr>
        <w:ind w:left="1740" w:hanging="435"/>
        <w:spacing w:after="0"/>
        <w:tabs>
          <w:tab w:leader="none" w:pos="1740"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adoption, amendment or repeal of these bylaws.</w:t>
      </w:r>
    </w:p>
    <w:p>
      <w:pPr>
        <w:spacing w:after="0" w:line="381" w:lineRule="exact"/>
        <w:rPr>
          <w:rFonts w:ascii="Times New Roman" w:cs="Times New Roman" w:eastAsia="Times New Roman" w:hAnsi="Times New Roman"/>
          <w:sz w:val="22"/>
          <w:szCs w:val="22"/>
          <w:color w:val="010000"/>
        </w:rPr>
      </w:pPr>
    </w:p>
    <w:p>
      <w:pPr>
        <w:ind w:left="1740" w:hanging="435"/>
        <w:spacing w:after="0"/>
        <w:tabs>
          <w:tab w:leader="none" w:pos="1740" w:val="left"/>
        </w:tabs>
        <w:numPr>
          <w:ilvl w:val="1"/>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amendment or repeal of any resolution of the board that by its terms is amendable or repealable only by the</w:t>
      </w:r>
    </w:p>
    <w:p>
      <w:pPr>
        <w:spacing w:after="0" w:line="42" w:lineRule="exact"/>
        <w:rPr>
          <w:rFonts w:ascii="Times New Roman" w:cs="Times New Roman" w:eastAsia="Times New Roman" w:hAnsi="Times New Roman"/>
          <w:sz w:val="21"/>
          <w:szCs w:val="21"/>
          <w:color w:val="010000"/>
        </w:rPr>
      </w:pP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board.</w:t>
      </w:r>
    </w:p>
    <w:p>
      <w:pPr>
        <w:spacing w:after="0" w:line="368" w:lineRule="exact"/>
        <w:rPr>
          <w:rFonts w:ascii="Times New Roman" w:cs="Times New Roman" w:eastAsia="Times New Roman" w:hAnsi="Times New Roman"/>
          <w:sz w:val="21"/>
          <w:szCs w:val="21"/>
          <w:color w:val="010000"/>
        </w:rPr>
      </w:pPr>
    </w:p>
    <w:p>
      <w:pPr>
        <w:ind w:left="1740" w:hanging="435"/>
        <w:spacing w:after="0"/>
        <w:tabs>
          <w:tab w:leader="none" w:pos="1740"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Action on matters committed by a resolution of the board of directors to another committee of the board.</w:t>
      </w:r>
    </w:p>
    <w:p>
      <w:pPr>
        <w:spacing w:after="0" w:line="381" w:lineRule="exact"/>
        <w:rPr>
          <w:rFonts w:ascii="Times New Roman" w:cs="Times New Roman" w:eastAsia="Times New Roman" w:hAnsi="Times New Roman"/>
          <w:sz w:val="22"/>
          <w:szCs w:val="22"/>
          <w:color w:val="010000"/>
        </w:rPr>
      </w:pPr>
    </w:p>
    <w:p>
      <w:pPr>
        <w:jc w:val="both"/>
        <w:ind w:firstLine="656"/>
        <w:spacing w:after="0" w:line="266" w:lineRule="auto"/>
        <w:tabs>
          <w:tab w:leader="none" w:pos="1269"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Alternate Committee Members</w:t>
      </w:r>
      <w:r>
        <w:rPr>
          <w:rFonts w:ascii="Times New Roman" w:cs="Times New Roman" w:eastAsia="Times New Roman" w:hAnsi="Times New Roman"/>
          <w:sz w:val="22"/>
          <w:szCs w:val="22"/>
          <w:color w:val="auto"/>
        </w:rPr>
        <w:t>.--The board may designate one or more directors as alternate members of any committee who may replace any absent or disqualified member at any meeting of the committee or for the purposes of any written action by the committee. In the absence or disqualification of a member and alternate member or members of a committee, the member or members thereof present at any meeting and not disqualified from voting, whether or not constituting a quorum, may unanimously appoint another director to act at the meeting in the place of the absent or disqualified member.</w:t>
      </w:r>
    </w:p>
    <w:p>
      <w:pPr>
        <w:spacing w:after="0" w:line="313" w:lineRule="exact"/>
        <w:rPr>
          <w:rFonts w:ascii="Times New Roman" w:cs="Times New Roman" w:eastAsia="Times New Roman" w:hAnsi="Times New Roman"/>
          <w:sz w:val="22"/>
          <w:szCs w:val="22"/>
          <w:color w:val="010000"/>
        </w:rPr>
      </w:pPr>
    </w:p>
    <w:p>
      <w:pPr>
        <w:ind w:left="1080" w:hanging="424"/>
        <w:spacing w:after="0"/>
        <w:tabs>
          <w:tab w:leader="none" w:pos="1080"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.--Each committee of the board shall serve at the pleasure of the board.</w:t>
      </w:r>
    </w:p>
    <w:p>
      <w:pPr>
        <w:spacing w:after="0" w:line="381"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080"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Committee Procedures</w:t>
      </w:r>
      <w:r>
        <w:rPr>
          <w:rFonts w:ascii="Times New Roman" w:cs="Times New Roman" w:eastAsia="Times New Roman" w:hAnsi="Times New Roman"/>
          <w:sz w:val="22"/>
          <w:szCs w:val="22"/>
          <w:color w:val="auto"/>
        </w:rPr>
        <w:t>.--The term “board of directors” or “board,” when used in any provision of these bylaws relating to the organization or procedures of or the manner of taking action by the board of directors, shall be construed to include and refer to any executive or other committee of the board.</w:t>
      </w:r>
    </w:p>
    <w:p>
      <w:pPr>
        <w:spacing w:after="0" w:line="302"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22"/>
          <w:szCs w:val="22"/>
          <w:color w:val="010000"/>
        </w:rPr>
        <w:t xml:space="preserve">Section 4.12. </w:t>
      </w:r>
      <w:r>
        <w:rPr>
          <w:rFonts w:ascii="Times New Roman" w:cs="Times New Roman" w:eastAsia="Times New Roman" w:hAnsi="Times New Roman"/>
          <w:sz w:val="22"/>
          <w:szCs w:val="22"/>
          <w:u w:val="single" w:color="auto"/>
          <w:color w:val="000000"/>
        </w:rPr>
        <w:t>Compensation</w:t>
      </w:r>
      <w:r>
        <w:rPr>
          <w:rFonts w:ascii="Times New Roman" w:cs="Times New Roman" w:eastAsia="Times New Roman" w:hAnsi="Times New Roman"/>
          <w:sz w:val="22"/>
          <w:szCs w:val="22"/>
          <w:color w:val="000000"/>
        </w:rPr>
        <w:t>.--The board of directors shall have the authority to fix the compensation of directors for their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services as directors and a director may be a salaried officer of the corporation.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Officers</w:t>
      </w:r>
    </w:p>
    <w:p>
      <w:pPr>
        <w:spacing w:after="0" w:line="200" w:lineRule="exact"/>
        <w:rPr>
          <w:sz w:val="20"/>
          <w:szCs w:val="20"/>
          <w:color w:val="auto"/>
        </w:rPr>
      </w:pPr>
    </w:p>
    <w:p>
      <w:pPr>
        <w:spacing w:after="0" w:line="35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5.01.</w:t>
      </w:r>
      <w:r>
        <w:rPr>
          <w:sz w:val="20"/>
          <w:szCs w:val="20"/>
          <w:color w:val="auto"/>
        </w:rPr>
        <w:tab/>
      </w:r>
      <w:r>
        <w:rPr>
          <w:rFonts w:ascii="Times New Roman" w:cs="Times New Roman" w:eastAsia="Times New Roman" w:hAnsi="Times New Roman"/>
          <w:sz w:val="21"/>
          <w:szCs w:val="21"/>
          <w:u w:val="single" w:color="auto"/>
          <w:color w:val="auto"/>
        </w:rPr>
        <w:t>Officers Generally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841" w:right="239" w:bottom="1440" w:gutter="0" w:footer="0" w:header="0"/>
        </w:sectPr>
      </w:pPr>
    </w:p>
    <w:bookmarkStart w:id="52" w:name="page53"/>
    <w:bookmarkEnd w:id="52"/>
    <w:p>
      <w:pPr>
        <w:jc w:val="both"/>
        <w:ind w:firstLine="656"/>
        <w:spacing w:after="0" w:line="266" w:lineRule="auto"/>
        <w:tabs>
          <w:tab w:leader="none" w:pos="1109"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Number, Qualifications and Designation</w:t>
      </w:r>
      <w:r>
        <w:rPr>
          <w:rFonts w:ascii="Times New Roman" w:cs="Times New Roman" w:eastAsia="Times New Roman" w:hAnsi="Times New Roman"/>
          <w:sz w:val="22"/>
          <w:szCs w:val="22"/>
          <w:color w:val="auto"/>
        </w:rPr>
        <w:t>.--The officers of the corporation shall be a chief executive officer, president, one or more vice presidents, a secretary, a treasurer, and such other officers as may be elected in accordance with the provisions of Section 5.03. Officers may but need not be directors or shareholders of the corporation. The chief executive officer, president and secretary shall be natural persons of full age. The treasurer may be a corporation, but if a natural person shall be of full age. Any number of offices may be held by the same person.</w:t>
      </w:r>
    </w:p>
    <w:p>
      <w:pPr>
        <w:spacing w:after="0" w:line="313" w:lineRule="exact"/>
        <w:rPr>
          <w:rFonts w:ascii="Times New Roman" w:cs="Times New Roman" w:eastAsia="Times New Roman" w:hAnsi="Times New Roman"/>
          <w:sz w:val="22"/>
          <w:szCs w:val="22"/>
          <w:color w:val="010000"/>
        </w:rPr>
      </w:pPr>
    </w:p>
    <w:p>
      <w:pPr>
        <w:ind w:left="1080" w:hanging="424"/>
        <w:spacing w:after="0"/>
        <w:tabs>
          <w:tab w:leader="none" w:pos="1080"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Bonding</w:t>
      </w:r>
      <w:r>
        <w:rPr>
          <w:rFonts w:ascii="Times New Roman" w:cs="Times New Roman" w:eastAsia="Times New Roman" w:hAnsi="Times New Roman"/>
          <w:sz w:val="22"/>
          <w:szCs w:val="22"/>
          <w:color w:val="auto"/>
        </w:rPr>
        <w:t>.--The corporation may secure the fidelity of any or all of its officers by bond or otherwise.</w:t>
      </w:r>
    </w:p>
    <w:p>
      <w:pPr>
        <w:spacing w:after="0" w:line="381" w:lineRule="exact"/>
        <w:rPr>
          <w:rFonts w:ascii="Times New Roman" w:cs="Times New Roman" w:eastAsia="Times New Roman" w:hAnsi="Times New Roman"/>
          <w:sz w:val="22"/>
          <w:szCs w:val="22"/>
          <w:color w:val="010000"/>
        </w:rPr>
      </w:pPr>
    </w:p>
    <w:p>
      <w:pPr>
        <w:jc w:val="both"/>
        <w:ind w:firstLine="656"/>
        <w:spacing w:after="0" w:line="261" w:lineRule="auto"/>
        <w:tabs>
          <w:tab w:leader="none" w:pos="1122"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Standard of Care</w:t>
      </w:r>
      <w:r>
        <w:rPr>
          <w:rFonts w:ascii="Times New Roman" w:cs="Times New Roman" w:eastAsia="Times New Roman" w:hAnsi="Times New Roman"/>
          <w:sz w:val="22"/>
          <w:szCs w:val="22"/>
          <w:color w:val="auto"/>
        </w:rPr>
        <w:t>.--In lieu of the standards of conduct otherwise provided by law, officers of the corporation shall be subject to the same standards of conduct, including standards of care and loyalty and rights of justifiable reliance, as shall at the time be applicable to directors of the corporation. An officer of the corporation shall not be personally liable, as such, to the corporation or its shareholders for monetary damages (including, without limitation, any judgment, amount paid in settlement, penalty, punitive damages or expense of any nature (including, without limitation, attorneys’ fees and disbursements)) for any action taken, or any failure to take any action, unless the officer has breached or failed to perform the duties of his or her office under the articles of incorporation, these bylaws, or the applicable provisions of law and the breach or failure to perform constitutes self-dealing, willful misconduct or recklessness. The provisions of this subsection shall not apply to the responsibility or liability of an officer pursuant to any criminal statute or for the payment of taxes pursuant to local, state or federal law.</w:t>
      </w:r>
    </w:p>
    <w:p>
      <w:pPr>
        <w:spacing w:after="0" w:line="32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5.02.</w:t>
      </w:r>
      <w:r>
        <w:rPr>
          <w:sz w:val="20"/>
          <w:szCs w:val="20"/>
          <w:color w:val="auto"/>
        </w:rPr>
        <w:tab/>
      </w:r>
      <w:r>
        <w:rPr>
          <w:rFonts w:ascii="Times New Roman" w:cs="Times New Roman" w:eastAsia="Times New Roman" w:hAnsi="Times New Roman"/>
          <w:sz w:val="21"/>
          <w:szCs w:val="21"/>
          <w:u w:val="single" w:color="auto"/>
          <w:color w:val="auto"/>
        </w:rPr>
        <w:t>Election, Term of office and Resignations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76" w:lineRule="auto"/>
        <w:tabs>
          <w:tab w:leader="none" w:pos="1109"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Election and Term of office</w:t>
      </w:r>
      <w:r>
        <w:rPr>
          <w:rFonts w:ascii="Times New Roman" w:cs="Times New Roman" w:eastAsia="Times New Roman" w:hAnsi="Times New Roman"/>
          <w:sz w:val="22"/>
          <w:szCs w:val="22"/>
          <w:color w:val="auto"/>
        </w:rPr>
        <w:t>.--The officers of the corporation, except those elected by delegated authority pursuant to section 5.03, shall be elected annually by the board of directors, and each such officer shall hold office for a term of one year and until a successor has been selected and qualified or until his or her earlier death, resignation or removal.</w:t>
      </w:r>
    </w:p>
    <w:p>
      <w:pPr>
        <w:spacing w:after="0" w:line="302" w:lineRule="exact"/>
        <w:rPr>
          <w:rFonts w:ascii="Times New Roman" w:cs="Times New Roman" w:eastAsia="Times New Roman" w:hAnsi="Times New Roman"/>
          <w:sz w:val="22"/>
          <w:szCs w:val="22"/>
          <w:color w:val="010000"/>
        </w:rPr>
      </w:pPr>
    </w:p>
    <w:p>
      <w:pPr>
        <w:ind w:firstLine="656"/>
        <w:spacing w:after="0" w:line="297" w:lineRule="auto"/>
        <w:tabs>
          <w:tab w:leader="none" w:pos="1175"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.--Any officer may resign at any time upon written notice to the corporation. The resignation shall be effective upon receipt thereof by the corporation or at such subsequent time as may be specified in the notice of resignation</w:t>
      </w:r>
    </w:p>
    <w:p>
      <w:pPr>
        <w:spacing w:after="0" w:line="27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010000"/>
        </w:rPr>
        <w:t xml:space="preserve">Section 5.03. </w:t>
      </w:r>
      <w:r>
        <w:rPr>
          <w:rFonts w:ascii="Times New Roman" w:cs="Times New Roman" w:eastAsia="Times New Roman" w:hAnsi="Times New Roman"/>
          <w:sz w:val="22"/>
          <w:szCs w:val="22"/>
          <w:u w:val="single" w:color="auto"/>
          <w:color w:val="000000"/>
        </w:rPr>
        <w:t>Subordinate Officers, Committees and Agents</w:t>
      </w:r>
      <w:r>
        <w:rPr>
          <w:rFonts w:ascii="Times New Roman" w:cs="Times New Roman" w:eastAsia="Times New Roman" w:hAnsi="Times New Roman"/>
          <w:sz w:val="22"/>
          <w:szCs w:val="22"/>
          <w:color w:val="000000"/>
        </w:rPr>
        <w:t>.--The board of directors may from time to time elect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 officers and appoint such committees, employees or other agents as the business of the corporation may require, including one or more assistant secretaries, and one or more assistant treasurers, each of whom shall hold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841" w:right="239" w:bottom="1440" w:gutter="0" w:footer="0" w:header="0"/>
        </w:sectPr>
      </w:pPr>
    </w:p>
    <w:bookmarkStart w:id="53" w:name="page54"/>
    <w:bookmarkEnd w:id="53"/>
    <w:p>
      <w:pPr>
        <w:jc w:val="both"/>
        <w:spacing w:after="0" w:line="265" w:lineRule="auto"/>
        <w:rPr>
          <w:sz w:val="20"/>
          <w:szCs w:val="20"/>
          <w:color w:val="auto"/>
        </w:rPr>
      </w:pPr>
      <w:r>
        <w:rPr>
          <w:rFonts w:ascii="Times New Roman" w:cs="Times New Roman" w:eastAsia="Times New Roman" w:hAnsi="Times New Roman"/>
          <w:sz w:val="22"/>
          <w:szCs w:val="22"/>
          <w:color w:val="auto"/>
        </w:rPr>
        <w:t>office for such period, have such authority, and perform such duties as are provided in these bylaws, or as the board of directors may from time to time 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w:t>
      </w:r>
    </w:p>
    <w:p>
      <w:pPr>
        <w:spacing w:after="0" w:line="31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010000"/>
        </w:rPr>
        <w:t xml:space="preserve">Section 5.04. </w:t>
      </w:r>
      <w:r>
        <w:rPr>
          <w:rFonts w:ascii="Times New Roman" w:cs="Times New Roman" w:eastAsia="Times New Roman" w:hAnsi="Times New Roman"/>
          <w:sz w:val="22"/>
          <w:szCs w:val="22"/>
          <w:u w:val="single" w:color="auto"/>
          <w:color w:val="000000"/>
        </w:rPr>
        <w:t>Removal of Officers and Agents</w:t>
      </w:r>
      <w:r>
        <w:rPr>
          <w:rFonts w:ascii="Times New Roman" w:cs="Times New Roman" w:eastAsia="Times New Roman" w:hAnsi="Times New Roman"/>
          <w:sz w:val="22"/>
          <w:szCs w:val="22"/>
          <w:color w:val="000000"/>
        </w:rPr>
        <w:t>.--Any officer or agent of the corporation may be removed by the board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directors with or without cause. The removal shall be without prejudice to the contract rights, if any, of any person so removed. Election or appointment of an officer or agent shall not of itself create contract rights.</w:t>
      </w:r>
    </w:p>
    <w:p>
      <w:pPr>
        <w:spacing w:after="0" w:line="3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010000"/>
        </w:rPr>
        <w:t xml:space="preserve">Section 5.05. </w:t>
      </w:r>
      <w:r>
        <w:rPr>
          <w:rFonts w:ascii="Times New Roman" w:cs="Times New Roman" w:eastAsia="Times New Roman" w:hAnsi="Times New Roman"/>
          <w:sz w:val="22"/>
          <w:szCs w:val="22"/>
          <w:u w:val="single" w:color="auto"/>
          <w:color w:val="000000"/>
        </w:rPr>
        <w:t>Vacancies</w:t>
      </w:r>
      <w:r>
        <w:rPr>
          <w:rFonts w:ascii="Times New Roman" w:cs="Times New Roman" w:eastAsia="Times New Roman" w:hAnsi="Times New Roman"/>
          <w:sz w:val="22"/>
          <w:szCs w:val="22"/>
          <w:color w:val="000000"/>
        </w:rPr>
        <w:t>.--A vacancy in any office because of death, resignation, removal, disqualification, or any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cause, may be filled by the board of directors or by the officer or committee to which the power to fill such office has been delegated pursuant to section 5.03, as the case may be, and if the office is one for which these bylaws prescribe a term, shall be filled for the unexpired portion of the term.</w:t>
      </w:r>
    </w:p>
    <w:p>
      <w:pPr>
        <w:spacing w:after="0" w:line="31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010000"/>
        </w:rPr>
        <w:t xml:space="preserve">Section 5.06. </w:t>
      </w:r>
      <w:r>
        <w:rPr>
          <w:rFonts w:ascii="Times New Roman" w:cs="Times New Roman" w:eastAsia="Times New Roman" w:hAnsi="Times New Roman"/>
          <w:sz w:val="22"/>
          <w:szCs w:val="22"/>
          <w:u w:val="single" w:color="auto"/>
          <w:color w:val="000000"/>
        </w:rPr>
        <w:t>Authority</w:t>
      </w:r>
      <w:r>
        <w:rPr>
          <w:rFonts w:ascii="Times New Roman" w:cs="Times New Roman" w:eastAsia="Times New Roman" w:hAnsi="Times New Roman"/>
          <w:sz w:val="22"/>
          <w:szCs w:val="22"/>
          <w:color w:val="000000"/>
        </w:rPr>
        <w:t>.--All officers of the corporation, as between themselves and the corporation, shall have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authority and perform such duties in the management of the corporation as may be provided by or pursuant to resolutions or orders of the board of directors or, in the absence of controlling provisions in the resolutions or orders of the board of directors, as may be determined by or pursuant to these bylaws.</w:t>
      </w:r>
    </w:p>
    <w:p>
      <w:pPr>
        <w:spacing w:after="0" w:line="31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color w:val="010000"/>
        </w:rPr>
        <w:t xml:space="preserve">Section 5.07. </w:t>
      </w:r>
      <w:r>
        <w:rPr>
          <w:rFonts w:ascii="Times New Roman" w:cs="Times New Roman" w:eastAsia="Times New Roman" w:hAnsi="Times New Roman"/>
          <w:sz w:val="21"/>
          <w:szCs w:val="21"/>
          <w:u w:val="single" w:color="auto"/>
          <w:color w:val="000000"/>
        </w:rPr>
        <w:t>The Chief Executive Officer</w:t>
      </w:r>
      <w:r>
        <w:rPr>
          <w:rFonts w:ascii="Times New Roman" w:cs="Times New Roman" w:eastAsia="Times New Roman" w:hAnsi="Times New Roman"/>
          <w:sz w:val="21"/>
          <w:szCs w:val="21"/>
          <w:color w:val="000000"/>
        </w:rPr>
        <w:t>.--The chief executive officer shall have general supervision over the affairs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corporation, shall perform such other duties as may from time to time be requested by the board of directors, and, subject to the policies and directives of the board of directors, shall supervise and direct all officers and employees of the corporation, but may delegate in his discretion any of his powers as chief executive officer to any officer or such other executives as he may designate.</w:t>
      </w:r>
    </w:p>
    <w:p>
      <w:pPr>
        <w:spacing w:after="0" w:line="29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010000"/>
        </w:rPr>
        <w:t xml:space="preserve">Section 5.08. </w:t>
      </w:r>
      <w:r>
        <w:rPr>
          <w:rFonts w:ascii="Times New Roman" w:cs="Times New Roman" w:eastAsia="Times New Roman" w:hAnsi="Times New Roman"/>
          <w:sz w:val="22"/>
          <w:szCs w:val="22"/>
          <w:u w:val="single" w:color="auto"/>
          <w:color w:val="000000"/>
        </w:rPr>
        <w:t>The President</w:t>
      </w:r>
      <w:r>
        <w:rPr>
          <w:rFonts w:ascii="Times New Roman" w:cs="Times New Roman" w:eastAsia="Times New Roman" w:hAnsi="Times New Roman"/>
          <w:sz w:val="22"/>
          <w:szCs w:val="22"/>
          <w:color w:val="000000"/>
        </w:rPr>
        <w:t>.--The president shall be the chief operating officer of the corporation and shall perform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 duties as may, from time to time be requested by the board of directors, the chairman of the board, or the chief executive officer. As chief operating officer, he shall have general supervision over the operations of the corporation, subject however, to the supervision and control of the board of directors, and the chief executive officer, and shall supervise and direct all operating officers and employees of the corporation, but may delegate in his discretion any of his powers as chief operating officer to any officer or such other executives as he may designate.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841" w:right="239" w:bottom="1440" w:gutter="0" w:footer="0" w:header="0"/>
        </w:sectPr>
      </w:pPr>
    </w:p>
    <w:bookmarkStart w:id="54" w:name="page55"/>
    <w:bookmarkEnd w:id="54"/>
    <w:p>
      <w:pPr>
        <w:jc w:val="both"/>
        <w:ind w:firstLine="648"/>
        <w:spacing w:after="0" w:line="269" w:lineRule="auto"/>
        <w:rPr>
          <w:sz w:val="20"/>
          <w:szCs w:val="20"/>
          <w:color w:val="auto"/>
        </w:rPr>
      </w:pPr>
      <w:r>
        <w:rPr>
          <w:rFonts w:ascii="Times New Roman" w:cs="Times New Roman" w:eastAsia="Times New Roman" w:hAnsi="Times New Roman"/>
          <w:sz w:val="22"/>
          <w:szCs w:val="22"/>
          <w:color w:val="010000"/>
        </w:rPr>
        <w:t xml:space="preserve">Section 5.09. </w:t>
      </w:r>
      <w:r>
        <w:rPr>
          <w:rFonts w:ascii="Times New Roman" w:cs="Times New Roman" w:eastAsia="Times New Roman" w:hAnsi="Times New Roman"/>
          <w:sz w:val="22"/>
          <w:szCs w:val="22"/>
          <w:u w:val="single" w:color="auto"/>
          <w:color w:val="000000"/>
        </w:rPr>
        <w:t>Execution of Documents</w:t>
      </w:r>
      <w:r>
        <w:rPr>
          <w:rFonts w:ascii="Times New Roman" w:cs="Times New Roman" w:eastAsia="Times New Roman" w:hAnsi="Times New Roman"/>
          <w:sz w:val="22"/>
          <w:szCs w:val="22"/>
          <w:color w:val="000000"/>
        </w:rPr>
        <w:t>. Either the chief executive officer or the president shall sign, execute,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acknowledge, in the name of the corporation, deeds, mortgages, bonds, contracts or other instruments, except in cases where required or permitted by law to be otherwise signed and executed and in cases where the signing and execution thereof shall be expressly delegated by the board of directors, or by these bylaws, to some other officer or agent of the corporation.</w:t>
      </w:r>
    </w:p>
    <w:p>
      <w:pPr>
        <w:spacing w:after="0" w:line="31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010000"/>
        </w:rPr>
        <w:t xml:space="preserve">Section 5.10. </w:t>
      </w:r>
      <w:r>
        <w:rPr>
          <w:rFonts w:ascii="Times New Roman" w:cs="Times New Roman" w:eastAsia="Times New Roman" w:hAnsi="Times New Roman"/>
          <w:sz w:val="22"/>
          <w:szCs w:val="22"/>
          <w:u w:val="single" w:color="auto"/>
          <w:color w:val="000000"/>
        </w:rPr>
        <w:t>The Vice President</w:t>
      </w:r>
      <w:r>
        <w:rPr>
          <w:rFonts w:ascii="Times New Roman" w:cs="Times New Roman" w:eastAsia="Times New Roman" w:hAnsi="Times New Roman"/>
          <w:sz w:val="22"/>
          <w:szCs w:val="22"/>
          <w:color w:val="000000"/>
        </w:rPr>
        <w:t>.--The vice presidents shall perform the duties of the president in the absence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president and such other duties as may from time to time be assigned to them by the board of directors, the chief executive officer or the president.</w:t>
      </w:r>
    </w:p>
    <w:p>
      <w:pPr>
        <w:spacing w:after="0" w:line="3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5.11. </w:t>
      </w:r>
      <w:r>
        <w:rPr>
          <w:rFonts w:ascii="Times New Roman" w:cs="Times New Roman" w:eastAsia="Times New Roman" w:hAnsi="Times New Roman"/>
          <w:sz w:val="22"/>
          <w:szCs w:val="22"/>
          <w:u w:val="single" w:color="auto"/>
          <w:color w:val="000000"/>
        </w:rPr>
        <w:t>The Secretary</w:t>
      </w:r>
      <w:r>
        <w:rPr>
          <w:rFonts w:ascii="Times New Roman" w:cs="Times New Roman" w:eastAsia="Times New Roman" w:hAnsi="Times New Roman"/>
          <w:sz w:val="22"/>
          <w:szCs w:val="22"/>
          <w:color w:val="000000"/>
        </w:rPr>
        <w:t>.--The secretary or an assistant secretary shall attend all meetings of the shareholders and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board of directors and all committees thereof and shall record all the votes of the shareholders and of the directors and the minutes of the meetings of the shareholders and of the board of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the chief executive officer or the president.</w:t>
      </w:r>
    </w:p>
    <w:p>
      <w:pPr>
        <w:spacing w:after="0" w:line="315"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1"/>
          <w:szCs w:val="21"/>
          <w:color w:val="010000"/>
        </w:rPr>
        <w:t xml:space="preserve">Section 5.12. </w:t>
      </w:r>
      <w:r>
        <w:rPr>
          <w:rFonts w:ascii="Times New Roman" w:cs="Times New Roman" w:eastAsia="Times New Roman" w:hAnsi="Times New Roman"/>
          <w:sz w:val="21"/>
          <w:szCs w:val="21"/>
          <w:u w:val="single" w:color="auto"/>
          <w:color w:val="000000"/>
        </w:rPr>
        <w:t>The Treasurer</w:t>
      </w:r>
      <w:r>
        <w:rPr>
          <w:rFonts w:ascii="Times New Roman" w:cs="Times New Roman" w:eastAsia="Times New Roman" w:hAnsi="Times New Roman"/>
          <w:sz w:val="21"/>
          <w:szCs w:val="21"/>
          <w:color w:val="000000"/>
        </w:rPr>
        <w:t>.--The treasurer or an assistant treasurer shall have or provide for the custody of the funds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other property of the corporation; shall collect and receive or provide for the collection and receipt of moneys earned by or in any manner due to or received by the corporation; shall deposit all funds in his or her custody as treasurer in such banks or other places of deposit as the board of directors may from time to time designate; shall, whenever so required by the board of directors, render an account showing all transactions as treasurer, and the financial condition of the corporation; and, in general, shall discharge such other duties as may from time to time be assigned by the board of directors, the chief executive officer or the president.</w:t>
      </w:r>
    </w:p>
    <w:p>
      <w:pPr>
        <w:spacing w:after="0" w:line="30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010000"/>
        </w:rPr>
        <w:t xml:space="preserve">Section 5.13. </w:t>
      </w:r>
      <w:r>
        <w:rPr>
          <w:rFonts w:ascii="Times New Roman" w:cs="Times New Roman" w:eastAsia="Times New Roman" w:hAnsi="Times New Roman"/>
          <w:sz w:val="22"/>
          <w:szCs w:val="22"/>
          <w:u w:val="single" w:color="auto"/>
          <w:color w:val="000000"/>
        </w:rPr>
        <w:t>Salaries</w:t>
      </w:r>
      <w:r>
        <w:rPr>
          <w:rFonts w:ascii="Times New Roman" w:cs="Times New Roman" w:eastAsia="Times New Roman" w:hAnsi="Times New Roman"/>
          <w:sz w:val="22"/>
          <w:szCs w:val="22"/>
          <w:color w:val="000000"/>
        </w:rPr>
        <w:t>.--The salaries of the officers elected by the board of directors shall be fixed from time to time by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board of directors or by such officer as may be designated by resolution of the board. The salaries or other compensation of any other officers, employees and other agents shall be fixed from time to time by the officer or committee to which the power to elect such officers or to retain or appoint such employees or other agents has been delegated pursuant to Section 5.03. No officer shall be prevented from receiving such salary or other compensation by reason of the fact that the officer is also a director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841" w:right="239" w:bottom="1440" w:gutter="0" w:footer="0" w:header="0"/>
        </w:sectPr>
      </w:pPr>
    </w:p>
    <w:bookmarkStart w:id="55" w:name="page56"/>
    <w:bookmarkEnd w:id="55"/>
    <w:p>
      <w:pPr>
        <w:jc w:val="both"/>
        <w:ind w:firstLine="648"/>
        <w:spacing w:after="0" w:line="269" w:lineRule="auto"/>
        <w:rPr>
          <w:sz w:val="20"/>
          <w:szCs w:val="20"/>
          <w:color w:val="auto"/>
        </w:rPr>
      </w:pPr>
      <w:r>
        <w:rPr>
          <w:rFonts w:ascii="Times New Roman" w:cs="Times New Roman" w:eastAsia="Times New Roman" w:hAnsi="Times New Roman"/>
          <w:sz w:val="22"/>
          <w:szCs w:val="22"/>
          <w:color w:val="010000"/>
        </w:rPr>
        <w:t xml:space="preserve">Section 5.14. </w:t>
      </w:r>
      <w:r>
        <w:rPr>
          <w:rFonts w:ascii="Times New Roman" w:cs="Times New Roman" w:eastAsia="Times New Roman" w:hAnsi="Times New Roman"/>
          <w:sz w:val="22"/>
          <w:szCs w:val="22"/>
          <w:u w:val="single" w:color="auto"/>
          <w:color w:val="000000"/>
        </w:rPr>
        <w:t>Authority</w:t>
      </w:r>
      <w:r>
        <w:rPr>
          <w:rFonts w:ascii="Times New Roman" w:cs="Times New Roman" w:eastAsia="Times New Roman" w:hAnsi="Times New Roman"/>
          <w:sz w:val="22"/>
          <w:szCs w:val="22"/>
          <w:color w:val="000000"/>
        </w:rPr>
        <w:t>.--All officers of the corporation, as between themselves and the corporation, shall have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authority and perform such duties in the management of the corporation as may be provided by or pursuant to resolutions or orders of the board of directors or, in the absence of controlling provisions in the resolutions or orders of the board of directors, as may be determined by or pursuant to these bylaws.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Certificates of Stock, Transfer, Etc.</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6.01.</w:t>
      </w:r>
      <w:r>
        <w:rPr>
          <w:sz w:val="20"/>
          <w:szCs w:val="20"/>
          <w:color w:val="auto"/>
        </w:rPr>
        <w:tab/>
      </w:r>
      <w:r>
        <w:rPr>
          <w:rFonts w:ascii="Times New Roman" w:cs="Times New Roman" w:eastAsia="Times New Roman" w:hAnsi="Times New Roman"/>
          <w:sz w:val="21"/>
          <w:szCs w:val="21"/>
          <w:u w:val="single" w:color="auto"/>
          <w:color w:val="auto"/>
        </w:rPr>
        <w:t>Share Certificates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58" w:lineRule="auto"/>
        <w:tabs>
          <w:tab w:leader="none" w:pos="1284"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Form of Certificates</w:t>
      </w:r>
      <w:r>
        <w:rPr>
          <w:rFonts w:ascii="Times New Roman" w:cs="Times New Roman" w:eastAsia="Times New Roman" w:hAnsi="Times New Roman"/>
          <w:sz w:val="22"/>
          <w:szCs w:val="22"/>
          <w:color w:val="auto"/>
        </w:rPr>
        <w:t>. Shares of the corporation’s capital stock may be represented by certificates or may be uncertificated, to the extent determined by the board of directors. To the extent they are issued, certificates of stock shall be issued in numerical order, registered in the share register or transfer books of the corporation as they are issued, and shall be signed by the chief executive officer, the President or a Vice President, and the Secretary or the Treasurer, or in such other manner as the corporation may determine, and may be sealed with the seal of the corporation or a facsimile thereof. The signatures of such officers may be facsimiles if the certificate is manually signed on behalf of a transfer agent, or registered by a registrar, other than the corporation it self or an employee of the corporation. If an officer who has signed or whose facsimile signature has been placed upon such certificate ceases to be an officer before the certificate is issued, it may be issued by the corporation with the same effect as if the person were an officer on the date of issue. Each certificate of stock shall state: (i) that the corporation is incorporated under the laws of the Commonwealth of Pennsylvania; (ii) the name of the person to whom issued; (iii) the number and class of shares and the designation of the series, if any, which such certificate represents; and (iv) the par value of each share represented by such certificate, or a statement that such shares are without par value. If the corporation is authorized to issue shares of more than one class or series, certificates for shares of the corporation, if any,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841" w:right="239" w:bottom="1440" w:gutter="0" w:footer="0" w:header="0"/>
        </w:sectPr>
      </w:pPr>
    </w:p>
    <w:bookmarkStart w:id="56" w:name="page57"/>
    <w:bookmarkEnd w:id="56"/>
    <w:p>
      <w:pPr>
        <w:ind w:firstLine="656"/>
        <w:spacing w:after="0" w:line="297" w:lineRule="auto"/>
        <w:tabs>
          <w:tab w:leader="none" w:pos="1080"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Share Register</w:t>
      </w:r>
      <w:r>
        <w:rPr>
          <w:rFonts w:ascii="Times New Roman" w:cs="Times New Roman" w:eastAsia="Times New Roman" w:hAnsi="Times New Roman"/>
          <w:sz w:val="22"/>
          <w:szCs w:val="22"/>
          <w:color w:val="auto"/>
        </w:rPr>
        <w:t>. The share register or transfer books and blank share certificates, if any, shall be kept by the secretary or by any transfer agent or registrar designated by the board of directors for that purpose.</w:t>
      </w:r>
    </w:p>
    <w:p>
      <w:pPr>
        <w:spacing w:after="0" w:line="2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010000"/>
        </w:rPr>
        <w:t xml:space="preserve">Section 6.02. </w:t>
      </w:r>
      <w:r>
        <w:rPr>
          <w:rFonts w:ascii="Times New Roman" w:cs="Times New Roman" w:eastAsia="Times New Roman" w:hAnsi="Times New Roman"/>
          <w:sz w:val="22"/>
          <w:szCs w:val="22"/>
          <w:u w:val="single" w:color="auto"/>
          <w:color w:val="000000"/>
        </w:rPr>
        <w:t>Transfer</w:t>
      </w:r>
      <w:r>
        <w:rPr>
          <w:rFonts w:ascii="Times New Roman" w:cs="Times New Roman" w:eastAsia="Times New Roman" w:hAnsi="Times New Roman"/>
          <w:sz w:val="22"/>
          <w:szCs w:val="22"/>
          <w:color w:val="000000"/>
        </w:rPr>
        <w:t>. Transfers of shares shall be made on the share register or transfer books of the corporation. Stock</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certificates, if any, shall be surrendered and endorsed by the person named in the certificate or by an attorney lawfully constituted in writing. No transfer shall be made inconsistent with the provisions of the Uniform Commercial Code, 13 Pa.C.S. § 8101 </w:t>
      </w:r>
      <w:r>
        <w:rPr>
          <w:rFonts w:ascii="Times New Roman" w:cs="Times New Roman" w:eastAsia="Times New Roman" w:hAnsi="Times New Roman"/>
          <w:sz w:val="22"/>
          <w:szCs w:val="22"/>
          <w:u w:val="single" w:color="auto"/>
          <w:color w:val="000000"/>
        </w:rPr>
        <w:t>et seq</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w:t>
      </w:r>
      <w:r>
        <w:rPr>
          <w:rFonts w:ascii="Times New Roman" w:cs="Times New Roman" w:eastAsia="Times New Roman" w:hAnsi="Times New Roman"/>
          <w:sz w:val="22"/>
          <w:szCs w:val="22"/>
          <w:color w:val="000000"/>
        </w:rPr>
        <w:t xml:space="preserve"> and its amendments and supplements.</w:t>
      </w:r>
    </w:p>
    <w:p>
      <w:pPr>
        <w:spacing w:after="0" w:line="31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010000"/>
        </w:rPr>
        <w:t xml:space="preserve">Section 6.03. </w:t>
      </w:r>
      <w:r>
        <w:rPr>
          <w:rFonts w:ascii="Times New Roman" w:cs="Times New Roman" w:eastAsia="Times New Roman" w:hAnsi="Times New Roman"/>
          <w:sz w:val="22"/>
          <w:szCs w:val="22"/>
          <w:u w:val="single" w:color="auto"/>
          <w:color w:val="000000"/>
        </w:rPr>
        <w:t>Record Holder of Shares</w:t>
      </w:r>
      <w:r>
        <w:rPr>
          <w:rFonts w:ascii="Times New Roman" w:cs="Times New Roman" w:eastAsia="Times New Roman" w:hAnsi="Times New Roman"/>
          <w:sz w:val="22"/>
          <w:szCs w:val="22"/>
          <w:color w:val="000000"/>
        </w:rPr>
        <w:t>. The corporation shall be entitled to treat the person in whose name any share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shares of the corporation stand on the books of the corporation as the absolute owner thereof, and shall not be bound to recognize any equitable or other claim to, or interest in, such share or shares on the part of any other person.</w:t>
      </w:r>
    </w:p>
    <w:p>
      <w:pPr>
        <w:spacing w:after="0" w:line="30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010000"/>
        </w:rPr>
        <w:t xml:space="preserve">Section 6.04. </w:t>
      </w:r>
      <w:r>
        <w:rPr>
          <w:rFonts w:ascii="Times New Roman" w:cs="Times New Roman" w:eastAsia="Times New Roman" w:hAnsi="Times New Roman"/>
          <w:sz w:val="22"/>
          <w:szCs w:val="22"/>
          <w:u w:val="single" w:color="auto"/>
          <w:color w:val="000000"/>
        </w:rPr>
        <w:t>Lost, Destroyed or Mutilated Certificates</w:t>
      </w:r>
      <w:r>
        <w:rPr>
          <w:rFonts w:ascii="Times New Roman" w:cs="Times New Roman" w:eastAsia="Times New Roman" w:hAnsi="Times New Roman"/>
          <w:sz w:val="22"/>
          <w:szCs w:val="22"/>
          <w:color w:val="000000"/>
        </w:rPr>
        <w:t>. The holder of any certificate of shares of the corporation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immediately notify the corporation of any loss, destruction or mutilation of the certificate therefore, and the board of directors may, in its discretion, direct that the shares shall be uncertificated or cause a new certificate or certificates to be issued to such holder, in case of mutilation of the certificate, upon surrender of the mutilated certificate or, in case of loss or destruction of the certificate, upon satisfactory proof of such loss or destruction and, if the board of directors shall so determine, the deposit of a bond in such form and in such sum, and with such surety or sureties, as it may direct.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8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Indemnification of Directors, Officers and</w:t>
      </w:r>
    </w:p>
    <w:p>
      <w:pPr>
        <w:spacing w:after="0" w:line="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Other Authorized Representatives</w:t>
      </w: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7.01.</w:t>
      </w:r>
      <w:r>
        <w:rPr>
          <w:sz w:val="20"/>
          <w:szCs w:val="20"/>
          <w:color w:val="auto"/>
        </w:rPr>
        <w:tab/>
      </w:r>
      <w:r>
        <w:rPr>
          <w:rFonts w:ascii="Times New Roman" w:cs="Times New Roman" w:eastAsia="Times New Roman" w:hAnsi="Times New Roman"/>
          <w:sz w:val="21"/>
          <w:szCs w:val="21"/>
          <w:u w:val="single" w:color="auto"/>
          <w:color w:val="auto"/>
        </w:rPr>
        <w:t>Scope of Indemnification</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6" w:lineRule="auto"/>
        <w:tabs>
          <w:tab w:leader="none" w:pos="1271"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.--The corporation shall indemnify an indemnified representative against any liability incurred in connection with any proceeding in which the indemnified representative may be involved as a party or otherwise by reason of the fact that such person is or was serving in an indemnified capacity, including, without limitation, liabilities resulting from any actual or alleged breach or neglect of duty, error, misstatement or misleading statement, negligence, gross negligence or act giving rise to strict or products liability, except:</w:t>
      </w:r>
    </w:p>
    <w:p>
      <w:pPr>
        <w:spacing w:after="0" w:line="313" w:lineRule="exact"/>
        <w:rPr>
          <w:rFonts w:ascii="Times New Roman" w:cs="Times New Roman" w:eastAsia="Times New Roman" w:hAnsi="Times New Roman"/>
          <w:sz w:val="22"/>
          <w:szCs w:val="22"/>
          <w:color w:val="010000"/>
        </w:rPr>
      </w:pPr>
    </w:p>
    <w:p>
      <w:pPr>
        <w:ind w:left="1740" w:hanging="435"/>
        <w:spacing w:after="0"/>
        <w:tabs>
          <w:tab w:leader="none" w:pos="1740"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where such indemnification is expressly prohibited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841" w:right="239" w:bottom="1440" w:gutter="0" w:footer="0" w:header="0"/>
        </w:sectPr>
      </w:pPr>
    </w:p>
    <w:bookmarkStart w:id="57" w:name="page58"/>
    <w:bookmarkEnd w:id="57"/>
    <w:p>
      <w:pPr>
        <w:ind w:left="1800" w:hanging="495"/>
        <w:spacing w:after="0"/>
        <w:tabs>
          <w:tab w:leader="none" w:pos="1800" w:val="left"/>
        </w:tabs>
        <w:numPr>
          <w:ilvl w:val="1"/>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where the conduct of the indemnified representative has been finally determined pursuant to Section 7.06 or</w:t>
      </w:r>
    </w:p>
    <w:p>
      <w:pPr>
        <w:spacing w:after="0" w:line="30"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otherwise:</w:t>
      </w:r>
    </w:p>
    <w:p>
      <w:pPr>
        <w:spacing w:after="0" w:line="368" w:lineRule="exact"/>
        <w:rPr>
          <w:rFonts w:ascii="Times New Roman" w:cs="Times New Roman" w:eastAsia="Times New Roman" w:hAnsi="Times New Roman"/>
          <w:sz w:val="22"/>
          <w:szCs w:val="22"/>
          <w:color w:val="010000"/>
        </w:rPr>
      </w:pPr>
    </w:p>
    <w:p>
      <w:pPr>
        <w:jc w:val="both"/>
        <w:ind w:left="1300" w:firstLine="653"/>
        <w:spacing w:after="0" w:line="276" w:lineRule="auto"/>
        <w:tabs>
          <w:tab w:leader="none" w:pos="2440" w:val="left"/>
        </w:tabs>
        <w:numPr>
          <w:ilvl w:val="2"/>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constitute willful misconduct or recklessness within the meaning of 15 Pa.C.S. § 1746(b) or any superseding provision of law sufficient in the circumstances to bar indemnification against liabilities arising from the conduct; or</w:t>
      </w:r>
    </w:p>
    <w:p>
      <w:pPr>
        <w:spacing w:after="0" w:line="302" w:lineRule="exact"/>
        <w:rPr>
          <w:rFonts w:ascii="Times New Roman" w:cs="Times New Roman" w:eastAsia="Times New Roman" w:hAnsi="Times New Roman"/>
          <w:sz w:val="22"/>
          <w:szCs w:val="22"/>
          <w:color w:val="010000"/>
        </w:rPr>
      </w:pPr>
    </w:p>
    <w:p>
      <w:pPr>
        <w:ind w:left="1300" w:firstLine="653"/>
        <w:spacing w:after="0" w:line="297" w:lineRule="auto"/>
        <w:tabs>
          <w:tab w:leader="none" w:pos="2406" w:val="left"/>
        </w:tabs>
        <w:numPr>
          <w:ilvl w:val="2"/>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be based upon or attributable to the receipt by the indemnified representative from the corporation of a personal benefit to which the indemnified representative is not legally entitled; or</w:t>
      </w:r>
    </w:p>
    <w:p>
      <w:pPr>
        <w:spacing w:after="0" w:line="278" w:lineRule="exact"/>
        <w:rPr>
          <w:rFonts w:ascii="Times New Roman" w:cs="Times New Roman" w:eastAsia="Times New Roman" w:hAnsi="Times New Roman"/>
          <w:sz w:val="22"/>
          <w:szCs w:val="22"/>
          <w:color w:val="010000"/>
        </w:rPr>
      </w:pPr>
    </w:p>
    <w:p>
      <w:pPr>
        <w:ind w:left="660" w:firstLine="645"/>
        <w:spacing w:after="0" w:line="297" w:lineRule="auto"/>
        <w:tabs>
          <w:tab w:leader="none" w:pos="1767" w:val="left"/>
        </w:tabs>
        <w:numPr>
          <w:ilvl w:val="1"/>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such indemnification has been finally determined in a final adjudication pursuant to Section 7.06 to be otherwise unlawful.</w:t>
      </w:r>
    </w:p>
    <w:p>
      <w:pPr>
        <w:spacing w:after="0" w:line="278"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121"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Partial Payment</w:t>
      </w:r>
      <w:r>
        <w:rPr>
          <w:rFonts w:ascii="Times New Roman" w:cs="Times New Roman" w:eastAsia="Times New Roman" w:hAnsi="Times New Roman"/>
          <w:sz w:val="22"/>
          <w:szCs w:val="22"/>
          <w:color w:val="auto"/>
        </w:rPr>
        <w:t>.--If an indemnified representative is entitled to indemnification in respect of a portion, but not all, of any liabilities to which such person may be subject, the corporation shall indemnify such indemnified representative to the maximum extent for such portion of the liabilities.</w:t>
      </w:r>
    </w:p>
    <w:p>
      <w:pPr>
        <w:spacing w:after="0" w:line="302" w:lineRule="exact"/>
        <w:rPr>
          <w:rFonts w:ascii="Times New Roman" w:cs="Times New Roman" w:eastAsia="Times New Roman" w:hAnsi="Times New Roman"/>
          <w:sz w:val="22"/>
          <w:szCs w:val="22"/>
          <w:color w:val="010000"/>
        </w:rPr>
      </w:pPr>
    </w:p>
    <w:p>
      <w:pPr>
        <w:jc w:val="both"/>
        <w:ind w:firstLine="656"/>
        <w:spacing w:after="0" w:line="276" w:lineRule="auto"/>
        <w:tabs>
          <w:tab w:leader="none" w:pos="1149"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Presumption</w:t>
      </w:r>
      <w:r>
        <w:rPr>
          <w:rFonts w:ascii="Times New Roman" w:cs="Times New Roman" w:eastAsia="Times New Roman" w:hAnsi="Times New Roman"/>
          <w:sz w:val="22"/>
          <w:szCs w:val="22"/>
          <w:color w:val="auto"/>
        </w:rPr>
        <w:t>.--The termination of a proceeding by judgment, order, settlement or conviction or upon a plea of nolo contenders or its equivalent shall not of itself create a presumption that the indemnified representative is not entitled to indemnification.</w:t>
      </w:r>
    </w:p>
    <w:p>
      <w:pPr>
        <w:spacing w:after="0" w:line="302" w:lineRule="exact"/>
        <w:rPr>
          <w:rFonts w:ascii="Times New Roman" w:cs="Times New Roman" w:eastAsia="Times New Roman" w:hAnsi="Times New Roman"/>
          <w:sz w:val="22"/>
          <w:szCs w:val="22"/>
          <w:color w:val="010000"/>
        </w:rPr>
      </w:pPr>
    </w:p>
    <w:p>
      <w:pPr>
        <w:ind w:left="1080" w:hanging="424"/>
        <w:spacing w:after="0"/>
        <w:tabs>
          <w:tab w:leader="none" w:pos="108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.--For purposes of this Article:</w:t>
      </w:r>
    </w:p>
    <w:p>
      <w:pPr>
        <w:spacing w:after="0" w:line="381" w:lineRule="exact"/>
        <w:rPr>
          <w:rFonts w:ascii="Times New Roman" w:cs="Times New Roman" w:eastAsia="Times New Roman" w:hAnsi="Times New Roman"/>
          <w:sz w:val="22"/>
          <w:szCs w:val="22"/>
          <w:color w:val="010000"/>
        </w:rPr>
      </w:pPr>
    </w:p>
    <w:p>
      <w:pPr>
        <w:jc w:val="both"/>
        <w:ind w:left="660" w:firstLine="645"/>
        <w:spacing w:after="0" w:line="269" w:lineRule="auto"/>
        <w:tabs>
          <w:tab w:leader="none" w:pos="1781" w:val="left"/>
        </w:tabs>
        <w:numPr>
          <w:ilvl w:val="1"/>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“indemnified capacity” means any and all past, present and future service by an indemnified representative in one or more capacities as a director, officer, employee or agent of the corporation, or, at the request of the corporation, as a director, officer, employee, agent, fiduciary or trustee of another corporation, partnership, joint venture, trust, employee benefit plan or other entity or enterprise;</w:t>
      </w:r>
    </w:p>
    <w:p>
      <w:pPr>
        <w:spacing w:after="0" w:line="310" w:lineRule="exact"/>
        <w:rPr>
          <w:rFonts w:ascii="Times New Roman" w:cs="Times New Roman" w:eastAsia="Times New Roman" w:hAnsi="Times New Roman"/>
          <w:sz w:val="22"/>
          <w:szCs w:val="22"/>
          <w:color w:val="010000"/>
        </w:rPr>
      </w:pPr>
    </w:p>
    <w:p>
      <w:pPr>
        <w:jc w:val="both"/>
        <w:ind w:left="660" w:firstLine="645"/>
        <w:spacing w:after="0" w:line="269" w:lineRule="auto"/>
        <w:tabs>
          <w:tab w:leader="none" w:pos="1781" w:val="left"/>
        </w:tabs>
        <w:numPr>
          <w:ilvl w:val="1"/>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“indemnified representative” means any and all directors and officers of the corporation and any other person designated as an indemnified representative by the board of directors of the corporation (which may, but need not, include any person serving at the request of the corporation, as a director, officer, employee, agent, fiduciary or trustee of another corporation, partnership, joint venture, trust, employee benefit plan or other entity or enterprise);</w:t>
      </w:r>
    </w:p>
    <w:p>
      <w:pPr>
        <w:spacing w:after="0" w:line="310" w:lineRule="exact"/>
        <w:rPr>
          <w:rFonts w:ascii="Times New Roman" w:cs="Times New Roman" w:eastAsia="Times New Roman" w:hAnsi="Times New Roman"/>
          <w:sz w:val="22"/>
          <w:szCs w:val="22"/>
          <w:color w:val="010000"/>
        </w:rPr>
      </w:pPr>
    </w:p>
    <w:p>
      <w:pPr>
        <w:ind w:left="660" w:firstLine="645"/>
        <w:spacing w:after="0" w:line="297" w:lineRule="auto"/>
        <w:tabs>
          <w:tab w:leader="none" w:pos="1754" w:val="left"/>
        </w:tabs>
        <w:numPr>
          <w:ilvl w:val="1"/>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“liability” means any damage, judgment, amount paid in settlement, fine, penalty, punitive damages, excise tax assessed with respect to an employee benefit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841" w:right="2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22"/>
          <w:szCs w:val="22"/>
          <w:color w:val="auto"/>
        </w:rPr>
        <w:t>plan, or cost or expense of any nature (including, without limitation, attorneys’ fees and disbursements); and</w:t>
      </w:r>
    </w:p>
    <w:p>
      <w:pPr>
        <w:spacing w:after="0" w:line="368" w:lineRule="exact"/>
        <w:rPr>
          <w:sz w:val="20"/>
          <w:szCs w:val="20"/>
          <w:color w:val="auto"/>
        </w:rPr>
      </w:pPr>
    </w:p>
    <w:p>
      <w:pPr>
        <w:jc w:val="both"/>
        <w:ind w:left="660" w:firstLine="645"/>
        <w:spacing w:after="0" w:line="276" w:lineRule="auto"/>
        <w:tabs>
          <w:tab w:leader="none" w:pos="1862"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“proceeding” means any threatened, pending or completed action, suit, appeal or other proceeding of any nature, whether civil, criminal, administrative or investigative, whether formal or informal, and whether brought by or in the right of the corporation, a class of its security holders or otherwise.</w:t>
      </w:r>
    </w:p>
    <w:p>
      <w:pPr>
        <w:spacing w:after="0" w:line="3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7.02. </w:t>
      </w:r>
      <w:r>
        <w:rPr>
          <w:rFonts w:ascii="Times New Roman" w:cs="Times New Roman" w:eastAsia="Times New Roman" w:hAnsi="Times New Roman"/>
          <w:sz w:val="22"/>
          <w:szCs w:val="22"/>
          <w:u w:val="single" w:color="auto"/>
          <w:color w:val="000000"/>
        </w:rPr>
        <w:t>Proceedings Initiated by Indemnified Representatives</w:t>
      </w:r>
      <w:r>
        <w:rPr>
          <w:rFonts w:ascii="Times New Roman" w:cs="Times New Roman" w:eastAsia="Times New Roman" w:hAnsi="Times New Roman"/>
          <w:sz w:val="22"/>
          <w:szCs w:val="22"/>
          <w:color w:val="000000"/>
        </w:rPr>
        <w:t>.--Notwithstanding any other provision of this Article,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 corporation shall not indemnify under this Article an indemnified representative for any liability incurred in a proceeding initiated (which shall not be deemed to include counterclaims or affirmative defenses) or participated in as an intervenor or </w:t>
      </w:r>
      <w:r>
        <w:rPr>
          <w:rFonts w:ascii="Times New Roman" w:cs="Times New Roman" w:eastAsia="Times New Roman" w:hAnsi="Times New Roman"/>
          <w:sz w:val="22"/>
          <w:szCs w:val="22"/>
          <w:u w:val="single" w:color="auto"/>
          <w:color w:val="000000"/>
        </w:rPr>
        <w:t>amicus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curiae</w:t>
      </w:r>
      <w:r>
        <w:rPr>
          <w:rFonts w:ascii="Times New Roman" w:cs="Times New Roman" w:eastAsia="Times New Roman" w:hAnsi="Times New Roman"/>
          <w:sz w:val="22"/>
          <w:szCs w:val="22"/>
          <w:color w:val="000000"/>
        </w:rPr>
        <w:t xml:space="preserve"> by the person seeking indemnification unless such initiation of or participation in the proceeding is authorized, either before or after its commencement, by the affirmative vote of a majority of the directors in office. This section does not apply to reimbursement of expenses incurred in successfully prosecuting or defending arbitration under Section 7.06 or otherwise successfully prosecuting or defending the rights of an indemnified representative granted by or pursuant to this Article.</w:t>
      </w:r>
    </w:p>
    <w:p>
      <w:pPr>
        <w:spacing w:after="0" w:line="31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010000"/>
        </w:rPr>
        <w:t xml:space="preserve">Section 7.03. </w:t>
      </w:r>
      <w:r>
        <w:rPr>
          <w:rFonts w:ascii="Times New Roman" w:cs="Times New Roman" w:eastAsia="Times New Roman" w:hAnsi="Times New Roman"/>
          <w:sz w:val="22"/>
          <w:szCs w:val="22"/>
          <w:u w:val="single" w:color="auto"/>
          <w:color w:val="000000"/>
        </w:rPr>
        <w:t>Advancing Expenses</w:t>
      </w:r>
      <w:r>
        <w:rPr>
          <w:rFonts w:ascii="Times New Roman" w:cs="Times New Roman" w:eastAsia="Times New Roman" w:hAnsi="Times New Roman"/>
          <w:sz w:val="22"/>
          <w:szCs w:val="22"/>
          <w:color w:val="000000"/>
        </w:rPr>
        <w:t>.--The corporation shall pay the expenses (including attorneys’ fees and disbursements)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incurred in good faith by an indemnified representative in advance of the final disposition of a proceeding described in Section 7.01 or the initiation of or participation in which is authorized pursuant to section 7.02 upon receipt of an undertaking by or on behalf of the indemnified representative to repay the amount if it is ultimately determined pursuant to Section 7.06 that such person is not entitled to be indemnified by the corporation pursuant to this Article. The financial ability of an indemnified representative to repay an advance shall not be a prerequisite to the making of such advance.</w:t>
      </w:r>
    </w:p>
    <w:p>
      <w:pPr>
        <w:spacing w:after="0" w:line="3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Section 7.04. </w:t>
      </w:r>
      <w:r>
        <w:rPr>
          <w:rFonts w:ascii="Times New Roman" w:cs="Times New Roman" w:eastAsia="Times New Roman" w:hAnsi="Times New Roman"/>
          <w:sz w:val="22"/>
          <w:szCs w:val="22"/>
          <w:u w:val="single" w:color="auto"/>
          <w:color w:val="000000"/>
        </w:rPr>
        <w:t>Securing of Indemnification Obligations</w:t>
      </w:r>
      <w:r>
        <w:rPr>
          <w:rFonts w:ascii="Times New Roman" w:cs="Times New Roman" w:eastAsia="Times New Roman" w:hAnsi="Times New Roman"/>
          <w:sz w:val="22"/>
          <w:szCs w:val="22"/>
          <w:color w:val="000000"/>
        </w:rPr>
        <w:t>.--To further effect, satisfy or secure the indemnification obligations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provided herein or otherwise, the corporation may maintain insurance, obtain a letter of credit, act as self-insurer, create a reserve, trust, escrow, cash collateral or other fund or account, enter into indemnification agreements, pledge or grant a security interest in any assets or properties of the corporation, or use any other mechanism or arrangement whatsoever in such amounts, at such costs, and upon such other terms and conditions as the board of directors shall deem appropriate. Absent fraud, the determination of the board of directors with respect to such amounts, costs, terms and conditions shall be conclusive against all security holders, officers and directors and shall not be subject to voidability.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841" w:right="239" w:bottom="1440" w:gutter="0" w:footer="0" w:header="0"/>
        </w:sectPr>
      </w:pPr>
    </w:p>
    <w:bookmarkStart w:id="59" w:name="page60"/>
    <w:bookmarkEnd w:id="59"/>
    <w:p>
      <w:pPr>
        <w:ind w:firstLine="648"/>
        <w:spacing w:after="0" w:line="297" w:lineRule="auto"/>
        <w:rPr>
          <w:sz w:val="20"/>
          <w:szCs w:val="20"/>
          <w:color w:val="auto"/>
        </w:rPr>
      </w:pPr>
      <w:r>
        <w:rPr>
          <w:rFonts w:ascii="Times New Roman" w:cs="Times New Roman" w:eastAsia="Times New Roman" w:hAnsi="Times New Roman"/>
          <w:sz w:val="22"/>
          <w:szCs w:val="22"/>
          <w:color w:val="010000"/>
        </w:rPr>
        <w:t xml:space="preserve">Section 7.05. </w:t>
      </w:r>
      <w:r>
        <w:rPr>
          <w:rFonts w:ascii="Times New Roman" w:cs="Times New Roman" w:eastAsia="Times New Roman" w:hAnsi="Times New Roman"/>
          <w:sz w:val="22"/>
          <w:szCs w:val="22"/>
          <w:u w:val="single" w:color="auto"/>
          <w:color w:val="000000"/>
        </w:rPr>
        <w:t>Payment of Indemnification</w:t>
      </w:r>
      <w:r>
        <w:rPr>
          <w:rFonts w:ascii="Times New Roman" w:cs="Times New Roman" w:eastAsia="Times New Roman" w:hAnsi="Times New Roman"/>
          <w:sz w:val="22"/>
          <w:szCs w:val="22"/>
          <w:color w:val="000000"/>
        </w:rPr>
        <w:t>.--An indemnified representative shall be entitled to indemnification within 30</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days after a written request for indemnification has been delivered to the secretary of the corporation.</w:t>
      </w:r>
    </w:p>
    <w:p>
      <w:pPr>
        <w:spacing w:after="0" w:line="27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7.06.</w:t>
      </w:r>
      <w:r>
        <w:rPr>
          <w:sz w:val="20"/>
          <w:szCs w:val="20"/>
          <w:color w:val="auto"/>
        </w:rPr>
        <w:tab/>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59" w:lineRule="auto"/>
        <w:tabs>
          <w:tab w:leader="none" w:pos="1230"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.--Any dispute related to the right to indemnification, contribution or advancement of expenses as provided under this Article, except with respect to indemnification for liabilities arising under the Securities Act of 1933 that the corporation has undertaken to submit to a court for adjudication, shall be decided only by arbitration in the metropolitan area in which the principal executive offices of the corporation are located at the time, in accordance with the commercial arbitration rules then in effect of the American Arbitration Association, before a panel of three arbitrators, one of whom shall be selected by the corporation, the second of whom shall be selected by the indemnified representative and the third of whom shall be selected by the other two arbitrators. In the absence of the American Arbitration Association, or if for any reason arbitration under the arbitration rules of the American Arbitration Association cannot be initiated, and if one of the parties fails or refuses to select an arbitrator or the arbitrators selected by the corporation and the indemnified representative cannot agree on the selection of the third arbitrator within 30 days after such time as the corporation and the indemnified representative have each been notified of the selection of the other’s arbitrator, the necessary arbitrator or arbitrators shall be selected by the presiding judge of the court of general jurisdiction in such metropolitan area.</w:t>
      </w:r>
    </w:p>
    <w:p>
      <w:pPr>
        <w:spacing w:after="0" w:line="329" w:lineRule="exact"/>
        <w:rPr>
          <w:rFonts w:ascii="Times New Roman" w:cs="Times New Roman" w:eastAsia="Times New Roman" w:hAnsi="Times New Roman"/>
          <w:sz w:val="22"/>
          <w:szCs w:val="22"/>
          <w:color w:val="010000"/>
        </w:rPr>
      </w:pPr>
    </w:p>
    <w:p>
      <w:pPr>
        <w:ind w:firstLine="656"/>
        <w:spacing w:after="0" w:line="297" w:lineRule="auto"/>
        <w:tabs>
          <w:tab w:leader="none" w:pos="1161"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Burden of Proof</w:t>
      </w:r>
      <w:r>
        <w:rPr>
          <w:rFonts w:ascii="Times New Roman" w:cs="Times New Roman" w:eastAsia="Times New Roman" w:hAnsi="Times New Roman"/>
          <w:sz w:val="22"/>
          <w:szCs w:val="22"/>
          <w:color w:val="auto"/>
        </w:rPr>
        <w:t>.--The party or parties challenging the right of an indemnified representative to the benefits of this Article shall have the burden of proof.</w:t>
      </w:r>
    </w:p>
    <w:p>
      <w:pPr>
        <w:spacing w:after="0" w:line="278" w:lineRule="exact"/>
        <w:rPr>
          <w:rFonts w:ascii="Times New Roman" w:cs="Times New Roman" w:eastAsia="Times New Roman" w:hAnsi="Times New Roman"/>
          <w:sz w:val="22"/>
          <w:szCs w:val="22"/>
          <w:color w:val="010000"/>
        </w:rPr>
      </w:pPr>
    </w:p>
    <w:p>
      <w:pPr>
        <w:ind w:firstLine="656"/>
        <w:spacing w:after="0" w:line="297" w:lineRule="auto"/>
        <w:tabs>
          <w:tab w:leader="none" w:pos="1122"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.--The corporation shall reimburse an indemnified representative for the expenses (including attorneys’ fees and disbursements) incurred in successfully prosecuting or defending such arbitration.</w:t>
      </w:r>
    </w:p>
    <w:p>
      <w:pPr>
        <w:spacing w:after="0" w:line="278" w:lineRule="exact"/>
        <w:rPr>
          <w:rFonts w:ascii="Times New Roman" w:cs="Times New Roman" w:eastAsia="Times New Roman" w:hAnsi="Times New Roman"/>
          <w:sz w:val="22"/>
          <w:szCs w:val="22"/>
          <w:color w:val="010000"/>
        </w:rPr>
      </w:pPr>
    </w:p>
    <w:p>
      <w:pPr>
        <w:jc w:val="both"/>
        <w:ind w:firstLine="656"/>
        <w:spacing w:after="0" w:line="266" w:lineRule="auto"/>
        <w:tabs>
          <w:tab w:leader="none" w:pos="1121"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w:t>
      </w:r>
      <w:r>
        <w:rPr>
          <w:rFonts w:ascii="Times New Roman" w:cs="Times New Roman" w:eastAsia="Times New Roman" w:hAnsi="Times New Roman"/>
          <w:sz w:val="22"/>
          <w:szCs w:val="22"/>
          <w:color w:val="auto"/>
        </w:rPr>
        <w:t>.--Any award entered by the arbitrators shall be final, binding and nonappealable and judgment may be entered thereon by any party in accordance with applicable law in any court of competent jurisdiction, except that the corporation shall be entitled to interpose as a defense in any such judicial enforcement proceeding any prior final judicial determination adverse to the indemnified representative under Section 7.01(a)(2) in a proceeding not directly involving indemnification, under this Article. This arbitration provision shall be specifically enforceable.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841" w:right="239" w:bottom="1440" w:gutter="0" w:footer="0" w:header="0"/>
        </w:sectPr>
      </w:pPr>
    </w:p>
    <w:bookmarkStart w:id="60" w:name="page61"/>
    <w:bookmarkEnd w:id="60"/>
    <w:p>
      <w:pPr>
        <w:jc w:val="both"/>
        <w:ind w:firstLine="648"/>
        <w:spacing w:after="0" w:line="276" w:lineRule="auto"/>
        <w:rPr>
          <w:sz w:val="20"/>
          <w:szCs w:val="20"/>
          <w:color w:val="auto"/>
        </w:rPr>
      </w:pPr>
      <w:r>
        <w:rPr>
          <w:rFonts w:ascii="Times New Roman" w:cs="Times New Roman" w:eastAsia="Times New Roman" w:hAnsi="Times New Roman"/>
          <w:sz w:val="22"/>
          <w:szCs w:val="22"/>
          <w:color w:val="010000"/>
        </w:rPr>
        <w:t xml:space="preserve">Section 7.07. </w:t>
      </w:r>
      <w:r>
        <w:rPr>
          <w:rFonts w:ascii="Times New Roman" w:cs="Times New Roman" w:eastAsia="Times New Roman" w:hAnsi="Times New Roman"/>
          <w:sz w:val="22"/>
          <w:szCs w:val="22"/>
          <w:u w:val="single" w:color="auto"/>
          <w:color w:val="000000"/>
        </w:rPr>
        <w:t>Contribution</w:t>
      </w:r>
      <w:r>
        <w:rPr>
          <w:rFonts w:ascii="Times New Roman" w:cs="Times New Roman" w:eastAsia="Times New Roman" w:hAnsi="Times New Roman"/>
          <w:sz w:val="22"/>
          <w:szCs w:val="22"/>
          <w:color w:val="000000"/>
        </w:rPr>
        <w:t>.--If the indemnification provided for in this Article or otherwise is unavailable for any reason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respect of any liability or portion thereof, the corporation shall contribute to the liabilities to which the indemnified representative may be subject in such proportion as is appropriate to reflect the intent of this Article or otherwise.</w:t>
      </w:r>
    </w:p>
    <w:p>
      <w:pPr>
        <w:spacing w:after="0" w:line="3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010000"/>
        </w:rPr>
        <w:t xml:space="preserve">Section 7.08. </w:t>
      </w:r>
      <w:r>
        <w:rPr>
          <w:rFonts w:ascii="Times New Roman" w:cs="Times New Roman" w:eastAsia="Times New Roman" w:hAnsi="Times New Roman"/>
          <w:sz w:val="22"/>
          <w:szCs w:val="22"/>
          <w:u w:val="single" w:color="auto"/>
          <w:color w:val="000000"/>
        </w:rPr>
        <w:t>Mandatory Indemnification of Directors, Officers, etc</w:t>
      </w:r>
      <w:r>
        <w:rPr>
          <w:rFonts w:ascii="Times New Roman" w:cs="Times New Roman" w:eastAsia="Times New Roman" w:hAnsi="Times New Roman"/>
          <w:sz w:val="22"/>
          <w:szCs w:val="22"/>
          <w:color w:val="000000"/>
        </w:rPr>
        <w:t>.--To the extent that an authorized representative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has been successful on the merits or otherwise in defense of any action, suit or proceeding referred to in sections 1741 or 1742 of the Business Corporation Law or in defense of any claim, issue or matter therein, such person shall be indemnified against expenses (including attorneys’ fees and disbursements) actually and reasonably incurred by such person in connection therewith</w:t>
      </w:r>
    </w:p>
    <w:p>
      <w:pPr>
        <w:spacing w:after="0" w:line="31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010000"/>
        </w:rPr>
        <w:t xml:space="preserve">Section 7.09. </w:t>
      </w:r>
      <w:r>
        <w:rPr>
          <w:rFonts w:ascii="Times New Roman" w:cs="Times New Roman" w:eastAsia="Times New Roman" w:hAnsi="Times New Roman"/>
          <w:sz w:val="22"/>
          <w:szCs w:val="22"/>
          <w:u w:val="single" w:color="auto"/>
          <w:color w:val="000000"/>
        </w:rPr>
        <w:t>Contract Rights; Amendment or Repeal</w:t>
      </w:r>
      <w:r>
        <w:rPr>
          <w:rFonts w:ascii="Times New Roman" w:cs="Times New Roman" w:eastAsia="Times New Roman" w:hAnsi="Times New Roman"/>
          <w:sz w:val="22"/>
          <w:szCs w:val="22"/>
          <w:color w:val="000000"/>
        </w:rPr>
        <w:t>.--All rights under this Article shall be deemed a contract between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corporation and the indemnified representative pursuant to which the corporation and each indemnified representative intend to be legally bound. Any repeal, amendment or modification hereof shall be prospective only and shall not affect any rights or obligations then existing.</w:t>
      </w:r>
    </w:p>
    <w:p>
      <w:pPr>
        <w:spacing w:after="0" w:line="31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010000"/>
        </w:rPr>
        <w:t xml:space="preserve">Section 7.10. </w:t>
      </w:r>
      <w:r>
        <w:rPr>
          <w:rFonts w:ascii="Times New Roman" w:cs="Times New Roman" w:eastAsia="Times New Roman" w:hAnsi="Times New Roman"/>
          <w:sz w:val="22"/>
          <w:szCs w:val="22"/>
          <w:u w:val="single" w:color="auto"/>
          <w:color w:val="000000"/>
        </w:rPr>
        <w:t>Scope of Article</w:t>
      </w:r>
      <w:r>
        <w:rPr>
          <w:rFonts w:ascii="Times New Roman" w:cs="Times New Roman" w:eastAsia="Times New Roman" w:hAnsi="Times New Roman"/>
          <w:sz w:val="22"/>
          <w:szCs w:val="22"/>
          <w:color w:val="000000"/>
        </w:rPr>
        <w:t>.--The rights granted by this Article shall not be deemed exclusive of any other rights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which those seeking indemnification, contribution or advancement of expenses may be entitled under any statute, agreement, vote of shareholders or disinterested directors or otherwise, both as to action in an indemnified capacity and as to action in any other capacity. The indemnification, contribution and advancement of expenses provided by or granted pursuant to this Article shall continue as to a person who has ceased to be an indemnified representative in respect of matters arising prior to such time, and shall inure to the benefit of the heirs, executors, administrators and personal representatives of such a person.</w:t>
      </w:r>
    </w:p>
    <w:p>
      <w:pPr>
        <w:spacing w:after="0" w:line="31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010000"/>
        </w:rPr>
        <w:t xml:space="preserve">Section 7.11. </w:t>
      </w:r>
      <w:r>
        <w:rPr>
          <w:rFonts w:ascii="Times New Roman" w:cs="Times New Roman" w:eastAsia="Times New Roman" w:hAnsi="Times New Roman"/>
          <w:sz w:val="22"/>
          <w:szCs w:val="22"/>
          <w:u w:val="single" w:color="auto"/>
          <w:color w:val="000000"/>
        </w:rPr>
        <w:t>Reliance on Provisions</w:t>
      </w:r>
      <w:r>
        <w:rPr>
          <w:rFonts w:ascii="Times New Roman" w:cs="Times New Roman" w:eastAsia="Times New Roman" w:hAnsi="Times New Roman"/>
          <w:sz w:val="22"/>
          <w:szCs w:val="22"/>
          <w:color w:val="000000"/>
        </w:rPr>
        <w:t>.--Each person who shall act as an indemnified representative of the corporation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deemed to be doing so in reliance upon the rights of indemnification, contribution and advancement of expenses provided by this Article.</w:t>
      </w:r>
    </w:p>
    <w:p>
      <w:pPr>
        <w:spacing w:after="0" w:line="30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22"/>
          <w:szCs w:val="22"/>
          <w:color w:val="010000"/>
        </w:rPr>
        <w:t>Section 7.12.</w:t>
      </w:r>
      <w:r>
        <w:rPr>
          <w:sz w:val="20"/>
          <w:szCs w:val="20"/>
          <w:color w:val="auto"/>
        </w:rPr>
        <w:tab/>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.--The provisions of this Article are intended to constitute bylaws authorized by 15 Pa.C.S.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1746.</w:t>
      </w: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VIII</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0" w:lineRule="exact"/>
        <w:rPr>
          <w:sz w:val="20"/>
          <w:szCs w:val="20"/>
          <w:color w:val="auto"/>
        </w:rPr>
      </w:pPr>
    </w:p>
    <w:p>
      <w:pPr>
        <w:spacing w:after="0" w:line="249"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22"/>
          <w:szCs w:val="22"/>
          <w:color w:val="010000"/>
        </w:rPr>
        <w:t xml:space="preserve">Section 8.01. </w:t>
      </w:r>
      <w:r>
        <w:rPr>
          <w:rFonts w:ascii="Times New Roman" w:cs="Times New Roman" w:eastAsia="Times New Roman" w:hAnsi="Times New Roman"/>
          <w:sz w:val="22"/>
          <w:szCs w:val="22"/>
          <w:u w:val="single" w:color="auto"/>
          <w:color w:val="000000"/>
        </w:rPr>
        <w:t>Corporate Seal</w:t>
      </w:r>
      <w:r>
        <w:rPr>
          <w:rFonts w:ascii="Times New Roman" w:cs="Times New Roman" w:eastAsia="Times New Roman" w:hAnsi="Times New Roman"/>
          <w:sz w:val="22"/>
          <w:szCs w:val="22"/>
          <w:color w:val="000000"/>
        </w:rPr>
        <w:t>.--The corporation shall have a corporate seal in the form of a circle containing the name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corporation, the year of incorporation and such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841" w:right="239" w:bottom="1440" w:gutter="0" w:footer="0" w:header="0"/>
        </w:sectPr>
      </w:pPr>
    </w:p>
    <w:bookmarkStart w:id="61" w:name="page62"/>
    <w:bookmarkEnd w:id="61"/>
    <w:p>
      <w:pPr>
        <w:jc w:val="both"/>
        <w:spacing w:after="0" w:line="284" w:lineRule="auto"/>
        <w:rPr>
          <w:sz w:val="20"/>
          <w:szCs w:val="20"/>
          <w:color w:val="auto"/>
        </w:rPr>
      </w:pPr>
      <w:r>
        <w:rPr>
          <w:rFonts w:ascii="Times New Roman" w:cs="Times New Roman" w:eastAsia="Times New Roman" w:hAnsi="Times New Roman"/>
          <w:sz w:val="22"/>
          <w:szCs w:val="22"/>
          <w:color w:val="auto"/>
        </w:rPr>
        <w:t>other details as may be approved by the board of directors. The affixation of the corporate seal shall not be necessary to the valid execution, assignment or endorsement by the corporation of any instrument or other document.</w:t>
      </w:r>
    </w:p>
    <w:p>
      <w:pPr>
        <w:spacing w:after="0" w:line="2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2"/>
          <w:szCs w:val="22"/>
          <w:color w:val="010000"/>
        </w:rPr>
        <w:t xml:space="preserve">Section 8.02. </w:t>
      </w:r>
      <w:r>
        <w:rPr>
          <w:rFonts w:ascii="Times New Roman" w:cs="Times New Roman" w:eastAsia="Times New Roman" w:hAnsi="Times New Roman"/>
          <w:sz w:val="22"/>
          <w:szCs w:val="22"/>
          <w:u w:val="single" w:color="auto"/>
          <w:color w:val="000000"/>
        </w:rPr>
        <w:t>Checks</w:t>
      </w:r>
      <w:r>
        <w:rPr>
          <w:rFonts w:ascii="Times New Roman" w:cs="Times New Roman" w:eastAsia="Times New Roman" w:hAnsi="Times New Roman"/>
          <w:sz w:val="22"/>
          <w:szCs w:val="22"/>
          <w:color w:val="000000"/>
        </w:rPr>
        <w:t>.--All checks, notes, bills of exchange or other similar orders in writing shall be signed by such one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more officers or employees of the corporation as the board of directors may from time to time designate.</w:t>
      </w:r>
    </w:p>
    <w:p>
      <w:pPr>
        <w:spacing w:after="0" w:line="279"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010000"/>
        </w:rPr>
        <w:t xml:space="preserve">Section 8.03. </w:t>
      </w:r>
      <w:r>
        <w:rPr>
          <w:rFonts w:ascii="Times New Roman" w:cs="Times New Roman" w:eastAsia="Times New Roman" w:hAnsi="Times New Roman"/>
          <w:sz w:val="21"/>
          <w:szCs w:val="21"/>
          <w:u w:val="single" w:color="auto"/>
          <w:color w:val="000000"/>
        </w:rPr>
        <w:t>Contracts</w:t>
      </w:r>
      <w:r>
        <w:rPr>
          <w:rFonts w:ascii="Times New Roman" w:cs="Times New Roman" w:eastAsia="Times New Roman" w:hAnsi="Times New Roman"/>
          <w:sz w:val="21"/>
          <w:szCs w:val="21"/>
          <w:color w:val="000000"/>
        </w:rPr>
        <w:t>.--Except as otherwise provided in the Business Corporation Law in the case of transactions that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require action by the shareholders, the board of directors may authorize any officer or agent to enter into any contract or to execute or deliver any instrument on behalf of the corporation, and such authority may be general or confined to specific instances.</w:t>
      </w:r>
    </w:p>
    <w:p>
      <w:pPr>
        <w:spacing w:after="0" w:line="28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8.04.</w:t>
      </w:r>
      <w:r>
        <w:rPr>
          <w:sz w:val="20"/>
          <w:szCs w:val="20"/>
          <w:color w:val="auto"/>
        </w:rPr>
        <w:tab/>
      </w:r>
      <w:r>
        <w:rPr>
          <w:rFonts w:ascii="Times New Roman" w:cs="Times New Roman" w:eastAsia="Times New Roman" w:hAnsi="Times New Roman"/>
          <w:sz w:val="21"/>
          <w:szCs w:val="21"/>
          <w:u w:val="single" w:color="auto"/>
          <w:color w:val="auto"/>
        </w:rPr>
        <w:t>Interested Directors or Officers; Quorum</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6" w:lineRule="auto"/>
        <w:tabs>
          <w:tab w:leader="none" w:pos="1203"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.--A contract or transaction between the corporation and one or more of its directors or officers or between the corporation and another corporation, partnership, joint venture, trust or other enterprise in which one or more of its directors or officers are directors or officers or have a financial or other interest, shall not be void or voidable solely for that reason, or solely because the director or officer is present at or participates in the meeting of the board of directors that authorizes the contract or transaction, or solely because his, her or their votes are counted for that purpose, if:</w:t>
      </w:r>
    </w:p>
    <w:p>
      <w:pPr>
        <w:spacing w:after="0" w:line="313" w:lineRule="exact"/>
        <w:rPr>
          <w:rFonts w:ascii="Times New Roman" w:cs="Times New Roman" w:eastAsia="Times New Roman" w:hAnsi="Times New Roman"/>
          <w:sz w:val="22"/>
          <w:szCs w:val="22"/>
          <w:color w:val="010000"/>
        </w:rPr>
      </w:pPr>
    </w:p>
    <w:p>
      <w:pPr>
        <w:jc w:val="both"/>
        <w:ind w:left="660" w:firstLine="645"/>
        <w:spacing w:after="0" w:line="276" w:lineRule="auto"/>
        <w:tabs>
          <w:tab w:leader="none" w:pos="1835"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material facts as to the relationship or interest and as to the contract or transaction are disclosed or are known to the board of directors and the board authorizes the contract or transaction by the affirmative votes of a majority of the disinterested directors even though the disinterested directors are less than a quorum;</w:t>
      </w:r>
    </w:p>
    <w:p>
      <w:pPr>
        <w:spacing w:after="0" w:line="302" w:lineRule="exact"/>
        <w:rPr>
          <w:rFonts w:ascii="Times New Roman" w:cs="Times New Roman" w:eastAsia="Times New Roman" w:hAnsi="Times New Roman"/>
          <w:sz w:val="22"/>
          <w:szCs w:val="22"/>
          <w:color w:val="010000"/>
        </w:rPr>
      </w:pPr>
    </w:p>
    <w:p>
      <w:pPr>
        <w:jc w:val="both"/>
        <w:ind w:left="660" w:firstLine="645"/>
        <w:spacing w:after="0" w:line="276" w:lineRule="auto"/>
        <w:tabs>
          <w:tab w:leader="none" w:pos="1740"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material facts as to his or her relationship or interest and as to the contract or transaction are disclosed or are known to the shareholders entitled to vote thereon and the contract or transaction is specifically approved in good faith by vote of those shareholders; or</w:t>
      </w:r>
    </w:p>
    <w:p>
      <w:pPr>
        <w:spacing w:after="0" w:line="302" w:lineRule="exact"/>
        <w:rPr>
          <w:rFonts w:ascii="Times New Roman" w:cs="Times New Roman" w:eastAsia="Times New Roman" w:hAnsi="Times New Roman"/>
          <w:sz w:val="22"/>
          <w:szCs w:val="22"/>
          <w:color w:val="010000"/>
        </w:rPr>
      </w:pPr>
    </w:p>
    <w:p>
      <w:pPr>
        <w:ind w:left="660" w:firstLine="645"/>
        <w:spacing w:after="0" w:line="297" w:lineRule="auto"/>
        <w:tabs>
          <w:tab w:leader="none" w:pos="1740"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contract or transaction is fair as to the corporation as of the time it is authorized, approved or ratified by the board of directors or the shareholders.</w:t>
      </w:r>
    </w:p>
    <w:p>
      <w:pPr>
        <w:spacing w:after="0" w:line="278" w:lineRule="exact"/>
        <w:rPr>
          <w:rFonts w:ascii="Times New Roman" w:cs="Times New Roman" w:eastAsia="Times New Roman" w:hAnsi="Times New Roman"/>
          <w:sz w:val="22"/>
          <w:szCs w:val="22"/>
          <w:color w:val="010000"/>
        </w:rPr>
      </w:pPr>
    </w:p>
    <w:p>
      <w:pPr>
        <w:ind w:firstLine="656"/>
        <w:spacing w:after="0" w:line="297" w:lineRule="auto"/>
        <w:tabs>
          <w:tab w:leader="none" w:pos="108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.--Common or interested directors may be counted in determining the presence of a quorum at a meeting of the board which authorizes a contract or transaction specified in subsection (a).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841" w:right="239" w:bottom="1440" w:gutter="0" w:footer="0" w:header="0"/>
        </w:sectPr>
      </w:pPr>
    </w:p>
    <w:bookmarkStart w:id="62" w:name="page63"/>
    <w:bookmarkEnd w:id="62"/>
    <w:p>
      <w:pPr>
        <w:jc w:val="both"/>
        <w:ind w:firstLine="648"/>
        <w:spacing w:after="0" w:line="269" w:lineRule="auto"/>
        <w:rPr>
          <w:sz w:val="20"/>
          <w:szCs w:val="20"/>
          <w:color w:val="auto"/>
        </w:rPr>
      </w:pPr>
      <w:r>
        <w:rPr>
          <w:rFonts w:ascii="Times New Roman" w:cs="Times New Roman" w:eastAsia="Times New Roman" w:hAnsi="Times New Roman"/>
          <w:sz w:val="22"/>
          <w:szCs w:val="22"/>
          <w:color w:val="010000"/>
        </w:rPr>
        <w:t xml:space="preserve">Section 8.05. </w:t>
      </w:r>
      <w:r>
        <w:rPr>
          <w:rFonts w:ascii="Times New Roman" w:cs="Times New Roman" w:eastAsia="Times New Roman" w:hAnsi="Times New Roman"/>
          <w:sz w:val="22"/>
          <w:szCs w:val="22"/>
          <w:u w:val="single" w:color="auto"/>
          <w:color w:val="000000"/>
        </w:rPr>
        <w:t>Deposits</w:t>
      </w:r>
      <w:r>
        <w:rPr>
          <w:rFonts w:ascii="Times New Roman" w:cs="Times New Roman" w:eastAsia="Times New Roman" w:hAnsi="Times New Roman"/>
          <w:sz w:val="22"/>
          <w:szCs w:val="22"/>
          <w:color w:val="000000"/>
        </w:rPr>
        <w:t>.--All funds of the corporation shall be deposited from time to time to the credit of the corporation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such banks, trust companies or other depositaries as the board of directors may approve or designate, and all such funds shall be withdrawn only upon checks signed by such one or more officers or employees of the corporation as the board of directors shall from time to time designate.</w:t>
      </w:r>
    </w:p>
    <w:p>
      <w:pPr>
        <w:spacing w:after="0" w:line="31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010000"/>
        </w:rPr>
        <w:t>Section 8.06.</w:t>
      </w:r>
      <w:r>
        <w:rPr>
          <w:sz w:val="20"/>
          <w:szCs w:val="20"/>
          <w:color w:val="auto"/>
        </w:rPr>
        <w:tab/>
      </w:r>
      <w:r>
        <w:rPr>
          <w:rFonts w:ascii="Times New Roman" w:cs="Times New Roman" w:eastAsia="Times New Roman" w:hAnsi="Times New Roman"/>
          <w:sz w:val="21"/>
          <w:szCs w:val="21"/>
          <w:u w:val="single" w:color="auto"/>
          <w:color w:val="auto"/>
        </w:rPr>
        <w:t>Corporate Records</w:t>
      </w:r>
      <w:r>
        <w:rPr>
          <w:rFonts w:ascii="Times New Roman" w:cs="Times New Roman" w:eastAsia="Times New Roman" w:hAnsi="Times New Roman"/>
          <w:sz w:val="21"/>
          <w:szCs w:val="21"/>
          <w:color w:val="auto"/>
        </w:rPr>
        <w:t>.</w:t>
      </w:r>
    </w:p>
    <w:p>
      <w:pPr>
        <w:spacing w:after="0" w:line="382" w:lineRule="exact"/>
        <w:rPr>
          <w:sz w:val="20"/>
          <w:szCs w:val="20"/>
          <w:color w:val="auto"/>
        </w:rPr>
      </w:pPr>
    </w:p>
    <w:p>
      <w:pPr>
        <w:jc w:val="both"/>
        <w:ind w:firstLine="656"/>
        <w:spacing w:after="0" w:line="264" w:lineRule="auto"/>
        <w:tabs>
          <w:tab w:leader="none" w:pos="1136"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Required Records</w:t>
      </w:r>
      <w:r>
        <w:rPr>
          <w:rFonts w:ascii="Times New Roman" w:cs="Times New Roman" w:eastAsia="Times New Roman" w:hAnsi="Times New Roman"/>
          <w:sz w:val="22"/>
          <w:szCs w:val="22"/>
          <w:color w:val="auto"/>
        </w:rPr>
        <w:t>.--The corporation shall keep complete and accurate books and records of account, minutes of the proceedings of the incorporators, shareholders and directors and a share register giving the names and addresses of all shareholders and the number and class of shares held by each. The share register shall be kept at either the registered office of the corporation in the Commonwealth of Pennsylvania or at its principal place of business wherever situated or at the office of its registrar or transfer agent. Any books, minutes or other records may be in written form or any other form capable of being converted into written form within a reasonable time.</w:t>
      </w:r>
    </w:p>
    <w:p>
      <w:pPr>
        <w:spacing w:after="0" w:line="315" w:lineRule="exact"/>
        <w:rPr>
          <w:rFonts w:ascii="Times New Roman" w:cs="Times New Roman" w:eastAsia="Times New Roman" w:hAnsi="Times New Roman"/>
          <w:sz w:val="22"/>
          <w:szCs w:val="22"/>
          <w:color w:val="010000"/>
        </w:rPr>
      </w:pPr>
    </w:p>
    <w:p>
      <w:pPr>
        <w:jc w:val="both"/>
        <w:ind w:firstLine="656"/>
        <w:spacing w:after="0" w:line="262" w:lineRule="auto"/>
        <w:tabs>
          <w:tab w:leader="none" w:pos="1080"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 of Inspection</w:t>
      </w:r>
      <w:r>
        <w:rPr>
          <w:rFonts w:ascii="Times New Roman" w:cs="Times New Roman" w:eastAsia="Times New Roman" w:hAnsi="Times New Roman"/>
          <w:sz w:val="22"/>
          <w:szCs w:val="22"/>
          <w:color w:val="auto"/>
        </w:rPr>
        <w:t>.--Every shareholder shall, upon written verified demand stating the purpose thereof, have a right to examine, in person or by agent or attorney, during the usual hours for business for any proper purpose, the share register, books and records of account, and records of the proceedings of the incorporators, shareholders and directors and to make copies or extracts therefrom. A proper purpose shall mean a purpose reasonably related to the interest of the person as a shareholder. In every instance where an attorney or other agent is the person who seeks the right of inspection, the demand shall be accompanied by a verified power of attorney or other writing that authorizes the attorney or other agent to so act on behalf of the shareholder. The demand shall be directed to the corporation at its registered office in the Commonwealth of Pennsylvania or at its principal place of business wherever situated.</w:t>
      </w:r>
    </w:p>
    <w:p>
      <w:pPr>
        <w:spacing w:after="0" w:line="31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Section 8.07. </w:t>
      </w:r>
      <w:r>
        <w:rPr>
          <w:rFonts w:ascii="Times New Roman" w:cs="Times New Roman" w:eastAsia="Times New Roman" w:hAnsi="Times New Roman"/>
          <w:sz w:val="22"/>
          <w:szCs w:val="22"/>
          <w:u w:val="single" w:color="auto"/>
          <w:color w:val="000000"/>
        </w:rPr>
        <w:t>Financial Reports</w:t>
      </w:r>
      <w:r>
        <w:rPr>
          <w:rFonts w:ascii="Times New Roman" w:cs="Times New Roman" w:eastAsia="Times New Roman" w:hAnsi="Times New Roman"/>
          <w:sz w:val="22"/>
          <w:szCs w:val="22"/>
          <w:color w:val="000000"/>
        </w:rPr>
        <w:t>.--Unless otherwise agreed between the corporation and a shareholder, the corporation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furnish to its shareholders annual financial statements, including at least a balance sheet as of the end of each fiscal year and a statement of income and expenses for the fiscal year. The financial statements shall be prepared on the basis of generally accepted accounting principles, if the corporation prepares financial statements for the fiscal year on that basis for any purpose, and may be consolidated statements of the corporation and one or more of its subsidiaries. The financial statements shall be mailed by the corporation to each of its shareholders entitled thereto within 120 days after the close of each fiscal year and, after the mailing and upon written request, shall be mailed by the corporation to any shareholder or beneficial owner entitled thereto to when a copy of the most recent annual financial statements has not previously been mailed.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841" w:right="239" w:bottom="1440" w:gutter="0" w:footer="0" w:header="0"/>
        </w:sectPr>
      </w:pPr>
    </w:p>
    <w:bookmarkStart w:id="63" w:name="page64"/>
    <w:bookmarkEnd w:id="63"/>
    <w:p>
      <w:pPr>
        <w:spacing w:after="0" w:line="284" w:lineRule="auto"/>
        <w:rPr>
          <w:sz w:val="20"/>
          <w:szCs w:val="20"/>
          <w:color w:val="auto"/>
        </w:rPr>
      </w:pPr>
      <w:r>
        <w:rPr>
          <w:rFonts w:ascii="Times New Roman" w:cs="Times New Roman" w:eastAsia="Times New Roman" w:hAnsi="Times New Roman"/>
          <w:sz w:val="22"/>
          <w:szCs w:val="22"/>
          <w:color w:val="auto"/>
        </w:rPr>
        <w:t>Statements that are audited or reviewed by a public accountant shall be accompanied by the report of the accountant; in other cases, each copy shall be accompanied by a statement of the person in charge of the financial records of the corporation:</w:t>
      </w:r>
    </w:p>
    <w:p>
      <w:pPr>
        <w:spacing w:after="0" w:line="293" w:lineRule="exact"/>
        <w:rPr>
          <w:sz w:val="20"/>
          <w:szCs w:val="20"/>
          <w:color w:val="auto"/>
        </w:rPr>
      </w:pPr>
    </w:p>
    <w:p>
      <w:pPr>
        <w:ind w:left="660" w:right="20" w:firstLine="645"/>
        <w:spacing w:after="0" w:line="297" w:lineRule="auto"/>
        <w:tabs>
          <w:tab w:leader="none" w:pos="1781"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Stating his or her reasonable belief as to whether or not the financial statements were prepared in accordance with generally accepted accounting principles and, if not, describing the basis of presentation.</w:t>
      </w:r>
    </w:p>
    <w:p>
      <w:pPr>
        <w:spacing w:after="0" w:line="278" w:lineRule="exact"/>
        <w:rPr>
          <w:rFonts w:ascii="Times New Roman" w:cs="Times New Roman" w:eastAsia="Times New Roman" w:hAnsi="Times New Roman"/>
          <w:sz w:val="22"/>
          <w:szCs w:val="22"/>
          <w:color w:val="010000"/>
        </w:rPr>
      </w:pPr>
    </w:p>
    <w:p>
      <w:pPr>
        <w:ind w:left="660" w:firstLine="645"/>
        <w:spacing w:after="0" w:line="297" w:lineRule="auto"/>
        <w:tabs>
          <w:tab w:leader="none" w:pos="1754"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Describing any material respects in which the financial statements were not prepared on a basis consistent with those prepared for the previous year.</w:t>
      </w:r>
    </w:p>
    <w:p>
      <w:pPr>
        <w:spacing w:after="0" w:line="27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010000"/>
        </w:rPr>
        <w:t>Section 8.08.</w:t>
      </w:r>
      <w:r>
        <w:rPr>
          <w:sz w:val="20"/>
          <w:szCs w:val="20"/>
          <w:color w:val="auto"/>
        </w:rPr>
        <w:tab/>
      </w:r>
      <w:r>
        <w:rPr>
          <w:rFonts w:ascii="Times New Roman" w:cs="Times New Roman" w:eastAsia="Times New Roman" w:hAnsi="Times New Roman"/>
          <w:sz w:val="21"/>
          <w:szCs w:val="21"/>
          <w:u w:val="single" w:color="auto"/>
          <w:color w:val="auto"/>
        </w:rPr>
        <w:t>Amendment of Bylaws</w:t>
      </w:r>
      <w:r>
        <w:rPr>
          <w:rFonts w:ascii="Times New Roman" w:cs="Times New Roman" w:eastAsia="Times New Roman" w:hAnsi="Times New Roman"/>
          <w:sz w:val="21"/>
          <w:szCs w:val="21"/>
          <w:color w:val="auto"/>
        </w:rPr>
        <w:t>.--These bylaws may be amended or repealed, or new bylaws may be adopted, either</w:t>
      </w:r>
    </w:p>
    <w:p>
      <w:pPr>
        <w:spacing w:after="0" w:line="31" w:lineRule="exact"/>
        <w:rPr>
          <w:sz w:val="20"/>
          <w:szCs w:val="20"/>
          <w:color w:val="auto"/>
        </w:rPr>
      </w:pPr>
    </w:p>
    <w:p>
      <w:pPr>
        <w:jc w:val="both"/>
        <w:ind w:firstLine="8"/>
        <w:spacing w:after="0" w:line="278" w:lineRule="auto"/>
        <w:tabs>
          <w:tab w:leader="none" w:pos="26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vote of the shareholders at any duly organized annual or special meeting of shareholders, or (ii) with respect to those matters that are not by statute committed expressly to the shareholders and regardless of whether the shareholders have previously adopted or approved the bylaw being amended or repealed, by vote of a majority of the board of directors of the corporation in office at any regular or special meeting of directors. Any change in these bylaws shall take effect when adopted unless otherwise provided in the resolution effecting the change. See Section 2.03(b) (relating to notice of action by shareholders on bylaws).</w:t>
      </w:r>
    </w:p>
    <w:p>
      <w:pPr>
        <w:spacing w:after="0" w:line="3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ARTICLE IX</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Forum for Adjudication of Disputes</w:t>
      </w:r>
    </w:p>
    <w:p>
      <w:pPr>
        <w:spacing w:after="0" w:line="3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010000"/>
        </w:rPr>
        <w:t xml:space="preserve">Section 9.01. </w:t>
      </w:r>
      <w:r>
        <w:rPr>
          <w:rFonts w:ascii="Times New Roman" w:cs="Times New Roman" w:eastAsia="Times New Roman" w:hAnsi="Times New Roman"/>
          <w:sz w:val="22"/>
          <w:szCs w:val="22"/>
          <w:color w:val="000000"/>
        </w:rPr>
        <w:t>Forum.-- Unless the corporation, in writing, selects or consents to the selection of an alternative forum,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sole and exclusive forum for any internal corporate claims (as defined below), to the fullest extent permitted by law, and subject to applicable jurisdictional requirements, shall be the Court of Common Pleas of Chester County, Pennsylvania (or, if that forum is not available for any jurisdictional reason, the United States District Court for the Eastern District of Pennsylvania or, if that forum is not available, any other federal or state court within the Commonwealth of Pennsylvania). For purposes of this Article IX, internal corporate claims means claims, including claims in the right of the corporation: (a) that are based upon a violation of a duty by a current or former director, officer, employee or shareholder in such capacity; (b) that arise pursuant to any provision of the Business Corporation Law or as to which the Business Corporation Law confers jurisdiction upon any court; or (c) that are governed by the internal affairs doctrine.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11,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841"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Donald W. Layden, Jr., certify that:</w:t>
      </w:r>
    </w:p>
    <w:p>
      <w:pPr>
        <w:spacing w:after="0" w:line="156" w:lineRule="exact"/>
        <w:rPr>
          <w:sz w:val="20"/>
          <w:szCs w:val="20"/>
          <w:color w:val="auto"/>
        </w:rPr>
      </w:pPr>
    </w:p>
    <w:p>
      <w:pPr>
        <w:ind w:left="660" w:hanging="652"/>
        <w:spacing w:after="0" w:line="207" w:lineRule="exact"/>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USA Technologies, Inc.;</w:t>
      </w:r>
    </w:p>
    <w:p>
      <w:pPr>
        <w:spacing w:after="0" w:line="21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08"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November 12, 2019</w:t>
      </w:r>
      <w:r>
        <w:rPr>
          <w:sz w:val="20"/>
          <w:szCs w:val="20"/>
          <w:color w:val="auto"/>
        </w:rPr>
        <w:tab/>
      </w:r>
      <w:r>
        <w:rPr>
          <w:rFonts w:ascii="Times New Roman" w:cs="Times New Roman" w:eastAsia="Times New Roman" w:hAnsi="Times New Roman"/>
          <w:sz w:val="17"/>
          <w:szCs w:val="17"/>
          <w:color w:val="auto"/>
        </w:rPr>
        <w:t>/s/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Donald W. Layden, Jr.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420"/>
          </w:cols>
          <w:pgMar w:left="240" w:top="752"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E. Goold, certify that:</w:t>
      </w:r>
    </w:p>
    <w:p>
      <w:pPr>
        <w:spacing w:after="0" w:line="156" w:lineRule="exact"/>
        <w:rPr>
          <w:sz w:val="20"/>
          <w:szCs w:val="20"/>
          <w:color w:val="auto"/>
        </w:rPr>
      </w:pPr>
    </w:p>
    <w:p>
      <w:pPr>
        <w:ind w:left="660" w:hanging="652"/>
        <w:spacing w:after="0" w:line="207" w:lineRule="exact"/>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USA Technologies, Inc.;</w:t>
      </w:r>
    </w:p>
    <w:p>
      <w:pPr>
        <w:spacing w:after="0" w:line="21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08"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November 12, 2019</w:t>
      </w:r>
      <w:r>
        <w:rPr>
          <w:sz w:val="20"/>
          <w:szCs w:val="20"/>
          <w:color w:val="auto"/>
        </w:rPr>
        <w:tab/>
      </w:r>
      <w:r>
        <w:rPr>
          <w:rFonts w:ascii="Times New Roman" w:cs="Times New Roman" w:eastAsia="Times New Roman" w:hAnsi="Times New Roman"/>
          <w:sz w:val="17"/>
          <w:szCs w:val="17"/>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420"/>
          </w:cols>
          <w:pgMar w:left="240" w:top="752"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38"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September 30, 2019 (the “Report”), I, Donald W. Layden, Jr., Interim Chief Executive Officer of the Company, hereby certify that to my knowledge:</w:t>
      </w:r>
    </w:p>
    <w:p>
      <w:pPr>
        <w:spacing w:after="0" w:line="15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November 12, 2019</w:t>
      </w:r>
      <w:r>
        <w:rPr>
          <w:sz w:val="20"/>
          <w:szCs w:val="20"/>
          <w:color w:val="auto"/>
        </w:rPr>
        <w:tab/>
      </w:r>
      <w:r>
        <w:rPr>
          <w:rFonts w:ascii="Times New Roman" w:cs="Times New Roman" w:eastAsia="Times New Roman" w:hAnsi="Times New Roman"/>
          <w:sz w:val="17"/>
          <w:szCs w:val="17"/>
          <w:color w:val="auto"/>
        </w:rPr>
        <w:t>/s/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Donald W. Layden, Jr.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420"/>
          </w:cols>
          <w:pgMar w:left="240" w:top="752"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38"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September 30, 2019 (the “Report”), I, Glen E. Goold, Interim Chief Financial Officer of the Company, hereby certify that to my knowledge:</w:t>
      </w:r>
    </w:p>
    <w:p>
      <w:pPr>
        <w:spacing w:after="0" w:line="159"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November 12, 2019</w:t>
      </w:r>
      <w:r>
        <w:rPr>
          <w:sz w:val="20"/>
          <w:szCs w:val="20"/>
          <w:color w:val="auto"/>
        </w:rPr>
        <w:tab/>
      </w:r>
      <w:r>
        <w:rPr>
          <w:rFonts w:ascii="Times New Roman" w:cs="Times New Roman" w:eastAsia="Times New Roman" w:hAnsi="Times New Roman"/>
          <w:sz w:val="17"/>
          <w:szCs w:val="17"/>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Financial Officer</w:t>
      </w:r>
    </w:p>
    <w:sectPr>
      <w:pgSz w:w="11900" w:h="16838" w:orient="portrait"/>
      <w:cols w:equalWidth="0" w:num="1">
        <w:col w:w="11420"/>
      </w:cols>
      <w:pgMar w:left="240" w:top="7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lowerLetter"/>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decimal"/>
      <w:start w:val="2"/>
    </w:lvl>
  </w:abstractNum>
  <w:abstractNum w:abstractNumId="10">
    <w:nsid w:val="2463B9EA"/>
    <w:multiLevelType w:val="hybridMultilevel"/>
    <w:lvl w:ilvl="0">
      <w:lvlJc w:val="left"/>
      <w:lvlText w:val="%1"/>
      <w:numFmt w:val="decimal"/>
      <w:start w:val="101"/>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lowerLetter"/>
      <w:start w:val="2"/>
    </w:lvl>
  </w:abstractNum>
  <w:abstractNum w:abstractNumId="13">
    <w:nsid w:val="2D517796"/>
    <w:multiLevelType w:val="hybridMultilevel"/>
    <w:lvl w:ilvl="0">
      <w:lvlJc w:val="left"/>
      <w:lvlText w:val="%1"/>
      <w:numFmt w:val="decimal"/>
      <w:start w:val="1"/>
    </w:lvl>
    <w:lvl w:ilvl="1">
      <w:lvlJc w:val="left"/>
      <w:lvlText w:val="(%2)"/>
      <w:numFmt w:val="lowerLetter"/>
      <w:start w:val="1"/>
    </w:lvl>
  </w:abstractNum>
  <w:abstractNum w:abstractNumId="14">
    <w:nsid w:val="580BD78F"/>
    <w:multiLevelType w:val="hybridMultilevel"/>
    <w:lvl w:ilvl="0">
      <w:lvlJc w:val="left"/>
      <w:lvlText w:val="(%1)"/>
      <w:numFmt w:val="decimal"/>
      <w:start w:val="2"/>
    </w:lvl>
    <w:lvl w:ilvl="1">
      <w:lvlJc w:val="left"/>
      <w:lvlText w:val="(%2)"/>
      <w:numFmt w:val="lowerLetter"/>
      <w:start w:val="2"/>
    </w:lvl>
  </w:abstractNum>
  <w:abstractNum w:abstractNumId="15">
    <w:nsid w:val="153EA438"/>
    <w:multiLevelType w:val="hybridMultilevel"/>
    <w:lvl w:ilvl="0">
      <w:lvlJc w:val="left"/>
      <w:lvlText w:val="(%1)"/>
      <w:numFmt w:val="lowerLetter"/>
      <w:start w:val="3"/>
    </w:lvl>
    <w:lvl w:ilvl="1">
      <w:lvlJc w:val="left"/>
      <w:lvlText w:val="(%2)"/>
      <w:numFmt w:val="decimal"/>
      <w:start w:val="1"/>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0">
    <w:nsid w:val="1D4ED43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1">
    <w:nsid w:val="725A06FB"/>
    <w:multiLevelType w:val="hybridMultilevel"/>
    <w:lvl w:ilvl="0">
      <w:lvlJc w:val="left"/>
      <w:lvlText w:val="(%1)"/>
      <w:numFmt w:val="decimal"/>
      <w:start w:val="3"/>
    </w:lvl>
    <w:lvl w:ilvl="1">
      <w:lvlJc w:val="left"/>
      <w:lvlText w:val="(%2)"/>
      <w:numFmt w:val="lowerLetter"/>
      <w:start w:val="4"/>
    </w:lvl>
    <w:lvl w:ilvl="2">
      <w:lvlJc w:val="left"/>
      <w:lvlText w:val="(%3)"/>
      <w:numFmt w:val="decimal"/>
      <w:start w:val="1"/>
    </w:lvl>
  </w:abstractNum>
  <w:abstractNum w:abstractNumId="22">
    <w:nsid w:val="2CD89A32"/>
    <w:multiLevelType w:val="hybridMultilevel"/>
    <w:lvl w:ilvl="0">
      <w:lvlJc w:val="left"/>
      <w:lvlText w:val="(%1)"/>
      <w:numFmt w:val="decimal"/>
      <w:start w:val="2"/>
    </w:lvl>
  </w:abstractNum>
  <w:abstractNum w:abstractNumId="23">
    <w:nsid w:val="57E4CCAF"/>
    <w:multiLevelType w:val="hybridMultilevel"/>
    <w:lvl w:ilvl="0">
      <w:lvlJc w:val="left"/>
      <w:lvlText w:val="(%1)"/>
      <w:numFmt w:val="lowerLetter"/>
      <w:start w:val="5"/>
    </w:lvl>
  </w:abstractNum>
  <w:abstractNum w:abstractNumId="24">
    <w:nsid w:val="7A6D8D3C"/>
    <w:multiLevelType w:val="hybridMultilevel"/>
    <w:lvl w:ilvl="0">
      <w:lvlJc w:val="left"/>
      <w:lvlText w:val="(%1)"/>
      <w:numFmt w:val="lowerLetter"/>
      <w:start w:val="1"/>
    </w:lvl>
  </w:abstractNum>
  <w:abstractNum w:abstractNumId="25">
    <w:nsid w:val="4B588F54"/>
    <w:multiLevelType w:val="hybridMultilevel"/>
    <w:lvl w:ilvl="0">
      <w:lvlJc w:val="left"/>
      <w:lvlText w:val="(%1)"/>
      <w:numFmt w:val="lowerLetter"/>
      <w:start w:val="35"/>
    </w:lvl>
    <w:lvl w:ilvl="1">
      <w:lvlJc w:val="left"/>
      <w:lvlText w:val="(%2)"/>
      <w:numFmt w:val="lowerLetter"/>
      <w:start w:val="3"/>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lowerLetter"/>
      <w:start w:val="4"/>
    </w:lvl>
  </w:abstractNum>
  <w:abstractNum w:abstractNumId="28">
    <w:nsid w:val="38437FDB"/>
    <w:multiLevelType w:val="hybridMultilevel"/>
    <w:lvl w:ilvl="0">
      <w:lvlJc w:val="left"/>
      <w:lvlText w:val="(%1)"/>
      <w:numFmt w:val="lowerLetter"/>
      <w:start w:val="1"/>
    </w:lvl>
    <w:lvl w:ilvl="1">
      <w:lvlJc w:val="left"/>
      <w:lvlText w:val="(%2)"/>
      <w:numFmt w:val="decimal"/>
      <w:start w:val="1"/>
    </w:lvl>
  </w:abstractNum>
  <w:abstractNum w:abstractNumId="29">
    <w:nsid w:val="7644A45C"/>
    <w:multiLevelType w:val="hybridMultilevel"/>
    <w:lvl w:ilvl="0">
      <w:lvlJc w:val="left"/>
      <w:lvlText w:val="%1"/>
      <w:numFmt w:val="lowerLetter"/>
      <w:start w:val="1"/>
    </w:lvl>
    <w:lvl w:ilvl="1">
      <w:lvlJc w:val="left"/>
      <w:lvlText w:val="(%2)"/>
      <w:numFmt w:val="decimal"/>
      <w:start w:val="2"/>
    </w:lvl>
  </w:abstractNum>
  <w:abstractNum w:abstractNumId="30">
    <w:nsid w:val="32FFF902"/>
    <w:multiLevelType w:val="hybridMultilevel"/>
    <w:lvl w:ilvl="0">
      <w:lvlJc w:val="left"/>
      <w:lvlText w:val="(%1)"/>
      <w:numFmt w:val="lowerLetter"/>
      <w:start w:val="2"/>
    </w:lvl>
    <w:lvl w:ilvl="1">
      <w:lvlJc w:val="left"/>
      <w:lvlText w:val="(%2)"/>
      <w:numFmt w:val="decimal"/>
      <w:start w:val="1"/>
    </w:lvl>
  </w:abstractNum>
  <w:abstractNum w:abstractNumId="31">
    <w:nsid w:val="684A481A"/>
    <w:multiLevelType w:val="hybridMultilevel"/>
    <w:lvl w:ilvl="0">
      <w:lvlJc w:val="left"/>
      <w:lvlText w:val="(%1)"/>
      <w:numFmt w:val="lowerLetter"/>
      <w:start w:val="1"/>
    </w:lvl>
    <w:lvl w:ilvl="1">
      <w:lvlJc w:val="left"/>
      <w:lvlText w:val="(%2)"/>
      <w:numFmt w:val="decimal"/>
      <w:start w:val="1"/>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lowerLetter"/>
      <w:start w:val="2"/>
    </w:lvl>
  </w:abstractNum>
  <w:abstractNum w:abstractNumId="34">
    <w:nsid w:val="3DC240FB"/>
    <w:multiLevelType w:val="hybridMultilevel"/>
    <w:lvl w:ilvl="0">
      <w:lvlJc w:val="left"/>
      <w:lvlText w:val="(%1)"/>
      <w:numFmt w:val="lowerLetter"/>
      <w:start w:val="1"/>
    </w:lvl>
    <w:lvl w:ilvl="1">
      <w:lvlJc w:val="left"/>
      <w:lvlText w:val="(%2)"/>
      <w:numFmt w:val="decimal"/>
      <w:start w:val="1"/>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4"/>
    </w:lvl>
  </w:abstractNum>
  <w:abstractNum w:abstractNumId="38">
    <w:nsid w:val="12E685FB"/>
    <w:multiLevelType w:val="hybridMultilevel"/>
    <w:lvl w:ilvl="0">
      <w:lvlJc w:val="left"/>
      <w:lvlText w:val="(%1)"/>
      <w:numFmt w:val="lowerLetter"/>
      <w:start w:val="1"/>
    </w:lvl>
  </w:abstractNum>
  <w:abstractNum w:abstractNumId="39">
    <w:nsid w:val="70C6A5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lowerLetter"/>
      <w:start w:val="3"/>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Letter"/>
      <w:start w:val="1"/>
    </w:lvl>
    <w:lvl w:ilvl="1">
      <w:lvlJc w:val="left"/>
      <w:lvlText w:val="(%2)"/>
      <w:numFmt w:val="decimal"/>
      <w:start w:val="1"/>
    </w:lvl>
  </w:abstractNum>
  <w:abstractNum w:abstractNumId="48">
    <w:nsid w:val="180115BE"/>
    <w:multiLevelType w:val="hybridMultilevel"/>
    <w:lvl w:ilvl="0">
      <w:lvlJc w:val="left"/>
      <w:lvlText w:val="(%1)"/>
      <w:numFmt w:val="lowerLetter"/>
      <w:start w:val="2"/>
    </w:lvl>
    <w:lvl w:ilvl="1">
      <w:lvlJc w:val="left"/>
      <w:lvlText w:val="%2"/>
      <w:numFmt w:val="decimal"/>
      <w:start w:val="1"/>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2"/>
    </w:lvl>
  </w:abstractNum>
  <w:abstractNum w:abstractNumId="53">
    <w:nsid w:val="741226BB"/>
    <w:multiLevelType w:val="hybridMultilevel"/>
    <w:lvl w:ilvl="0">
      <w:lvlJc w:val="left"/>
      <w:lvlText w:val="(%1)"/>
      <w:numFmt w:val="lowerLetter"/>
      <w:start w:val="1"/>
    </w:lvl>
    <w:lvl w:ilvl="1">
      <w:lvlJc w:val="left"/>
      <w:lvlText w:val="(%2)"/>
      <w:numFmt w:val="decimal"/>
      <w:start w:val="1"/>
    </w:lvl>
  </w:abstractNum>
  <w:abstractNum w:abstractNumId="54">
    <w:nsid w:val="D34B6A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55">
    <w:nsid w:val="10233C9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6">
    <w:nsid w:val="3F6AB60F"/>
    <w:multiLevelType w:val="hybridMultilevel"/>
    <w:lvl w:ilvl="0">
      <w:lvlJc w:val="left"/>
      <w:lvlText w:val="(%1)"/>
      <w:numFmt w:val="decimal"/>
      <w:start w:val="4"/>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Letter"/>
      <w:start w:val="1"/>
    </w:lvl>
    <w:lvl w:ilvl="1">
      <w:lvlJc w:val="left"/>
      <w:lvlText w:val="(%2)"/>
      <w:numFmt w:val="decimal"/>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lowerRoman"/>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2019-12-28T01:42:41Z</dcterms:created>
  <dcterms:modified xsi:type="dcterms:W3CDTF">2019-12-28T01:42:41Z</dcterms:modified>
</cp:coreProperties>
</file>