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2" w:lineRule="exact"/>
        <w:rPr>
          <w:sz w:val="24"/>
          <w:szCs w:val="24"/>
          <w:color w:val="auto"/>
        </w:rPr>
      </w:pPr>
    </w:p>
    <w:p>
      <w:pPr>
        <w:ind w:left="1240" w:hanging="1070"/>
        <w:spacing w:after="0"/>
        <w:tabs>
          <w:tab w:leader="none" w:pos="1240" w:val="left"/>
        </w:tabs>
        <w:numPr>
          <w:ilvl w:val="0"/>
          <w:numId w:val="1"/>
        </w:numPr>
        <w:rPr>
          <w:rFonts w:ascii="MS PGothic" w:cs="MS PGothic" w:eastAsia="MS PGothic" w:hAnsi="MS PGothic"/>
          <w:sz w:val="32"/>
          <w:szCs w:val="32"/>
          <w:color w:val="auto"/>
          <w:vertAlign w:val="subscript"/>
        </w:rPr>
      </w:pPr>
      <w:r>
        <w:rPr>
          <w:rFonts w:ascii="Times New Roman" w:cs="Times New Roman" w:eastAsia="Times New Roman" w:hAnsi="Times New Roman"/>
          <w:sz w:val="18"/>
          <w:szCs w:val="18"/>
          <w:b w:val="1"/>
          <w:bCs w:val="1"/>
          <w:color w:val="auto"/>
        </w:rPr>
        <w:t>QUARTERLY REPORT PURSUANT TO SECTION 13 OR 15 (d) OF THE SECURITIES EXCHANGE ACT OF 1934</w:t>
      </w:r>
    </w:p>
    <w:p>
      <w:pPr>
        <w:spacing w:after="0" w:line="221"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10"/>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December 31, 2023</w:t>
            </w:r>
          </w:p>
        </w:tc>
      </w:tr>
      <w:tr>
        <w:trPr>
          <w:trHeight w:val="324"/>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5"/>
              </w:rPr>
              <w:t>OR</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5"/>
        </w:trPr>
        <w:tc>
          <w:tcPr>
            <w:tcW w:w="200" w:type="dxa"/>
            <w:vAlign w:val="bottom"/>
          </w:tcPr>
          <w:p>
            <w:pPr>
              <w:spacing w:after="0" w:line="181" w:lineRule="exact"/>
              <w:rPr>
                <w:sz w:val="20"/>
                <w:szCs w:val="20"/>
                <w:color w:val="auto"/>
              </w:rPr>
            </w:pPr>
            <w:r>
              <w:rPr>
                <w:rFonts w:ascii="MS PGothic" w:cs="MS PGothic" w:eastAsia="MS PGothic" w:hAnsi="MS PGothic"/>
                <w:sz w:val="18"/>
                <w:szCs w:val="18"/>
                <w:color w:val="auto"/>
                <w:w w:val="99"/>
              </w:rPr>
              <w:t>☐</w:t>
            </w:r>
          </w:p>
        </w:tc>
        <w:tc>
          <w:tcPr>
            <w:tcW w:w="20" w:type="dxa"/>
            <w:vAlign w:val="bottom"/>
          </w:tcPr>
          <w:p>
            <w:pPr>
              <w:spacing w:after="0"/>
              <w:rPr>
                <w:sz w:val="24"/>
                <w:szCs w:val="24"/>
                <w:color w:val="auto"/>
              </w:rPr>
            </w:pPr>
          </w:p>
        </w:tc>
        <w:tc>
          <w:tcPr>
            <w:tcW w:w="9600" w:type="dxa"/>
            <w:vAlign w:val="bottom"/>
            <w:gridSpan w:val="17"/>
          </w:tcPr>
          <w:p>
            <w:pPr>
              <w:ind w:left="1420"/>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 (d) OF THE EXCHANGE ACT OF 1934</w:t>
            </w:r>
          </w:p>
        </w:tc>
      </w:tr>
      <w:tr>
        <w:trPr>
          <w:trHeight w:val="391"/>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gridSpan w:val="9"/>
          </w:tcPr>
          <w:p>
            <w:pPr>
              <w:ind w:left="5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Commission file number 001-33365</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23"/>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Cantaloupe, Inc.</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0"/>
        </w:trPr>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gridSpan w:val="8"/>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3"/>
        </w:trPr>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520" w:type="dxa"/>
            <w:vAlign w:val="bottom"/>
            <w:gridSpan w:val="10"/>
          </w:tcPr>
          <w:p>
            <w:pPr>
              <w:jc w:val="center"/>
              <w:ind w:right="22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11"/>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gridSpan w:val="7"/>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23-2679963</w:t>
            </w: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00" w:type="dxa"/>
            <w:vAlign w:val="bottom"/>
            <w:gridSpan w:val="1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7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10"/>
        </w:trPr>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100 Deerfield Lane,</w:t>
            </w:r>
          </w:p>
        </w:tc>
        <w:tc>
          <w:tcPr>
            <w:tcW w:w="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Suite 300,</w:t>
            </w:r>
          </w:p>
        </w:tc>
        <w:tc>
          <w:tcPr>
            <w:tcW w:w="100" w:type="dxa"/>
            <w:vAlign w:val="bottom"/>
          </w:tcPr>
          <w:p>
            <w:pPr>
              <w:spacing w:after="0"/>
              <w:rPr>
                <w:sz w:val="24"/>
                <w:szCs w:val="24"/>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Malvern,</w:t>
            </w: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Pennsylvania</w:t>
            </w:r>
          </w:p>
        </w:tc>
        <w:tc>
          <w:tcPr>
            <w:tcW w:w="1840" w:type="dxa"/>
            <w:vAlign w:val="bottom"/>
            <w:gridSpan w:val="4"/>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19355</w:t>
            </w:r>
          </w:p>
        </w:tc>
        <w:tc>
          <w:tcPr>
            <w:tcW w:w="86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900" w:type="dxa"/>
            <w:vAlign w:val="bottom"/>
            <w:gridSpan w:val="12"/>
          </w:tcPr>
          <w:p>
            <w:pPr>
              <w:jc w:val="center"/>
              <w:ind w:right="19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60" w:type="dxa"/>
            <w:vAlign w:val="bottom"/>
          </w:tcPr>
          <w:p>
            <w:pPr>
              <w:spacing w:after="0"/>
              <w:rPr>
                <w:sz w:val="21"/>
                <w:szCs w:val="21"/>
                <w:color w:val="auto"/>
              </w:rPr>
            </w:pPr>
          </w:p>
        </w:tc>
        <w:tc>
          <w:tcPr>
            <w:tcW w:w="17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72"/>
        </w:trPr>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(610) 989-0340</w:t>
            </w: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90"/>
        </w:trPr>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gridSpan w:val="8"/>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-1998980</wp:posOffset>
            </wp:positionV>
            <wp:extent cx="1714500" cy="488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color w:val="auto"/>
                <w:w w:val="99"/>
              </w:rPr>
              <w:t>Trading Symbol</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418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640" w:type="dxa"/>
            <w:vAlign w:val="bottom"/>
          </w:tcPr>
          <w:p>
            <w:pPr>
              <w:jc w:val="center"/>
              <w:ind w:left="239"/>
              <w:spacing w:after="0"/>
              <w:rPr>
                <w:sz w:val="20"/>
                <w:szCs w:val="20"/>
                <w:color w:val="auto"/>
              </w:rPr>
            </w:pPr>
            <w:r>
              <w:rPr>
                <w:rFonts w:ascii="Times New Roman" w:cs="Times New Roman" w:eastAsia="Times New Roman" w:hAnsi="Times New Roman"/>
                <w:sz w:val="16"/>
                <w:szCs w:val="16"/>
                <w:color w:val="auto"/>
              </w:rPr>
              <w:t>CTLP</w:t>
            </w:r>
          </w:p>
        </w:tc>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4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February 5, 2024, there were 72,797,023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137160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140" w:type="dxa"/>
            <w:vAlign w:val="bottom"/>
            <w:gridSpan w:val="7"/>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8"/>
              </w:rPr>
              <w:t>Cantaloupe, Inc.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40" w:type="dxa"/>
            <w:vAlign w:val="bottom"/>
            <w:gridSpan w:val="8"/>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6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 December 31, 2023 (unaudited) and June 30, 2023</w:t>
            </w:r>
          </w:p>
        </w:tc>
        <w:tc>
          <w:tcPr>
            <w:tcW w:w="27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 Three and Six Months ended December 31, 2023 and 2022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 Three and Six Months ended December 31, 2023 and 2022</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80" w:type="dxa"/>
            <w:vAlign w:val="bottom"/>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Convertible Preferred Stock and Shareholders’ Equity - Three and Six Months ended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December 31, 2023 and 2022 (unaudited)</w:t>
            </w:r>
          </w:p>
        </w:tc>
        <w:tc>
          <w:tcPr>
            <w:tcW w:w="5980" w:type="dxa"/>
            <w:vAlign w:val="bottom"/>
            <w:tcBorders>
              <w:top w:val="single" w:sz="8" w:color="0000FF"/>
            </w:tcBorders>
            <w:gridSpan w:val="8"/>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Six Months ended December 31, 2023 and 2022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28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140" w:type="dxa"/>
            <w:vAlign w:val="bottom"/>
            <w:tcBorders>
              <w:left w:val="single" w:sz="8" w:color="0000EE"/>
            </w:tcBorders>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1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00" w:type="dxa"/>
            <w:vAlign w:val="bottom"/>
            <w:gridSpan w:val="2"/>
          </w:tcPr>
          <w:p>
            <w:pPr>
              <w:spacing w:after="0"/>
              <w:rPr>
                <w:sz w:val="24"/>
                <w:szCs w:val="24"/>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600" w:type="dxa"/>
            <w:vAlign w:val="bottom"/>
            <w:gridSpan w:val="2"/>
          </w:tcPr>
          <w:p>
            <w:pPr>
              <w:spacing w:after="0"/>
              <w:rPr>
                <w:sz w:val="24"/>
                <w:szCs w:val="24"/>
                <w:color w:val="auto"/>
              </w:rPr>
            </w:pPr>
          </w:p>
        </w:tc>
        <w:tc>
          <w:tcPr>
            <w:tcW w:w="18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2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00" w:type="dxa"/>
            <w:vAlign w:val="bottom"/>
            <w:gridSpan w:val="2"/>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EE"/>
              </w:rPr>
              <w:t>Exhibits</w:t>
            </w:r>
          </w:p>
        </w:tc>
        <w:tc>
          <w:tcPr>
            <w:tcW w:w="816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2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5"/>
                <w:szCs w:val="15"/>
                <w:color w:val="auto"/>
              </w:rPr>
            </w:pPr>
          </w:p>
        </w:tc>
        <w:tc>
          <w:tcPr>
            <w:tcW w:w="10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data)</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50,927</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r>
      <w:tr>
        <w:trPr>
          <w:trHeight w:val="237"/>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123,383</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25,281</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27,812</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92,005</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166,229</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8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302,388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52,869</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26,276</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obligations under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81,693</w:t>
            </w: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37,548</w:t>
            </w:r>
          </w:p>
        </w:tc>
      </w:tr>
      <w:tr>
        <w:trPr>
          <w:trHeight w:val="243"/>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40,327</w:t>
            </w:r>
          </w:p>
        </w:tc>
      </w:tr>
      <w:tr>
        <w:trPr>
          <w:trHeight w:val="54"/>
        </w:trPr>
        <w:tc>
          <w:tcPr>
            <w:tcW w:w="83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122,020</w:t>
            </w: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5"/>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 convertible preferred stock, 900,000 shares authorized, 385,782 issued and outstanding, with liquidation</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preferences of $22,433 and $22,144 at December 31, 2023 and June 30, 2023, respectively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5"/>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no par value, 640,000,000 shares authorized, 72,739,058 and 72,664,464 shares issued and</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 and June 30, 2023, respectively</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477,324</w:t>
            </w:r>
          </w:p>
        </w:tc>
      </w:tr>
      <w:tr>
        <w:trPr>
          <w:trHeight w:val="27"/>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(307,321)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(312,452)</w:t>
            </w:r>
          </w:p>
        </w:tc>
      </w:tr>
      <w:tr>
        <w:trPr>
          <w:trHeight w:val="243"/>
        </w:trPr>
        <w:tc>
          <w:tcPr>
            <w:tcW w:w="8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164,872</w:t>
            </w:r>
          </w:p>
        </w:tc>
      </w:tr>
      <w:tr>
        <w:trPr>
          <w:trHeight w:val="74"/>
        </w:trPr>
        <w:tc>
          <w:tcPr>
            <w:tcW w:w="8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r>
      <w:tr>
        <w:trPr>
          <w:trHeight w:val="28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stock,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302,388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289,612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20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20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46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data)</w:t>
            </w: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5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56,029</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48,932</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111,164</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96,007</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119,112</w:t>
            </w: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of sales: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60,572</w:t>
            </w:r>
          </w:p>
        </w:tc>
        <w:tc>
          <w:tcPr>
            <w:tcW w:w="0" w:type="dxa"/>
            <w:vAlign w:val="bottom"/>
          </w:tcPr>
          <w:p>
            <w:pPr>
              <w:spacing w:after="0"/>
              <w:rPr>
                <w:sz w:val="1"/>
                <w:szCs w:val="1"/>
                <w:color w:val="auto"/>
              </w:rPr>
            </w:pPr>
          </w:p>
        </w:tc>
      </w:tr>
      <w:tr>
        <w:trPr>
          <w:trHeight w:val="270"/>
        </w:trPr>
        <w:tc>
          <w:tcPr>
            <w:tcW w:w="5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15,785</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25,937</w:t>
            </w: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sales</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86,509</w:t>
            </w:r>
          </w:p>
        </w:tc>
        <w:tc>
          <w:tcPr>
            <w:tcW w:w="0" w:type="dxa"/>
            <w:vAlign w:val="bottom"/>
          </w:tcPr>
          <w:p>
            <w:pPr>
              <w:spacing w:after="0"/>
              <w:rPr>
                <w:sz w:val="1"/>
                <w:szCs w:val="1"/>
                <w:color w:val="auto"/>
              </w:rPr>
            </w:pPr>
          </w:p>
        </w:tc>
      </w:tr>
      <w:tr>
        <w:trPr>
          <w:trHeight w:val="148"/>
        </w:trPr>
        <w:tc>
          <w:tcPr>
            <w:tcW w:w="5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0" w:type="dxa"/>
            <w:vAlign w:val="bottom"/>
          </w:tcPr>
          <w:p>
            <w:pPr>
              <w:spacing w:after="0"/>
              <w:rPr>
                <w:sz w:val="1"/>
                <w:szCs w:val="1"/>
                <w:color w:val="auto"/>
              </w:rPr>
            </w:pPr>
          </w:p>
        </w:tc>
      </w:tr>
      <w:tr>
        <w:trPr>
          <w:trHeight w:val="225"/>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 net of insurance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42,036</w:t>
            </w: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0" w:type="dxa"/>
            <w:vAlign w:val="bottom"/>
          </w:tcPr>
          <w:p>
            <w:pPr>
              <w:spacing w:after="0"/>
              <w:rPr>
                <w:sz w:val="1"/>
                <w:szCs w:val="1"/>
                <w:color w:val="auto"/>
              </w:rPr>
            </w:pPr>
          </w:p>
        </w:tc>
      </w:tr>
      <w:tr>
        <w:trPr>
          <w:trHeight w:val="128"/>
        </w:trPr>
        <w:tc>
          <w:tcPr>
            <w:tcW w:w="5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from leases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70"/>
        </w:trPr>
        <w:tc>
          <w:tcPr>
            <w:tcW w:w="5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5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108"/>
        </w:trPr>
        <w:tc>
          <w:tcPr>
            <w:tcW w:w="5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0" w:type="dxa"/>
            <w:vAlign w:val="bottom"/>
          </w:tcPr>
          <w:p>
            <w:pPr>
              <w:spacing w:after="0"/>
              <w:rPr>
                <w:sz w:val="1"/>
                <w:szCs w:val="1"/>
                <w:color w:val="auto"/>
              </w:rPr>
            </w:pPr>
          </w:p>
        </w:tc>
      </w:tr>
      <w:tr>
        <w:trPr>
          <w:trHeight w:val="270"/>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6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shares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used to compute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applicable to common shares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72,743,162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71,629,939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72,730,563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71,418,845</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73,913,599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71,629,939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73,934,917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71,418,845</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6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4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37"/>
        </w:trPr>
        <w:tc>
          <w:tcPr>
            <w:tcW w:w="44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0" w:type="dxa"/>
            <w:vAlign w:val="bottom"/>
          </w:tcPr>
          <w:p>
            <w:pPr>
              <w:spacing w:after="0"/>
              <w:rPr>
                <w:sz w:val="1"/>
                <w:szCs w:val="1"/>
                <w:color w:val="auto"/>
              </w:rPr>
            </w:pPr>
          </w:p>
        </w:tc>
      </w:tr>
      <w:tr>
        <w:trPr>
          <w:trHeight w:val="94"/>
        </w:trPr>
        <w:tc>
          <w:tcPr>
            <w:tcW w:w="4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income tax</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40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December 31, 2023</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Convertible Preferred</w:t>
            </w:r>
          </w:p>
        </w:tc>
        <w:tc>
          <w:tcPr>
            <w:tcW w:w="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20" w:type="dxa"/>
            <w:vAlign w:val="bottom"/>
            <w:gridSpan w:val="4"/>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6"/>
        </w:trPr>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 except share</w:t>
            </w:r>
          </w:p>
        </w:tc>
        <w:tc>
          <w:tcPr>
            <w:tcW w:w="2000" w:type="dxa"/>
            <w:vAlign w:val="bottom"/>
            <w:tcBorders>
              <w:bottom w:val="single" w:sz="8" w:color="auto"/>
              <w:right w:val="single" w:sz="8" w:color="auto"/>
            </w:tcBorders>
            <w:gridSpan w:val="4"/>
            <w:vMerge w:val="continue"/>
          </w:tcPr>
          <w:p>
            <w:pPr>
              <w:spacing w:after="0"/>
              <w:rPr>
                <w:sz w:val="16"/>
                <w:szCs w:val="16"/>
                <w:color w:val="auto"/>
              </w:rPr>
            </w:pPr>
          </w:p>
        </w:tc>
        <w:tc>
          <w:tcPr>
            <w:tcW w:w="80" w:type="dxa"/>
            <w:vAlign w:val="bottom"/>
            <w:gridSpan w:val="2"/>
          </w:tcPr>
          <w:p>
            <w:pPr>
              <w:spacing w:after="0"/>
              <w:rPr>
                <w:sz w:val="16"/>
                <w:szCs w:val="16"/>
                <w:color w:val="auto"/>
              </w:rPr>
            </w:pPr>
          </w:p>
        </w:tc>
        <w:tc>
          <w:tcPr>
            <w:tcW w:w="222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center"/>
              <w:ind w:right="260"/>
              <w:spacing w:after="0" w:line="16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40" w:type="dxa"/>
            <w:vAlign w:val="bottom"/>
            <w:gridSpan w:val="4"/>
            <w:vMerge w:val="continue"/>
          </w:tcPr>
          <w:p>
            <w:pPr>
              <w:spacing w:after="0"/>
              <w:rPr>
                <w:sz w:val="12"/>
                <w:szCs w:val="12"/>
                <w:color w:val="auto"/>
              </w:rPr>
            </w:pP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40" w:type="dxa"/>
            <w:vAlign w:val="bottom"/>
          </w:tcPr>
          <w:p>
            <w:pPr>
              <w:spacing w:after="0"/>
              <w:rPr>
                <w:sz w:val="12"/>
                <w:szCs w:val="12"/>
                <w:color w:val="auto"/>
              </w:rPr>
            </w:pPr>
          </w:p>
        </w:tc>
        <w:tc>
          <w:tcPr>
            <w:tcW w:w="1240" w:type="dxa"/>
            <w:vAlign w:val="bottom"/>
          </w:tcPr>
          <w:p>
            <w:pPr>
              <w:jc w:val="center"/>
              <w:ind w:right="50"/>
              <w:spacing w:after="0" w:line="149" w:lineRule="exact"/>
              <w:rPr>
                <w:sz w:val="20"/>
                <w:szCs w:val="20"/>
                <w:color w:val="auto"/>
              </w:rPr>
            </w:pPr>
            <w:r>
              <w:rPr>
                <w:rFonts w:ascii="Times New Roman" w:cs="Times New Roman" w:eastAsia="Times New Roman" w:hAnsi="Times New Roman"/>
                <w:sz w:val="17"/>
                <w:szCs w:val="17"/>
                <w:b w:val="1"/>
                <w:bCs w:val="1"/>
                <w:color w:val="auto"/>
              </w:rPr>
              <w:t>Shareholders'</w:t>
            </w:r>
          </w:p>
        </w:tc>
        <w:tc>
          <w:tcPr>
            <w:tcW w:w="0" w:type="dxa"/>
            <w:vAlign w:val="bottom"/>
          </w:tcPr>
          <w:p>
            <w:pPr>
              <w:spacing w:after="0"/>
              <w:rPr>
                <w:sz w:val="1"/>
                <w:szCs w:val="1"/>
                <w:color w:val="auto"/>
              </w:rPr>
            </w:pPr>
          </w:p>
        </w:tc>
      </w:tr>
      <w:tr>
        <w:trPr>
          <w:trHeight w:val="229"/>
        </w:trPr>
        <w:tc>
          <w:tcPr>
            <w:tcW w:w="2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data)</w:t>
            </w:r>
          </w:p>
        </w:tc>
        <w:tc>
          <w:tcPr>
            <w:tcW w:w="100" w:type="dxa"/>
            <w:vAlign w:val="bottom"/>
            <w:tcBorders>
              <w:bottom w:val="single" w:sz="8" w:color="CCEEFF"/>
            </w:tcBorders>
            <w:gridSpan w:val="2"/>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vMerge w:val="continue"/>
          </w:tcPr>
          <w:p>
            <w:pPr>
              <w:spacing w:after="0"/>
              <w:rPr>
                <w:sz w:val="19"/>
                <w:szCs w:val="19"/>
                <w:color w:val="auto"/>
              </w:rPr>
            </w:pPr>
          </w:p>
        </w:tc>
        <w:tc>
          <w:tcPr>
            <w:tcW w:w="80" w:type="dxa"/>
            <w:vAlign w:val="bottom"/>
            <w:tcBorders>
              <w:bottom w:val="single" w:sz="8" w:color="CCEEFF"/>
            </w:tcBorders>
            <w:gridSpan w:val="2"/>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64"/>
        </w:trPr>
        <w:tc>
          <w:tcPr>
            <w:tcW w:w="2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72,664,464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477,324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(312,452)</w:t>
            </w: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164,872</w:t>
            </w:r>
          </w:p>
        </w:tc>
        <w:tc>
          <w:tcPr>
            <w:tcW w:w="0" w:type="dxa"/>
            <w:vAlign w:val="bottom"/>
          </w:tcPr>
          <w:p>
            <w:pPr>
              <w:spacing w:after="0"/>
              <w:rPr>
                <w:sz w:val="1"/>
                <w:szCs w:val="1"/>
                <w:color w:val="auto"/>
              </w:rPr>
            </w:pPr>
          </w:p>
        </w:tc>
      </w:tr>
      <w:tr>
        <w:trPr>
          <w:trHeight w:val="229"/>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29"/>
        </w:trPr>
        <w:tc>
          <w:tcPr>
            <w:tcW w:w="2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23"/>
        </w:trPr>
        <w:tc>
          <w:tcPr>
            <w:tcW w:w="244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72,695,265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479,332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(310,445)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168,887</w:t>
            </w:r>
          </w:p>
        </w:tc>
        <w:tc>
          <w:tcPr>
            <w:tcW w:w="0" w:type="dxa"/>
            <w:vAlign w:val="bottom"/>
          </w:tcPr>
          <w:p>
            <w:pPr>
              <w:spacing w:after="0"/>
              <w:rPr>
                <w:sz w:val="1"/>
                <w:szCs w:val="1"/>
                <w:color w:val="auto"/>
              </w:rPr>
            </w:pPr>
          </w:p>
        </w:tc>
      </w:tr>
      <w:tr>
        <w:trPr>
          <w:trHeight w:val="230"/>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29"/>
        </w:trPr>
        <w:tc>
          <w:tcPr>
            <w:tcW w:w="2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72,739,058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173,096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Three and Six Months Ended December 31, 2022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80" w:type="dxa"/>
            <w:vAlign w:val="bottom"/>
            <w:gridSpan w:val="6"/>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Convertible Preferred</w:t>
            </w:r>
          </w:p>
        </w:tc>
        <w:tc>
          <w:tcPr>
            <w:tcW w:w="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tcBorders>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20" w:type="dxa"/>
            <w:vAlign w:val="bottom"/>
            <w:gridSpan w:val="4"/>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right w:val="single" w:sz="8" w:color="auto"/>
            </w:tcBorders>
            <w:gridSpan w:val="4"/>
            <w:vMerge w:val="continue"/>
          </w:tcPr>
          <w:p>
            <w:pPr>
              <w:spacing w:after="0"/>
              <w:rPr>
                <w:sz w:val="15"/>
                <w:szCs w:val="15"/>
                <w:color w:val="auto"/>
              </w:rPr>
            </w:pPr>
          </w:p>
        </w:tc>
        <w:tc>
          <w:tcPr>
            <w:tcW w:w="80" w:type="dxa"/>
            <w:vAlign w:val="bottom"/>
            <w:gridSpan w:val="2"/>
          </w:tcPr>
          <w:p>
            <w:pPr>
              <w:spacing w:after="0"/>
              <w:rPr>
                <w:sz w:val="15"/>
                <w:szCs w:val="15"/>
                <w:color w:val="auto"/>
              </w:rPr>
            </w:pPr>
          </w:p>
        </w:tc>
        <w:tc>
          <w:tcPr>
            <w:tcW w:w="22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 in thousands, except share</w:t>
            </w:r>
          </w:p>
        </w:tc>
        <w:tc>
          <w:tcPr>
            <w:tcW w:w="20" w:type="dxa"/>
            <w:vAlign w:val="bottom"/>
          </w:tcPr>
          <w:p>
            <w:pPr>
              <w:spacing w:after="0"/>
              <w:rPr>
                <w:sz w:val="14"/>
                <w:szCs w:val="14"/>
                <w:color w:val="auto"/>
              </w:rPr>
            </w:pP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data)</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vMerge w:val="continue"/>
          </w:tcPr>
          <w:p>
            <w:pPr>
              <w:spacing w:after="0"/>
              <w:rPr>
                <w:sz w:val="19"/>
                <w:szCs w:val="19"/>
                <w:color w:val="auto"/>
              </w:rPr>
            </w:pPr>
          </w:p>
        </w:tc>
        <w:tc>
          <w:tcPr>
            <w:tcW w:w="80" w:type="dxa"/>
            <w:vAlign w:val="bottom"/>
            <w:tcBorders>
              <w:bottom w:val="single" w:sz="8" w:color="CCEEFF"/>
            </w:tcBorders>
            <w:gridSpan w:val="2"/>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64"/>
        </w:trPr>
        <w:tc>
          <w:tcPr>
            <w:tcW w:w="2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71,188,053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469,918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(313,085)</w:t>
            </w: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156,833</w:t>
            </w:r>
          </w:p>
        </w:tc>
        <w:tc>
          <w:tcPr>
            <w:tcW w:w="0" w:type="dxa"/>
            <w:vAlign w:val="bottom"/>
          </w:tcPr>
          <w:p>
            <w:pPr>
              <w:spacing w:after="0"/>
              <w:rPr>
                <w:sz w:val="1"/>
                <w:szCs w:val="1"/>
                <w:color w:val="auto"/>
              </w:rPr>
            </w:pPr>
          </w:p>
        </w:tc>
      </w:tr>
      <w:tr>
        <w:trPr>
          <w:trHeight w:val="230"/>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175"/>
        </w:trPr>
        <w:tc>
          <w:tcPr>
            <w:tcW w:w="24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Series A</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29"/>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71,218,130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(321,659)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147,844</w:t>
            </w:r>
          </w:p>
        </w:tc>
        <w:tc>
          <w:tcPr>
            <w:tcW w:w="0" w:type="dxa"/>
            <w:vAlign w:val="bottom"/>
          </w:tcPr>
          <w:p>
            <w:pPr>
              <w:spacing w:after="0"/>
              <w:rPr>
                <w:sz w:val="1"/>
                <w:szCs w:val="1"/>
                <w:color w:val="auto"/>
              </w:rPr>
            </w:pPr>
          </w:p>
        </w:tc>
      </w:tr>
      <w:tr>
        <w:trPr>
          <w:trHeight w:val="230"/>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75"/>
        </w:trPr>
        <w:tc>
          <w:tcPr>
            <w:tcW w:w="24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issued for</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43"/>
        </w:trPr>
        <w:tc>
          <w:tcPr>
            <w:tcW w:w="2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72,462,969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473,605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(322,232)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6"/>
        </w:trPr>
        <w:tc>
          <w:tcPr>
            <w:tcW w:w="1280" w:type="dxa"/>
            <w:vAlign w:val="bottom"/>
            <w:tcBorders>
              <w:top w:val="single" w:sz="8" w:color="0000FF"/>
            </w:tcBorders>
          </w:tcPr>
          <w:p>
            <w:pPr>
              <w:spacing w:after="0"/>
              <w:rPr>
                <w:sz w:val="24"/>
                <w:szCs w:val="24"/>
                <w:color w:val="auto"/>
              </w:rPr>
            </w:pPr>
          </w:p>
        </w:tc>
        <w:tc>
          <w:tcPr>
            <w:tcW w:w="716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Cantaloupe,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16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7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inventory reserve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included in operating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included in cost of subscription and transaction fees for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(35,913)</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0" w:type="dxa"/>
            <w:vAlign w:val="bottom"/>
          </w:tcPr>
          <w:p>
            <w:pPr>
              <w:spacing w:after="0"/>
              <w:rPr>
                <w:sz w:val="1"/>
                <w:szCs w:val="1"/>
                <w:color w:val="auto"/>
              </w:rPr>
            </w:pPr>
          </w:p>
        </w:tc>
      </w:tr>
      <w:tr>
        <w:trPr>
          <w:trHeight w:val="237"/>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4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paid for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Series A Convertible Preferred Stock</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37"/>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108" w:right="379" w:bottom="686"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062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(39,982)</w:t>
            </w:r>
          </w:p>
        </w:tc>
      </w:tr>
      <w:tr>
        <w:trPr>
          <w:trHeight w:val="270"/>
        </w:trPr>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68,125</w:t>
            </w:r>
          </w:p>
        </w:tc>
      </w:tr>
      <w:tr>
        <w:trPr>
          <w:trHeight w:val="27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43,478</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w:t>
            </w:r>
          </w:p>
        </w:tc>
      </w:tr>
      <w:tr>
        <w:trPr>
          <w:trHeight w:val="27"/>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720" w:space="720"/>
            <w:col w:w="2760"/>
          </w:cols>
          <w:pgMar w:left="320" w:top="108" w:right="379" w:bottom="686"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disclosures of cash flow information</w:t>
            </w:r>
            <w:r>
              <w:rPr>
                <w:rFonts w:ascii="Times New Roman" w:cs="Times New Roman" w:eastAsia="Times New Roman" w:hAnsi="Times New Roman"/>
                <w:sz w:val="18"/>
                <w:szCs w:val="18"/>
                <w:color w:val="auto"/>
              </w:rPr>
              <w:t>:</w:t>
            </w:r>
          </w:p>
        </w:tc>
        <w:tc>
          <w:tcPr>
            <w:tcW w:w="2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cash</w:t>
            </w:r>
          </w:p>
        </w:tc>
        <w:tc>
          <w:tcPr>
            <w:tcW w:w="28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7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in cash</w:t>
            </w:r>
          </w:p>
        </w:tc>
        <w:tc>
          <w:tcPr>
            <w:tcW w:w="2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in business combination</w:t>
            </w:r>
          </w:p>
        </w:tc>
        <w:tc>
          <w:tcPr>
            <w:tcW w:w="28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00"/>
          </w:cols>
          <w:pgMar w:left="320" w:top="108" w:right="379" w:bottom="686"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686"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Cantaloupe,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Cantaloupe, Inc., is organized under the laws of the Commonwealth of Pennsylvania. We are a digital payments and software services company that provides end-to-end technology solutions for self-service commerce. We offer a single platform for self-service commerce which includes integrated payments processing and software solutions that handle inventory management, pre-kitting, route logistics, warehouse and back-office management. Our enterprise-wide platform is designed to increase consumer engagement and sales revenue through digital payments, digital advertising and customer loyalty programs, while providing retailers with control and visibility over their operations and inventory. Our customers range from vending machine companies to operators of micro-markets and smart retail, laundromats, metered parking terminals, amusement and entertainment venues, IoT services and more.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Cantaloupe, Inc. and its consolidated subsidiaries are referred to herein collectively as "Cantaloupe," the "Company," "we," "our" or "us," unless the context requires otherwise.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Preparation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2023 Annual Report on Form 10-K.</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intercompany transactions and balances have been eliminated in consolidation. In the opinion of management, all adjustments considered necessary for a fair presentation, consisting of normal recurring adjustments, have been included. Operating results for the interim periods presented are not necessarily indicative of the results that may be expected for the entire fiscal year.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translate the result of operations of our foreign subsidiaries using average exchange rates for each period, whereas balance sheet accounts are translated using exchange rates at the end of each reporting period. The resulting translation adjustment is presented as a component of other comprehensive income (loss) and is included in accumulated comprehensive income (loss) within equity in our condensed consolidated balance sheets. Gains and losses on transactions denominated in currencies other than the functional currency are generally included in determining net income for the period. For the three and six months ended December 31, 2023 and 2022, our transaction gains and losses were insignificant.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Beginning with the fourth quarter of fiscal year 2023, the Company presented Convertible Preferred Stock on its Consolidated Statements of Shareholders’ Equity and changed the name of the statement to Consolidated Statements of Convertible Preferred Stock and Shareholders’ Equity accordingly. Prior period amounts have been reclassified to conform to the current period presentation.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which expands income tax disclosure requirements to include additional information related to the rate reconciliation of effective tax rates to statutory rates as well as additional disaggregation of taxes paid. The amendments in the ASU also remove disclosures related to certain unrecognized tax benefits and deferred taxes. ASU 2023-09 is effective for fiscal years beginning after December 15, 2024, which is the Company's fiscal year 2026 annual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reporting period. The amendments may be applied prospectively or retrospectively, and early adoption is permitted. We are currently assessing the impact of the requirements on our consolidated financial statements and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Improvements to Reportable Segment Disclosures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which expands reportable segment disclosure requirements, primarily through enhanced disclosures about significant segment expenses. The amendments in the ASU require that a public entity disclose, on an annual and interim basis, significant segment expenses that are regularly provided to an entity's chief operating decision maker (“CODM”), a description of other segment items by reportable segment, and any additional measures of a segment's profit or loss used by the CODM when deciding how to allocate resources. Annual disclosures are required for fiscal years beginning after December 15, 2023, which is the Company's fiscal year 2025 annual reporting period. Interim disclosures are required for periods within fiscal years beginning after December 15, 2024, which is the Company's fiscal year 2026 interim reporting periods. Retrospective application is required for all prior periods presented, and early adoption is permitted. We are currently assessing the impact of the requirements on our consolidated financial statements and disclosures.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period ended December 31, 2023, have had or are expected to have a significant impact on the Company’s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includes amounts due to the Company for sales of equipment and subscription fees, settlement receivables for amounts due from third-party payment processors, receivables from contract manufacturers and unbilled amounts due from customers, net of the allowance for credit losses. Accounts receivable, net of the allowance for uncollectible accounts were $40.2 million as of December 31, 2023 and $30.2 million as of June 30,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June 30, 2023, no customer represented more than 10% of the Company's accounts receivable, net of allowance.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maintains an allowance for credit losses resulting from the inability of its customers to make required payments, including from a shortfall in the customer transaction fund flow from which the Company would normally collect amounts due. The allowance is calculated under an expected loss model. We estimate our allowance using an aging analysis (days past due status) of the receivables balances, primarily based on historical loss experience. Additionally, current conditions are analyzed to determine if the allowance calculation needs to be adjusted further for any qualitative factors impacting a customer’s ability to meet its financial obligations that is not already reflected through the historical loss analysis. The Company writes off receivable balances against the allowance for credit losses when management determines the balance is uncollectible and the Company ceases collection efforts.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credit losses for the six months ended December 31, 2023 and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5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 of allowance as of June 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0" w:type="dxa"/>
            <w:vAlign w:val="bottom"/>
          </w:tcPr>
          <w:p>
            <w:pPr>
              <w:spacing w:after="0"/>
              <w:rPr>
                <w:sz w:val="1"/>
                <w:szCs w:val="1"/>
                <w:color w:val="auto"/>
              </w:rPr>
            </w:pPr>
          </w:p>
        </w:tc>
      </w:tr>
      <w:tr>
        <w:trPr>
          <w:trHeight w:val="234"/>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2"/>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8"/>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September 30,</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0" w:type="dxa"/>
            <w:vAlign w:val="bottom"/>
          </w:tcPr>
          <w:p>
            <w:pPr>
              <w:spacing w:after="0"/>
              <w:rPr>
                <w:sz w:val="1"/>
                <w:szCs w:val="1"/>
                <w:color w:val="auto"/>
              </w:rPr>
            </w:pPr>
          </w:p>
        </w:tc>
      </w:tr>
      <w:tr>
        <w:trPr>
          <w:trHeight w:val="22"/>
        </w:trPr>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4"/>
        </w:trPr>
        <w:tc>
          <w:tcPr>
            <w:tcW w:w="8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
        </w:trPr>
        <w:tc>
          <w:tcPr>
            <w:tcW w:w="8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FINANCE RECEIVABLES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finance receivables consist of financed devices under its financing program and devices contractually associated with the Seed platform. Predominately all of the Company’s finance receivables agreements are classified as non-cancellable sixty-month sales-type leases. As of December 31, 2023 and June 30, 2023, finance receivables consist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0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7"/>
                <w:szCs w:val="17"/>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finance receivables,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receivables due after one year,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r>
      <w:tr>
        <w:trPr>
          <w:trHeight w:val="27"/>
        </w:trPr>
        <w:tc>
          <w:tcPr>
            <w:tcW w:w="8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receivables, net of allowance of $2,257 and $2,098,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w:t>
      </w:r>
    </w:p>
    <w:p>
      <w:pPr>
        <w:spacing w:after="0"/>
        <w:rPr>
          <w:sz w:val="20"/>
          <w:szCs w:val="20"/>
          <w:color w:val="auto"/>
        </w:rPr>
      </w:pPr>
      <w:r>
        <w:rPr>
          <w:rFonts w:ascii="Times New Roman" w:cs="Times New Roman" w:eastAsia="Times New Roman" w:hAnsi="Times New Roman"/>
          <w:sz w:val="18"/>
          <w:szCs w:val="18"/>
          <w:color w:val="auto"/>
        </w:rPr>
        <w:t>the end of the monthly billing period.</w:t>
      </w:r>
    </w:p>
    <w:p>
      <w:pPr>
        <w:spacing w:after="0" w:line="2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for finance receivables is continuously monitored by management and reflected within the allowance for finance receivables. As our finance receivables generally have similar risk characteristics, our key credit quality indicator is the aging (days past due status) of our aggregated finance receivables balances. Specifically, we estimate our allowance by using an aging analysis of the aggregated finance receivables balances, primarily based on historical loss experience. Additionally, current conditions are analyzed to determine if the allowance calculation needs to be adjusted further for any qualitative factors impacting a customer’s ability to meet its financial obligations that is not already reflected through the historical loss analysis. The Company writes off finance receivable balances against the allowance for credit losses when management determines the balance is uncollectible and the Company ceases collection efforts.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gross lease receivable by current payment performance on a contractual basis and year of origination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1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4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2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0" w:type="dxa"/>
            <w:vAlign w:val="bottom"/>
          </w:tcPr>
          <w:p>
            <w:pPr>
              <w:spacing w:after="0"/>
              <w:rPr>
                <w:sz w:val="1"/>
                <w:szCs w:val="1"/>
                <w:color w:val="auto"/>
              </w:rPr>
            </w:pPr>
          </w:p>
        </w:tc>
      </w:tr>
      <w:tr>
        <w:trPr>
          <w:trHeight w:val="229"/>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31-60 days</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61-90 days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2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2023, the gross lease receivable by current payment performance on a contractual basis and year of origination consisted of the following: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by Origination</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Up to 1 Year Ago</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1 and 2</w:t>
            </w:r>
          </w:p>
        </w:tc>
        <w:tc>
          <w:tcPr>
            <w:tcW w:w="11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Between 2 and 3</w:t>
            </w:r>
          </w:p>
        </w:tc>
        <w:tc>
          <w:tcPr>
            <w:tcW w:w="100" w:type="dxa"/>
            <w:vAlign w:val="bottom"/>
          </w:tcPr>
          <w:p>
            <w:pPr>
              <w:spacing w:after="0"/>
              <w:rPr>
                <w:sz w:val="11"/>
                <w:szCs w:val="11"/>
                <w:color w:val="auto"/>
              </w:rPr>
            </w:pPr>
          </w:p>
        </w:tc>
        <w:tc>
          <w:tcPr>
            <w:tcW w:w="1280" w:type="dxa"/>
            <w:vAlign w:val="bottom"/>
            <w:gridSpan w:val="4"/>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Between 3 and 4</w:t>
            </w:r>
          </w:p>
        </w:tc>
        <w:tc>
          <w:tcPr>
            <w:tcW w:w="126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Between 4 and 5</w:t>
            </w:r>
          </w:p>
        </w:tc>
        <w:tc>
          <w:tcPr>
            <w:tcW w:w="12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Years Ago</w:t>
            </w:r>
          </w:p>
        </w:tc>
        <w:tc>
          <w:tcPr>
            <w:tcW w:w="28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days and under</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31-60 days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61-90 days</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than 90 days</w:t>
            </w: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2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receivables</w:t>
            </w:r>
          </w:p>
        </w:tc>
        <w:tc>
          <w:tcPr>
            <w:tcW w:w="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rollforward of the allowance for finance receivables for the six months ended December 31, 2023 and 2022:</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6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6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00" w:type="dxa"/>
            <w:vAlign w:val="bottom"/>
            <w:vMerge w:val="continue"/>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76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2860" w:type="dxa"/>
            <w:vAlign w:val="bottom"/>
          </w:tcPr>
          <w:p>
            <w:pPr>
              <w:spacing w:after="0"/>
              <w:rPr>
                <w:sz w:val="23"/>
                <w:szCs w:val="23"/>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860" w:type="dxa"/>
            <w:vAlign w:val="bottom"/>
          </w:tcPr>
          <w:p>
            <w:pPr>
              <w:spacing w:after="0"/>
              <w:rPr>
                <w:sz w:val="23"/>
                <w:szCs w:val="23"/>
                <w:color w:val="auto"/>
              </w:rPr>
            </w:pPr>
          </w:p>
        </w:tc>
      </w:tr>
      <w:tr>
        <w:trPr>
          <w:trHeight w:val="28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expected losses</w:t>
            </w:r>
          </w:p>
        </w:tc>
        <w:tc>
          <w:tcPr>
            <w:tcW w:w="2860" w:type="dxa"/>
            <w:vAlign w:val="bottom"/>
          </w:tcPr>
          <w:p>
            <w:pPr>
              <w:spacing w:after="0"/>
              <w:rPr>
                <w:sz w:val="23"/>
                <w:szCs w:val="23"/>
                <w:color w:val="auto"/>
              </w:rPr>
            </w:pP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860" w:type="dxa"/>
            <w:vAlign w:val="bottom"/>
          </w:tcPr>
          <w:p>
            <w:pPr>
              <w:spacing w:after="0"/>
              <w:rPr>
                <w:sz w:val="23"/>
                <w:szCs w:val="23"/>
                <w:color w:val="auto"/>
              </w:rPr>
            </w:pPr>
          </w:p>
        </w:tc>
      </w:tr>
      <w:tr>
        <w:trPr>
          <w:trHeight w:val="3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to be collected on our performing finance receivables due for each of the fiscal years is as follows: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amounts to be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Less: interest</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Less: allowance for uncollectible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finance receivables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2,098</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70"/>
        </w:trPr>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70"/>
        </w:trPr>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2,149</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70"/>
        </w:trPr>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8"/>
              </w:rPr>
              <w:t>2,257</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7"/>
        </w:trPr>
        <w:tc>
          <w:tcPr>
            <w:tcW w:w="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-7620</wp:posOffset>
            </wp:positionV>
            <wp:extent cx="11315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-823595</wp:posOffset>
            </wp:positionH>
            <wp:positionV relativeFrom="paragraph">
              <wp:posOffset>-736600</wp:posOffset>
            </wp:positionV>
            <wp:extent cx="11315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40" w:hanging="825"/>
        <w:spacing w:after="0"/>
        <w:tabs>
          <w:tab w:leader="none" w:pos="1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7,403</w:t>
      </w:r>
    </w:p>
    <w:p>
      <w:pPr>
        <w:spacing w:after="0" w:line="27"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6,298</w:t>
      </w:r>
    </w:p>
    <w:p>
      <w:pPr>
        <w:spacing w:after="0" w:line="22"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4,571</w:t>
      </w:r>
    </w:p>
    <w:p>
      <w:pPr>
        <w:spacing w:after="0" w:line="22"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w:t>
      </w:r>
    </w:p>
    <w:p>
      <w:pPr>
        <w:spacing w:after="0" w:line="22"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727</w:t>
      </w:r>
    </w:p>
    <w:p>
      <w:pPr>
        <w:spacing w:after="0" w:line="22" w:lineRule="exact"/>
        <w:rPr>
          <w:rFonts w:ascii="Times New Roman" w:cs="Times New Roman" w:eastAsia="Times New Roman" w:hAnsi="Times New Roman"/>
          <w:sz w:val="18"/>
          <w:szCs w:val="18"/>
          <w:color w:val="auto"/>
        </w:rPr>
      </w:pPr>
    </w:p>
    <w:p>
      <w:pPr>
        <w:ind w:left="2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14605</wp:posOffset>
            </wp:positionV>
            <wp:extent cx="8401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21,668</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(1,483)</w:t>
      </w:r>
    </w:p>
    <w:p>
      <w:pPr>
        <w:spacing w:after="0" w:line="2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(2,257)</w:t>
      </w:r>
    </w:p>
    <w:p>
      <w:pPr>
        <w:spacing w:after="0" w:line="31" w:lineRule="exact"/>
        <w:rPr>
          <w:sz w:val="20"/>
          <w:szCs w:val="20"/>
          <w:color w:val="auto"/>
        </w:rPr>
      </w:pPr>
    </w:p>
    <w:p>
      <w:pPr>
        <w:ind w:left="1760" w:hanging="745"/>
        <w:spacing w:after="0"/>
        <w:tabs>
          <w:tab w:leader="none" w:pos="1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43180</wp:posOffset>
            </wp:positionV>
            <wp:extent cx="8401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345" w:lineRule="exact"/>
        <w:rPr>
          <w:sz w:val="20"/>
          <w:szCs w:val="20"/>
          <w:color w:val="auto"/>
        </w:rPr>
      </w:pPr>
    </w:p>
    <w:p>
      <w:pPr>
        <w:sectPr>
          <w:pgSz w:w="11900" w:h="16838" w:orient="portrait"/>
          <w:cols w:equalWidth="0" w:num="2">
            <w:col w:w="8200" w:space="720"/>
            <w:col w:w="2320"/>
          </w:cols>
          <w:pgMar w:left="320" w:top="121" w:right="339" w:bottom="1440" w:gutter="0" w:footer="0" w:header="0"/>
          <w:type w:val="continuous"/>
        </w:sectPr>
      </w:pP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operating leases which are primarily real estate leases used for corporate functions, product development, sales, and other purposes. The following table provides supplemental balance sheet information related to the Company's operating leases: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2460" w:val="left"/>
          <w:tab w:leader="none" w:pos="7360" w:val="left"/>
          <w:tab w:leader="none" w:pos="9620" w:val="left"/>
        </w:tabs>
        <w:rPr>
          <w:sz w:val="20"/>
          <w:szCs w:val="20"/>
          <w:color w:val="auto"/>
        </w:rPr>
      </w:pPr>
      <w:r>
        <w:rPr>
          <w:rFonts w:ascii="Times New Roman" w:cs="Times New Roman" w:eastAsia="Times New Roman" w:hAnsi="Times New Roman"/>
          <w:sz w:val="14"/>
          <w:szCs w:val="14"/>
          <w:b w:val="1"/>
          <w:bCs w:val="1"/>
          <w:color w:val="auto"/>
        </w:rPr>
        <w:t>($ in thousands)</w:t>
      </w:r>
      <w:r>
        <w:rPr>
          <w:sz w:val="20"/>
          <w:szCs w:val="20"/>
          <w:color w:val="auto"/>
        </w:rPr>
        <w:tab/>
      </w:r>
      <w:r>
        <w:rPr>
          <w:rFonts w:ascii="Times New Roman" w:cs="Times New Roman" w:eastAsia="Times New Roman" w:hAnsi="Times New Roman"/>
          <w:sz w:val="14"/>
          <w:szCs w:val="14"/>
          <w:b w:val="1"/>
          <w:bCs w:val="1"/>
          <w:color w:val="auto"/>
        </w:rPr>
        <w:t>Balance Sheet Classification</w:t>
      </w:r>
      <w:r>
        <w:rPr>
          <w:sz w:val="20"/>
          <w:szCs w:val="20"/>
          <w:color w:val="auto"/>
        </w:rPr>
        <w:tab/>
      </w:r>
      <w:r>
        <w:rPr>
          <w:rFonts w:ascii="Times New Roman" w:cs="Times New Roman" w:eastAsia="Times New Roman" w:hAnsi="Times New Roman"/>
          <w:sz w:val="14"/>
          <w:szCs w:val="14"/>
          <w:b w:val="1"/>
          <w:bCs w:val="1"/>
          <w:color w:val="auto"/>
        </w:rPr>
        <w:t>As of December 31, 2023</w:t>
      </w:r>
      <w:r>
        <w:rPr>
          <w:sz w:val="20"/>
          <w:szCs w:val="20"/>
          <w:color w:val="auto"/>
        </w:rPr>
        <w:tab/>
      </w:r>
      <w:r>
        <w:rPr>
          <w:rFonts w:ascii="Times New Roman" w:cs="Times New Roman" w:eastAsia="Times New Roman" w:hAnsi="Times New Roman"/>
          <w:sz w:val="14"/>
          <w:szCs w:val="14"/>
          <w:b w:val="1"/>
          <w:bCs w:val="1"/>
          <w:color w:val="auto"/>
        </w:rPr>
        <w:t>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76200</wp:posOffset>
            </wp:positionV>
            <wp:extent cx="70980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41910</wp:posOffset>
            </wp:positionV>
            <wp:extent cx="7098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61"/>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right-of-use assets</w:t>
            </w:r>
          </w:p>
        </w:tc>
      </w:tr>
      <w:tr>
        <w:trPr>
          <w:trHeight w:val="499"/>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40" w:type="dxa"/>
            <w:vAlign w:val="bottom"/>
          </w:tcPr>
          <w:p>
            <w:pPr>
              <w:spacing w:after="0"/>
              <w:rPr>
                <w:sz w:val="24"/>
                <w:szCs w:val="24"/>
                <w:color w:val="auto"/>
              </w:rPr>
            </w:pP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Operating lease liabilities, non-current</w:t>
            </w:r>
          </w:p>
        </w:tc>
      </w:tr>
      <w:tr>
        <w:trPr>
          <w:trHeight w:val="311"/>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-685165</wp:posOffset>
            </wp:positionV>
            <wp:extent cx="709803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-368300</wp:posOffset>
            </wp:positionV>
            <wp:extent cx="709803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and non-cash activity related to our leases are as follows:</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34"/>
        </w:trPr>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769"/>
        </w:trPr>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4"/>
                <w:szCs w:val="24"/>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70"/>
        </w:trPr>
        <w:tc>
          <w:tcPr>
            <w:tcW w:w="8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7"/>
        </w:trPr>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7"/>
        </w:trPr>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195"/>
        </w:trPr>
        <w:tc>
          <w:tcPr>
            <w:tcW w:w="206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2022</w:t>
            </w:r>
          </w:p>
        </w:tc>
      </w:tr>
    </w:tbl>
    <w:p>
      <w:pPr>
        <w:spacing w:after="0" w:line="32" w:lineRule="exact"/>
        <w:rPr>
          <w:sz w:val="20"/>
          <w:szCs w:val="20"/>
          <w:color w:val="auto"/>
        </w:rPr>
      </w:pPr>
    </w:p>
    <w:p>
      <w:pPr>
        <w:sectPr>
          <w:pgSz w:w="11900" w:h="16838" w:orient="portrait"/>
          <w:cols w:equalWidth="0" w:num="2">
            <w:col w:w="6780" w:space="240"/>
            <w:col w:w="424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activity:</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6,657</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w w:val="99"/>
              </w:rPr>
              <w:t>Maturities of lease liabilities by fiscal year for our leases as of December 31, 2023 are as follows:</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vMerge w:val="continue"/>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2023, the Company extended the lease for its existing Atlanta, Georgia office for an additional 73-months period including rent-free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commenced on July 1, 2023 and we recognized right-of-use operating lease assets of $1.8 million in exchange for operating lease liabilities.</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2023, the Company signed a new lease for its office in Malvern, Pennsylvania. The new lease has a 133-months term from the move-in date which is expected to be March 2024. The Company determined the lease commenced on November 1, 2023 when the lessor granted early access to the Company. As a result, we recognized right-of-use operating lease assets of $4.9 million in exchange for operating lease liabilities.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used for the operating lease rental program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5"/>
                <w:szCs w:val="15"/>
                <w:color w:val="auto"/>
              </w:rPr>
            </w:pPr>
          </w:p>
        </w:tc>
        <w:tc>
          <w:tcPr>
            <w:tcW w:w="12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5"/>
                <w:szCs w:val="15"/>
                <w:color w:val="auto"/>
              </w:rPr>
            </w:pPr>
          </w:p>
        </w:tc>
      </w:tr>
      <w:tr>
        <w:trPr>
          <w:trHeight w:val="19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6"/>
                <w:szCs w:val="16"/>
                <w:color w:val="auto"/>
              </w:rPr>
            </w:pPr>
          </w:p>
        </w:tc>
        <w:tc>
          <w:tcPr>
            <w:tcW w:w="14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37"/>
        </w:trPr>
        <w:tc>
          <w:tcPr>
            <w:tcW w:w="7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D9D9D9"/>
            </w:tcBorders>
          </w:tcPr>
          <w:p>
            <w:pPr>
              <w:spacing w:after="0"/>
              <w:rPr>
                <w:sz w:val="3"/>
                <w:szCs w:val="3"/>
                <w:color w:val="auto"/>
              </w:rPr>
            </w:pPr>
          </w:p>
        </w:tc>
      </w:tr>
      <w:tr>
        <w:trPr>
          <w:trHeight w:val="264"/>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D9D9D9"/>
            </w:tcBorders>
            <w:shd w:val="clear" w:color="auto" w:fill="CCEEFF"/>
          </w:tcPr>
          <w:p>
            <w:pPr>
              <w:spacing w:after="0"/>
              <w:rPr>
                <w:sz w:val="22"/>
                <w:szCs w:val="22"/>
                <w:color w:val="auto"/>
              </w:rPr>
            </w:pPr>
          </w:p>
        </w:tc>
        <w:tc>
          <w:tcPr>
            <w:tcW w:w="1280" w:type="dxa"/>
            <w:vAlign w:val="bottom"/>
            <w:tcBorders>
              <w:bottom w:val="single" w:sz="8" w:color="D9D9D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20" w:type="dxa"/>
            <w:vAlign w:val="bottom"/>
            <w:tcBorders>
              <w:bottom w:val="single" w:sz="8" w:color="D9D9D9"/>
            </w:tcBorders>
            <w:shd w:val="clear" w:color="auto" w:fill="D9D9D9"/>
          </w:tcPr>
          <w:p>
            <w:pPr>
              <w:spacing w:after="0"/>
              <w:rPr>
                <w:sz w:val="22"/>
                <w:szCs w:val="22"/>
                <w:color w:val="auto"/>
              </w:rPr>
            </w:pPr>
          </w:p>
        </w:tc>
      </w:tr>
      <w:tr>
        <w:trPr>
          <w:trHeight w:val="236"/>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20" w:type="dxa"/>
            <w:vAlign w:val="bottom"/>
          </w:tcPr>
          <w:p>
            <w:pPr>
              <w:spacing w:after="0"/>
              <w:rPr>
                <w:sz w:val="20"/>
                <w:szCs w:val="20"/>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0" w:type="dxa"/>
            <w:vAlign w:val="bottom"/>
          </w:tcPr>
          <w:p>
            <w:pPr>
              <w:spacing w:after="0"/>
              <w:rPr>
                <w:sz w:val="24"/>
                <w:szCs w:val="24"/>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2023 and 2022, the Company recognized $2.0 million and $1.9 million of revenue from its device rental program, respectively, included in the Subscription and Transaction fees on its Condensed Consolidated Statements of Operations.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2023 and 2022, the Company recognized $4.0 million and $3.7 million of revenue from its device rental program, respectively, included in the Subscription and Transaction fees on its Condensed Consolidated Statements of Operations.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net investment in sales-type leases (carrying value of lease receivables) and the future minimum amounts to be collected on these lease receivables as of December 31, 2023 are disclosed within Note 4 -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 AND OTHER FINANCING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and other financing arrangements as of December 31, 2023 and June 30, 2023 consisted of the following:</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6"/>
                <w:szCs w:val="16"/>
                <w:color w:val="auto"/>
              </w:rPr>
            </w:pPr>
          </w:p>
        </w:tc>
        <w:tc>
          <w:tcPr>
            <w:tcW w:w="15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20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7"/>
                <w:szCs w:val="17"/>
                <w:color w:val="auto"/>
              </w:rPr>
            </w:pPr>
          </w:p>
        </w:tc>
        <w:tc>
          <w:tcPr>
            <w:tcW w:w="16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4"/>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Credit Facility*</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38,563</w:t>
            </w:r>
          </w:p>
        </w:tc>
      </w:t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obligations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issuance costs and debt discount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38,430</w:t>
            </w:r>
          </w:p>
        </w:tc>
      </w:tr>
      <w:tr>
        <w:trPr>
          <w:trHeight w:val="229"/>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and other financing arrangements, current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and other financing arrangements, noncurrent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37,548</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See discussion below on amendment to the JPMorgan Credit Facility.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interest expense presented on the Condensed Consolidated Statements of Operations are as follows:</w:t>
      </w:r>
    </w:p>
    <w:p>
      <w:pPr>
        <w:spacing w:after="0" w:line="36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gridSpan w:val="3"/>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60" w:type="dxa"/>
            <w:vAlign w:val="bottom"/>
            <w:gridSpan w:val="2"/>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5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JPMorgan Credit Facility*</w:t>
            </w:r>
          </w:p>
        </w:tc>
        <w:tc>
          <w:tcPr>
            <w:tcW w:w="9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9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JPMorgan Chase Bank Credit Agreement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17, 2022, the Company entered into an amended and restated credit agreement with JPMorgan Chase Bank, N.A. which provides for a $15 million secured revolving credit facility (the “Amended Revolving Facility”) and a $25 million secured term facility (the “Amended Secured Term Facility” and together with the Amended Revolving Facility, the “Amended JPMorgan Credit Facility”), and fully replaces our previous 2021 JPMorgan Credit Facility. The Amended Secured Term Facility includes a $10 million increase from the 2021 JPMorgan Secured Term Facility which is available for a period of up to twelve months following the Closing Date.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 2022, the Company entered into a first amendment (the “2022 Amendment”) to its Amended and Restated Credit Agreement, dated as of March 17, 2022, which, among other things, amended the definition of the Company’s EBITDA under the Credit Agreement. On December 1, 2022, the Company borrowed an additional $25 million under the Amended JPMorgan Credit Facility, including $15 million from the revolving credit facility and $10 million from the term facility, to partially fund the cash consideration of the 32M acquisition as referenced in </w:t>
      </w:r>
      <w:r>
        <w:rPr>
          <w:rFonts w:ascii="Times New Roman" w:cs="Times New Roman" w:eastAsia="Times New Roman" w:hAnsi="Times New Roman"/>
          <w:sz w:val="18"/>
          <w:szCs w:val="18"/>
          <w:i w:val="1"/>
          <w:iCs w:val="1"/>
          <w:color w:val="auto"/>
        </w:rPr>
        <w:t>Note 9 - Acquisition</w:t>
      </w:r>
      <w:r>
        <w:rPr>
          <w:rFonts w:ascii="Times New Roman" w:cs="Times New Roman" w:eastAsia="Times New Roman" w:hAnsi="Times New Roman"/>
          <w:sz w:val="18"/>
          <w:szCs w:val="18"/>
          <w:color w:val="auto"/>
        </w:rPr>
        <w:t>. No issuance costs were capitalized in connection with this amendment.</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proceeds of the Amended JPMorgan Credit Facility may be used to refinance certain existing indebtedness of the Company and its subsidiaries, to finance the working capital needs, and for general corporate purposes (including permitted acquisitions), of the Company and its subsidiaries.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Amended JPMorgan Credit Facility has a four-year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Subject to the occurrence of a material acquisition and the Company’s total leverage ratio exceeding 3.00 to 1.00, the interest rate on the loans may increase by 0.25%. In an event of default, the interest rate may be increased by 2.00%. The Amended JPMorgan Credit Facility will also carry a commitment fee of 0.50% per annum on the unused portion. As of December 31, 2023, the weighted-average interest rate for the Amended JPMorgan Credit Facility is approximately 8.9%.</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JPMorgan Credit Facility includes customary representations, warranties and covenants, and acceleration, indemnity and events of default provisions, including, among other things, two financial covenants. One financial covenant requires the Company to maintain, at all times, a total leverage ratio of not more than 3.00 to 1.00 on the last day of any fiscal quarter. The other financial covenant is conditional on a material acquisition occurring: if a material acquisition occurs, the Company is required to maintain a total leverage ratio not greater than 4.00 to 1.00 for the next four fiscal quarters following the material acquisition.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obligations under its long-term debt agreements are carried at amortized cost, which approximates their fair value as of December 31, 2023, as the debt facility was recently amended in December 2022 and the interest rates applicable are variable in nature.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covenants for the Amended JPMorgan Credit Facility as of December 31,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maturities associated with the Company’s outstanding debt and other financing arrangements as of December 31, 2023,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amounts payable</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6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December 31, 2023 and June 30, 2023:</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24"/>
                <w:szCs w:val="24"/>
                <w:color w:val="auto"/>
              </w:rPr>
            </w:pPr>
          </w:p>
        </w:tc>
        <w:tc>
          <w:tcPr>
            <w:tcW w:w="1340" w:type="dxa"/>
            <w:vAlign w:val="bottom"/>
            <w:gridSpan w:val="2"/>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7"/>
                <w:szCs w:val="17"/>
                <w:color w:val="auto"/>
              </w:rPr>
            </w:pPr>
          </w:p>
        </w:tc>
        <w:tc>
          <w:tcPr>
            <w:tcW w:w="154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reserve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sales commissions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and filing fees payable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withheld in escrow for the 32M acquisition*</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See</w:t>
      </w:r>
      <w:r>
        <w:rPr>
          <w:rFonts w:ascii="Times New Roman" w:cs="Times New Roman" w:eastAsia="Times New Roman" w:hAnsi="Times New Roman"/>
          <w:sz w:val="16"/>
          <w:szCs w:val="16"/>
          <w:i w:val="1"/>
          <w:iCs w:val="1"/>
          <w:color w:val="auto"/>
        </w:rPr>
        <w:t xml:space="preserve"> Note 9 - Acquisition </w:t>
      </w:r>
      <w:r>
        <w:rPr>
          <w:rFonts w:ascii="Times New Roman" w:cs="Times New Roman" w:eastAsia="Times New Roman" w:hAnsi="Times New Roman"/>
          <w:sz w:val="16"/>
          <w:szCs w:val="16"/>
          <w:color w:val="auto"/>
        </w:rPr>
        <w:t>for description of the arrangement.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balances and goodwill consisted of the following: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28"/>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Brand and tradenames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1 - 7 years</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87"/>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 2023</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31"/>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Brand and tradenames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1 - 7 years</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5 - 6 years</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31, 2023, the Company recognized $1.4 million and $3.0 million, respectively, in amortization expense related to intangible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31, 2022, there was $0.8 million and $1.6 million for each respective period in amortization related to intangible assets that was recognized.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performs an annual goodwill impairment test on April 1 and more frequently if events and circumstances indicate that the asset might be impaired. The Company has determined that there is one single reporting unit for purposes of testing goodwill for impairment. During the three months ended December 31, 2023 and December 31, 2022, the Company did not recognize any impairment charges related to goodwill.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Square Market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2022, the Company acquired all of the equity interests of Three Square Market, Inc., a Wisconsin corporation, and Three Square Market Limited, a UK private limited company (collectively "32M") pursuant to an Equity Purchase Agreement. 32M is a leading provider of software and self-service kiosk-based point of sale and payment solutions to the micro market industry and the acquisition expanded the Company's presence in that industry. In addition to new technology and services, due to 32M’s existing customer base, the acquisition expanded the Company’s footprint into new global markets.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of 32M was accounted for as a business combination using the acquisition method of accounting. The purchase price of the acquired company was allocated between tangible and intangible assets acquired and liabilities assumed from the acquired business based on their estimated fair values using primarily Level 3 inputs under ASC Topic 820, Fair Value Measurement, with the residual of the purchase price recorded as goodwill.</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paid an aggregate purchase price consideration of $41.1 million, which consisted of $36.6 million in cash and 1,240,920 shares of the Company's common stock (the "Stock Consideration") with an aggregate fair value of $4.5 million for the acquisition of 32M. The aggregate cash consideration includes $0.5 million of cash paid into an escrow account for net working capital and other post-closing adjustments. Additionally, the Stock Consideration of 1,240,920 shares ("Escrowed Shares") referred to above were placed into an escrow account to resolve indemnification claims for breach of certain representations and warranties. 50% of the Escrowed Shares were released as of the first anniversary of the acquisition date and the remaining 50% will be released on the second anniversary of the acquisition date, less any shares that may be returned to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on account of any indemnity claims. The Escrowed Shares are considered to be issued and outstanding shares of the Company as of the acquisition date.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funded the cash consideration of the acquisition by borrowing $25 million of debt from the JPMorgan Credit Facility and the remaining consideration utilizing existing cash on hand.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purchase price consideration consisted of the following: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cash consideration</w:t>
            </w: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36,605</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consideration</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w:t>
            </w:r>
          </w:p>
        </w:tc>
      </w:tr>
      <w:tr>
        <w:trPr>
          <w:trHeight w:val="22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adjusted fair value assigned to the assets acquired and liabilities assumed as of December 1,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3"/>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20,349</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r>
      <w:tr>
        <w:trPr>
          <w:trHeight w:val="223"/>
        </w:trPr>
        <w:tc>
          <w:tcPr>
            <w:tcW w:w="9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r>
      <w:tr>
        <w:trPr>
          <w:trHeight w:val="230"/>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w:t>
            </w:r>
          </w:p>
        </w:tc>
      </w:tr>
      <w:tr>
        <w:trPr>
          <w:trHeight w:val="223"/>
        </w:trPr>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41,111</w:t>
            </w:r>
          </w:p>
        </w:tc>
      </w:tr>
      <w:tr>
        <w:trPr>
          <w:trHeight w:val="20"/>
        </w:trPr>
        <w:tc>
          <w:tcPr>
            <w:tcW w:w="9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determined the fair value of the identifiable intangible assets acquired with the assistance of third-party valuation consultants. Amounts allocated to identifiable intangible assets included $7.5 million related to developed technology, $7.5 million related to customer relationships, and $0.5 million related to trade names.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significant unobservable inputs used in the valuation of the customer relationship asset and acquired developed technology asset are the revenue growth rates used in the development of the projected financial information used as an input to calculate those values and the discount rate applied. The recognized intangible assets will be amortized on a straight-line basis over the estimated useful lives of the respective assets. The estimated useful lives for developed technology, customer relationship, trade names were 5, 5 and 3 years, respectively.</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of $26.2 million arising from the acquisition includes the expected synergies between 32M and the Company and intangible assets that do not qualify for separate recognition at the time of acquisition. The goodwill, which is deductible for income tax purposes, was assigned to the Company’s only reporting unit.</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Subsequent to the acquisition closing date and within the one-year measurement period, the Company adjusted the purchase price allocation from what was initially recognized to reflect facts and circumstances in existence as of the acquisition close date. These adjustments included a net increase of $0.3 million to the overall purchase price consideration, a $2.3 million increase in intangible assets, a net decrease of $1.0 million in working capital, a $0.2 million increase in other assets, a $1.1 million increase in tax liabilities, and a $0.7 million decrease in accounts payable. Recognized goodwill increased by $0.6 million as a result of these adjustments. Furthermore, the Company recorded additional amortization expense of $0.5 million associated with the increase in fair value of the recognized intangible assets in its Consolidated Statement of Operations during the measurement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represents the final allocation of the purchase price.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pro forma information</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information presents a summary of our consolidated results of operations as if the acquisition had occurred on July 1, 2022. The pro forma information presented combines the historical condensed consolidated results of operations of the Company and 32M after giving effect to the preliminary purchase accounting impact of the 32M acquisition related costs (including, but not limited to, amortization associated with the acquired intangible assets, interest expense associated with the Credit Facility to finance a portion of the purchase price, acquisition related costs) and the alignment of accounting policies.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0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19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right"/>
              <w:ind w:right="1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tcPr>
          <w:p>
            <w:pPr>
              <w:jc w:val="right"/>
              <w:ind w:right="117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top w:val="single" w:sz="8" w:color="auto"/>
            </w:tcBorders>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127,450</w:t>
            </w:r>
          </w:p>
        </w:tc>
      </w:tr>
      <w:tr>
        <w:trPr>
          <w:trHeight w:val="23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(11,184)</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Yoke Payments</w:t>
      </w:r>
    </w:p>
    <w:p>
      <w:pPr>
        <w:spacing w:after="0" w:line="2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August 2021, we completed the acquisition of certain assets and liabilities of Delicious Nutritious LLC, doing business as Yoke Payments (“Yoke”), a micro market payments company. The acquisition of Yoke was accounted for as a business combination using the acquisition method of accounting which includes the results of operations of the acquired business from the date of acquisition. The purchase price of the acquired company is allocated between tangible and intangible assets acquired and liabilities assumed from the acquired business based on their estimated fair values using primarily Level 3 inputs under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the residual of the purchase price recorded as goodwill.</w:t>
      </w:r>
    </w:p>
    <w:p>
      <w:pPr>
        <w:spacing w:after="0" w:line="2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Through the acquisition, Yoke’s point of sale platform extended its offering to provide self-checkout while seamlessly integrating with Cantaloupe’s inventory management and payment processing platforms.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transferred for the acquisition included payments of $3 million in cash at the close of the transaction and $1 million in deferred cash payment due on or before July 30, 2022 based on the achievement of certain sales growth targets. On July 27, 2022, the Company made the cash payment of $1 million in accordance with the agreement consideration.</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Additionally in connection with the acquisition, the Company will issue common stock to the former owners of Yoke based on the achievement of certain sales growth targets for software licenses through July 31, 2024 and continued employment as of the respective measurement dates. The accounting treatment for these awards in the context of the business combination is to recognize the awards as a post-combination expense and were not included in the purchase price. We will begin recognizing compensation expense for these awards over that requisite service period when it becomes probable that the performance condition would be satisfied. At each reporting date, we assess the probability of achieving the sales targets and fulfilling the performance condition. As of December 31, 2023, we determined that it is not probable that the performance condition would be satisfied and, accordingly, have not recognized compensation expense related to these awards.</w:t>
      </w:r>
    </w:p>
    <w:p>
      <w:pPr>
        <w:spacing w:after="0" w:line="22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consideration paid for Yoke, total net assets acquired, identifiable assets and goodwill recognized at the acquisition date:</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9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30"/>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arrangement</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9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50"/>
        </w:trPr>
        <w:tc>
          <w:tcPr>
            <w:tcW w:w="9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Recognized amounts of identifiable assets</w:t>
            </w: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9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6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50"/>
        </w:trPr>
        <w:tc>
          <w:tcPr>
            <w:tcW w:w="9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Amounts allocated to identifiable intangible assets included $0.9 million related to developed technology, $0.3 million related to customer relationships, and $0.1 million related to other intangible assets. The fair value of the acquired developed technology was determined using a multi-period excess earnings method. The fair value of the acquired customer relationships was determined using the with-and-without method which estimates the value using the cash flow impact in a scenario where the customer relationships are not in place. The recognized intangible assets will be amortized on a straight-line basis over the estimated useful lives of the respective assets.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of $2.7 million arising from the acquisition includes the expected synergies between Yoke and the Company and intangible assets that do not qualify for separate recognition at the time of acquisition. The goodwill, which is deductible for income tax purposes, was assigned to the Company’s only reporting unit.</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above table represents the final allocation of the purchase price, noting no material measurement period adjustments. Pro forma financial information of the acquisition is not presented due to the immaterial impact of the financial results of Yoke in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similar operational characteristics, the Company's revenues are disaggregated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6"/>
                <w:szCs w:val="16"/>
                <w:color w:val="auto"/>
              </w:rPr>
            </w:pPr>
          </w:p>
        </w:tc>
        <w:tc>
          <w:tcPr>
            <w:tcW w:w="29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16,540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36,242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48,932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Equipment sales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12,398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61,330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9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contract liability (i.e., deferred revenue) balances are as follows:</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7"/>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4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1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w:t>
            </w: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8"/>
        </w:trPr>
        <w:tc>
          <w:tcPr>
            <w:tcW w:w="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7"/>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4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the period</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end of the period</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10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recognized in the period from amounts included in deferred revenue at the beginning of the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the contract liability balances period-over-period is primarily the result of timing difference between the Company’s satisfaction of a performance obligation and payment from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recognize revenue in future periods related to remaining performance obligations for certain open contracts. Generally, these contracts have terms of one year or less. The amount of revenue related to unsatisfied performance obligations in which the original duration of the contract is greater than one year are primarily associated with the Company's Cantaloupe ONE rental program which has a contractual term of 36 months. The following table reflects the estimated fees to be recognized in the future related to performance obligations that are unsatisfied as of December 31,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96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2024</w:t>
            </w:r>
          </w:p>
        </w:tc>
        <w:tc>
          <w:tcPr>
            <w:tcW w:w="6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2023, the Company had net capitalized costs to obtain contracts of $0.6 million included in Prepaid expenses and other current assets and $2.8 million included in Other noncurrent assets on the Condensed Consolidated Balance Sheet. At June 30, 2023, the Company had net capitalized costs to obtain contracts of $0.6 million included in Prepaid expenses and other current assets and $2.8 million included in Other noncurrent assets on the Condensed Consolidated Balance Sheet. None of these capitalized contract costs were impaired.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December 31, 2023, amortization of capitalized contract costs was $0.2 million and $0.5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December 31, 2022, amortization of capitalized contract costs was $0.2 million and $0.4 million,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grant date fair value of the stock options with service conditions (i.e., a condition that requires an employee to render services to the Company for a stated period of time to vest)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1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fair value of options granted during the six months ended December 31, 2023 and 2022 were determined using the following assumptions and includes only options with an established grant date under ASC 718:</w:t>
      </w: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280" w:type="dxa"/>
            <w:vAlign w:val="bottom"/>
          </w:tcPr>
          <w:p>
            <w:pPr>
              <w:spacing w:after="0"/>
              <w:rPr>
                <w:sz w:val="16"/>
                <w:szCs w:val="16"/>
                <w:color w:val="auto"/>
              </w:rPr>
            </w:pPr>
          </w:p>
        </w:tc>
      </w:tr>
      <w:tr>
        <w:trPr>
          <w:trHeight w:val="203"/>
        </w:trPr>
        <w:tc>
          <w:tcPr>
            <w:tcW w:w="6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6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(percent)</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- 69.7%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 - 77.6%</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(years)</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4.2 - 4.5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4.4 - 4.6</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(percent)</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(percent)</w:t>
            </w: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- 4.3%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- 4.1%</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options granted</w:t>
            </w: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1,620,000</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2.87</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based compensation related to stock options with an established grant date for the three and six months ended December 31, 2023 was $0.7 million and $1.8 million, respectively, and for the three and six months ended December 31, 2022 was $0.6 million and $1.6 million,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based awards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awarded stock options to certain executives which vest each year over a three to four year period. These stock options are subject to the achievement of performance goals to be established by the Company's Board for each fiscal year.</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Compensation Committee of the Board of Directors has established the performance metrics as a price target for the trading price of the Company’s common stock in each applicable fiscal year. The price target is achieved if the average closing price of the common stock during any consecutive 30-trading-day period during the applicable fiscal year meets or exceeds: (i) $10.50 in the case of fiscal year 2021; (ii) $13.50 in the case of fiscal year 2022;</w:t>
      </w:r>
    </w:p>
    <w:p>
      <w:pPr>
        <w:spacing w:after="0" w:line="1" w:lineRule="exact"/>
        <w:rPr>
          <w:sz w:val="20"/>
          <w:szCs w:val="20"/>
          <w:color w:val="auto"/>
        </w:rPr>
      </w:pPr>
    </w:p>
    <w:p>
      <w:pPr>
        <w:jc w:val="both"/>
        <w:ind w:firstLine="8"/>
        <w:spacing w:after="0" w:line="252"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$16.50 in the case of fiscal year 2023; and (iv) $19.50 in the case of fiscal year 2024. If at least 80% of the performance goals for an applicable fiscal year are achieved, the Compensation Committee may determine that the portion of the option eligible to vest based on such fiscal year’s performance will vest on a prorated basis. In so determining, the Compensation Committee will consider the Company’s performance relative to its market competitors and any other considerations deemed relevant by the Compensation Committee. The Compensation Committee’s guideline is generally that for every percentage point the achieved price falls below the price target, the percentage of the performance options eligible to vest in respect of the applicable fiscal year should be reduced by 2%, but the Compensation Committee may vary this formula in its sole discretion.</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these performance based awards that provide discretion to the Compensation Committee, a mutual understanding of the key terms and conditions between the Company and the employees have not yet been met and a "Grant Date" as defined in </w:t>
      </w:r>
      <w:r>
        <w:rPr>
          <w:rFonts w:ascii="Times New Roman" w:cs="Times New Roman" w:eastAsia="Times New Roman" w:hAnsi="Times New Roman"/>
          <w:sz w:val="18"/>
          <w:szCs w:val="18"/>
          <w:i w:val="1"/>
          <w:iCs w:val="1"/>
          <w:color w:val="auto"/>
        </w:rPr>
        <w:t>ASC Topic 718 Compensation — Stock Compensation</w:t>
      </w:r>
      <w:r>
        <w:rPr>
          <w:rFonts w:ascii="Times New Roman" w:cs="Times New Roman" w:eastAsia="Times New Roman" w:hAnsi="Times New Roman"/>
          <w:sz w:val="18"/>
          <w:szCs w:val="18"/>
          <w:color w:val="auto"/>
        </w:rPr>
        <w:t>, has not been established. When the service period begins prior to the grant date, the Company begins recognizing compensation cost before there is a grant date. The Company estimates the award's fair value at each reporting period for these equity-classified awards, until the grant date, utilizing a Monte Carlo simulation valuation model. The total benefit and expense recognized for the three and six months ended December 31, 2023 for these awards was $(0.2) million and $0.1 million, respectively. The benefit recognized during the three months ended December 31, 2023 was a result of the mark-to-market fair value adjustment. The total benefit recognized for the three and six months ended December 31, 2022 for these awards was $(0.9) million and $(1.1) million, respectively, as a result of reversing unvested grants for terminated executives during the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Awards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expense recognized for common stock awards for the three and six months ended December 31, 2023 was $0.6 million and $1.1 million, respectively. The total expense recognized for common stock awards for the three and six months ended December 31, 2022 was $0.5 million and $1.0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three and six months ended December 31, 2023, the Company recorded an income tax provision of $0.1 million and $0.2 million, respectively. The income tax provision primarily relates to state income and franchise taxes and deferred taxes related to goodwill. As of December 31, 2023, the Company had a total unrecognized income tax benefit of $0.7 million. The provision is based upon actual income before income taxes for the three months ended December 31, 2023, as this provides a more reliable estimate of the income tax provision than an estimated annual effective income tax rate.</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of December 31, 2023, the Company assessed its existing deferred tax assets and continues to record a full valuation allowance against its deferred tax assets. We considered both positive and negative evidence when evaluating the need for the valuation allowance on our deferred tax assets in accordance with ASC 740. Available evidence includes historical financial information supplemented by currently available information about future years. Generally, historical financial information is more objectively verifiable than projections of future income and is therefore given more weight in our assessment. In management’s judgement there is not enough objectively verifiable information to provide sufficient positive evidence to counteract the negative evidence of historic losses. However, given the Company’s current earnings and anticipated future earnings, the Company believes that there is a reasonable possibility that within the next 12 months, sufficient positive evidence may become available in future reporting periods to allow the Company to reach a conclusion that a portion of the valuation allowance will no longer be needed. Release of the valuation allowance would result in the recognition of certain deferred tax assets and a decrease to income tax expense for the period the release is recorded. The exact timing and amount of a potential valuation allowance release are subject to change on the basis of the level of profitability that the Company is able to actually achieve and limitations to the use of certain historical net operating losses.</w:t>
      </w: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three months ended December 31, 2022, the Company recorded an income tax provision of $42 thousand. For the six months ended December 31, 2022, the Company recorded an income tax provision of $67 thousand. As of December 31, 2022, the Company reviewed the existing deferred tax assets and continues to record a full valuation allowance against its deferred tax</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assets. The income tax provisions primarily relate to the Company's uncertain tax positions, as well as state income and franchise taxes. As of December 31, 2022, the Company had a total unrecognized income tax benefit of $0.6 million. The provision is based upon actual loss before income taxes for the six months ended December 31, 2022, as this provides a more reliable estimate of the income tax provision than an estimated annual effective income tax rate.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(LOSS) PER SHARE CALCULATION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earnings (loss)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earnings (loss) per share is presented below:</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4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34"/>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shareholders</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50"/>
        </w:trPr>
        <w:tc>
          <w:tcPr>
            <w:tcW w:w="8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earnings (loss) per share </w:t>
            </w:r>
            <w:r>
              <w:rPr>
                <w:rFonts w:ascii="Times New Roman" w:cs="Times New Roman" w:eastAsia="Times New Roman" w:hAnsi="Times New Roman"/>
                <w:sz w:val="18"/>
                <w:szCs w:val="18"/>
                <w:color w:val="auto"/>
              </w:rPr>
              <w:t>- Weighted average shares outstanding</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72,743,162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71,629,939</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1,170,437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earnings (loss) per share </w:t>
            </w:r>
            <w:r>
              <w:rPr>
                <w:rFonts w:ascii="Times New Roman" w:cs="Times New Roman" w:eastAsia="Times New Roman" w:hAnsi="Times New Roman"/>
                <w:sz w:val="18"/>
                <w:szCs w:val="18"/>
                <w:color w:val="auto"/>
              </w:rPr>
              <w:t>- Adjusted weighted average shares outstanding</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73,913,599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71,629,939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598"/>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240" w:type="dxa"/>
            <w:vAlign w:val="bottom"/>
          </w:tcPr>
          <w:p>
            <w:pPr>
              <w:spacing w:after="0"/>
              <w:rPr>
                <w:sz w:val="18"/>
                <w:szCs w:val="18"/>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3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4"/>
        </w:trPr>
        <w:tc>
          <w:tcPr>
            <w:tcW w:w="8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loss per share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(9,147)</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70"/>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shareholders</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(9,481)</w:t>
            </w:r>
          </w:p>
        </w:tc>
      </w:tr>
      <w:tr>
        <w:trPr>
          <w:trHeight w:val="250"/>
        </w:trPr>
        <w:tc>
          <w:tcPr>
            <w:tcW w:w="8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basic earnings (loss) per share </w:t>
            </w:r>
            <w:r>
              <w:rPr>
                <w:rFonts w:ascii="Times New Roman" w:cs="Times New Roman" w:eastAsia="Times New Roman" w:hAnsi="Times New Roman"/>
                <w:sz w:val="18"/>
                <w:szCs w:val="18"/>
                <w:color w:val="auto"/>
              </w:rPr>
              <w:t>- Weighted average shares outstanding</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72,730,563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71,418,845</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common shares</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1,204,354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Denominator for diluted earnings (loss) per share </w:t>
            </w:r>
            <w:r>
              <w:rPr>
                <w:rFonts w:ascii="Times New Roman" w:cs="Times New Roman" w:eastAsia="Times New Roman" w:hAnsi="Times New Roman"/>
                <w:sz w:val="18"/>
                <w:szCs w:val="18"/>
                <w:color w:val="auto"/>
              </w:rPr>
              <w:t>- Adjusted weighted average shares outstanding</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73,934,917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71,418,845</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70"/>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70"/>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bl>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Potentially anti-dilutive shares excluded from the calculation of diluted earnings per share were approximately 1 million for the three and six months ended December 31, 2023. Potentially anti-dilutive shares excluded from the calculation of diluted loss per share were approximately 5 million for the three and six months ended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SHAREHOLDERS' EQUITY AND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December 31, 2022, the Company retired 59,281 shares of its Series A convertible preferred stock that it purchased for an aggregate amount of approximately $2.45 million. The repurchase transaction was primarily accounted for as an extinguishment of preferred stock and recorded as a decrease to the carrying value of the preferred stock in the amount of $0.42 million and common stock of $1.73 million for an aggregate amount of $2.15 million that was included within the Cash flows from financing activities in the Condensed Consolidated Statements of Cash Flows. The remaining $0.3 million was deemed to be an amount in excess of the fair value of the preferred stock and was recorded within Operating expenses in the Condensed Consolidated Statements of Operations and Cash flows from operating activities in the Condensed Consolidated Statements of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entered into various operating lease obligations. See </w:t>
      </w:r>
      <w:r>
        <w:rPr>
          <w:rFonts w:ascii="Times New Roman" w:cs="Times New Roman" w:eastAsia="Times New Roman" w:hAnsi="Times New Roman"/>
          <w:sz w:val="18"/>
          <w:szCs w:val="18"/>
          <w:i w:val="1"/>
          <w:iCs w:val="1"/>
          <w:color w:val="auto"/>
        </w:rPr>
        <w:t>Note 5 - Leases</w:t>
      </w:r>
      <w:r>
        <w:rPr>
          <w:rFonts w:ascii="Times New Roman" w:cs="Times New Roman" w:eastAsia="Times New Roman" w:hAnsi="Times New Roman"/>
          <w:sz w:val="18"/>
          <w:szCs w:val="18"/>
          <w:color w:val="auto"/>
        </w:rPr>
        <w:t xml:space="preserve"> for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debt and other financing arrangements. See </w:t>
      </w:r>
      <w:r>
        <w:rPr>
          <w:rFonts w:ascii="Times New Roman" w:cs="Times New Roman" w:eastAsia="Times New Roman" w:hAnsi="Times New Roman"/>
          <w:sz w:val="18"/>
          <w:szCs w:val="18"/>
          <w:i w:val="1"/>
          <w:iCs w:val="1"/>
          <w:color w:val="auto"/>
        </w:rPr>
        <w:t>Note 6 - Debt and other financing arrangements</w:t>
      </w:r>
      <w:r>
        <w:rPr>
          <w:rFonts w:ascii="Times New Roman" w:cs="Times New Roman" w:eastAsia="Times New Roman" w:hAnsi="Times New Roman"/>
          <w:sz w:val="18"/>
          <w:szCs w:val="18"/>
          <w:color w:val="auto"/>
        </w:rPr>
        <w:t xml:space="preserve"> for additional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Company had no material firm purchase commitments over the next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member of our Board of Directors serves as a strategic advisor to a consulting firm that we utilize for payments analytics and advisory services. These services are utilized by the Company to reduce the cost of our interchange and other processing fees charged by payment processors and credit card networks. As consideration for the services, we pay the consulting firm a success fee based on the savings realized by the Company, and a recurring monthly subscription fee for the analytical services. The total expense recognized within Cost of subscription and transaction fees for the three and six months ended December 31, 2023 for these arrangements was $0.1 million. The total expense recognized within Cost of subscription and transaction fees for the three and six months ended December 31, 2022 for these arrangements was $0.1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1, 2024, the Company acquired Cheq Lifestyle Technology, Inc., an innovative fan-facing POS and mobile-first ordering platform, for $4.8 million in cash. Due to the close proximity of the acquisition close to the filing date, a preliminary purchase price allocation is not available.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should be read in conjunction with the condensed consolidated financial statements and related notes included in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certain forward-looking statements within the meaning of Section 21E of the Securities Exchange Act of 1934, as amended, regarding, among other things, the anticipated financial and operating results of Cantaloupe, Inc.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91"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unrelated to our operating performance, including inflation, rising interest rates, financial institution disruptions, public health emergencies and declines in consumer confidence and discretionary spending;</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 increase market share;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the Amended JPMorgan Credit Facility;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5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funds in the future through sales of securities or debt financing in order to sustain operations in the normal course of business or if an unexpected or unusual event were to occur;</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packaging and transportation;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climate conditions, natural disasters or other unexpected events;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current or future customers purchase, lease, rent or utilize our devices, software solutions or our other products in the future at levels currently anticipated;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customers continue to utilize the Company’s transaction processing and related services, as our customer agreements are generally cancellable by the customer on thirty to sixty days’ notice;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develop relevant technology offerings for current, new and potential customers and partners;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our expansion into and our operations in Europe, Latin America and other foreign markets, including general economic conditions, policy changes affecting international trade, political instability, inflation rates, recessions, sanctions, foreign currency exchange rates and controls, foreign investment and repatriation restrictions, legal and regulatory constraints, civil unrest, armed conflict, war and other economic and political factors;</w:t>
      </w:r>
    </w:p>
    <w:p>
      <w:pPr>
        <w:spacing w:after="0" w:line="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trade obligations included in accounts payable and accrued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key personnel, or our loss of the services of our key executives;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us of any unanticipated or unusual non-operating expenses, which may require us to divert our cash resources from achieving our business plan;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estimate our future quarterly or annual revenue and expenses given the developing and unpredictable market for our products;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companies into our current products and services structure;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new customers and retain key existing customers from whom a significant portion of our revenue is derived;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 key customer to reduce or delay purchasing products from us;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widespread commercial acceptance of our products and service offerings;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patents issued to us will provide any competitive advantages or adequate protection for our products, or would be challenged, invalidated or circumvented by others;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without infringing the intellectual property rights of others;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services to avoid disruptions to our systems or unauthorized hacking or credit card fraud;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conflicts, such as the ongoing conflict between Russia and Ukraine, and the conflict between Israel and Hamas;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able to fully remediate our material weaknesses in our internal controls over financial reporting or continue to experience material weaknesses in our internal controls over financial reporting in the future, and are not able to accurately or timely report our financial condition or results of operations;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5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remain in compliance with the continued listing standards of the Nasdaq Global Select Market (“Nasdaq”) and continue to remain as a member of the US Small-Cap Russell 2000®;</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suppliers would increase their prices, reduce their output or change their terms of sale;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cyber attacks and data breaches.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Part I, Item 1A. “Risk Factors” of our Annual Report on Form 10-K for the fiscal year ended June 30, 2023 (“2023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COMPANY</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Cantaloupe, Inc. is a global technology leader powering self-service commerce. With over a million active locations across the globe processing more than a billion transactions every year, Cantaloupe is enabling businesses of all sizes to provide self-service experiences for consumers. The company's vertically integrated solutions fuel growth by offering micro-payments processing, enterprise cloud software, IoT technology, as well as kiosk and POS innovations. Cantaloupe’s end-to-end platform increases consumer engagement and sales revenue through digital payments, consumer promotions and loyalty programs, while providing business owners increased profitability by leveraging software to drive efficiencies across an entire operation. Cantaloupe’s solutions are used by a wide variety of consumer services in North America, Europe, Latin America, and Australia including vending machines, micro markets and smart retail, laundromats, metered parking terminals, amusement and entertainment venues, IoT services and more.</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fiscal year ends June 30. The Company generates revenues in multiple ways. During the three months ended December 31, 2023 and December 31, 2022, we derived approximately 86% and 80%, respectively, from subscription and transaction fees, and 14% and 20%, respectively, from equipment sales. During the six months ended December 31, 2023 and</w:t>
      </w:r>
    </w:p>
    <w:p>
      <w:pPr>
        <w:spacing w:after="0" w:line="1" w:lineRule="exact"/>
        <w:rPr>
          <w:sz w:val="20"/>
          <w:szCs w:val="20"/>
          <w:color w:val="auto"/>
        </w:rPr>
      </w:pPr>
    </w:p>
    <w:p>
      <w:pPr>
        <w:ind w:right="2020"/>
        <w:spacing w:after="0" w:line="260" w:lineRule="auto"/>
        <w:rPr>
          <w:sz w:val="20"/>
          <w:szCs w:val="20"/>
          <w:color w:val="auto"/>
        </w:rPr>
      </w:pPr>
      <w:r>
        <w:rPr>
          <w:rFonts w:ascii="Times New Roman" w:cs="Times New Roman" w:eastAsia="Times New Roman" w:hAnsi="Times New Roman"/>
          <w:sz w:val="18"/>
          <w:szCs w:val="18"/>
          <w:color w:val="auto"/>
        </w:rPr>
        <w:t>December 31, 2022, we derived approximately 87% and 81%, respectively, from subscription and transaction fees and 13% and 19%, respectively, from equipment sales.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(as defined below) operating on the Company’s platform and using our services include those resulting from the sale or lease of our point of sale ("POS") electronic payment devices, telemetry devices or certified payment software or the servicing of similar third-party installed POS terminals or telemetry devices. Customers can obtain POS electronic payment devices from us in the following ways:</w:t>
      </w:r>
    </w:p>
    <w:p>
      <w:pPr>
        <w:spacing w:after="0" w:line="20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hardware directly from the Company or one of its authorized resellers;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hardware under the Company’s financing program, which are non-cancellable 60-month sales-type leases, through an unrelated equipment financing company, if available, or directly from the Company;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Renting devices under the Company’s Cantaloupe One program, which are typically 36-months duration agreements.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 during the Quarter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the Company for the fiscal quarter ended December 31, 2023 are below:</w:t>
      </w:r>
    </w:p>
    <w:p>
      <w:pPr>
        <w:spacing w:after="0" w:line="25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30,027 Active Customers (as defined below) and 1.23 million Active Devices on our service;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$65.4 million, an increase of 6.6% year over year. The increase was led by higher transaction fees and subscription fees revenue;</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showcased our full suite of solutions and products for the Mexico market at Cantaloupe LIVE Mexico. Multiple attendees including strategic partners, cooler manufacturers, vending machine distributors and vending operators had the opportunity to interact with Cantaloupe’s technology and learn how we can support their business growth in cashless payments, micro markets and vending management software;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Seed Analytics and Seed Intelligence, two new premium analytics tools available within the Seed Pro platform, designed to transform the way vending operators leverage data for business growth with improved decision-making and enhanced productivity;</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showcased our solutions for enabling self-service in the convenience store industry at the National Association of Conveniences Stores ("NACS") Show 2023.</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we have approximately 280 full-time employees in the United States, United Kingdom, and Mexico and offices in Malvern, Pennsylvania; Atlanta, Georgia; River Falls, Wisconsin; Birmingham, United Kingdom; and Mexico City, Mexico.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related notes included in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Operating Metrics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certain operating metrics (Active Devices, Active Customers, Total Number of Transactions and Total Dollar Volume, Average Revenue Per Unit) and certain non-GAAP financial measures (Adjusted EBITDA) which are defined below to evaluate our business and operations, measure our performance, identify trends affecting our business, project our future performance, and make strategic decisions. Additionally, refer to the non-GAAP Financial Measures section below for additional information and their reconciliation to the most comparable GAAP measure.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Devices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Active Devices are devices that have communicated with us or have had a transaction in the last twelve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defines Active Customers as all customers with at least one active device.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Transactions and Total Dollar Volume of Transactions</w:t>
      </w:r>
    </w:p>
    <w:p>
      <w:pPr>
        <w:spacing w:after="0" w:line="2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Transactions are defined as electronic payment transactions that are processed by our technology-enabled solutions. Management uses Total Number and Dollar Volume of transactions to evaluate the effectiveness of our new customer strategy and our ability to leverage existing customers and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Unit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defines average revenue per unit ("ARPU") as our total subscription and transaction fees for the trailing 12 months divided by average total active devices for the trailing 12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defines Adjusted EBITDA (non-GAAP) as U.S. GAAP net income (loss) before (i) interest income, (ii) interest expense on debt and reserves, (iii) income tax provision, (iv) depreciation, (v) amortization, (vi) stock-based compensation expense, (vii) fees and charges, net of reimbursement from insurance proceeds, that were incurred in connection with the 2019 Investigation and financial statement restatement activities as well as proxy solicitation costs that are not indicative of our core operations, (viii) certain other significant infrequent or unusual losses and gains that are not indicative of our core operations such as integration and acquisition expenses, and (ix) severance expenses that are non-recurring and are not indicative of our core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our selected operating metrics for the periods indicated: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80" w:type="dxa"/>
            <w:vAlign w:val="bottom"/>
            <w:gridSpan w:val="5"/>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Pr>
          <w:p>
            <w:pPr>
              <w:spacing w:after="0"/>
              <w:rPr>
                <w:sz w:val="11"/>
                <w:szCs w:val="11"/>
                <w:color w:val="auto"/>
              </w:rPr>
            </w:pPr>
          </w:p>
        </w:tc>
        <w:tc>
          <w:tcPr>
            <w:tcW w:w="12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Pr>
          <w:p>
            <w:pPr>
              <w:spacing w:after="0"/>
              <w:rPr>
                <w:sz w:val="11"/>
                <w:szCs w:val="11"/>
                <w:color w:val="auto"/>
              </w:rPr>
            </w:pPr>
          </w:p>
        </w:tc>
        <w:tc>
          <w:tcPr>
            <w:tcW w:w="1160" w:type="dxa"/>
            <w:vAlign w:val="bottom"/>
          </w:tcPr>
          <w:p>
            <w:pPr>
              <w:jc w:val="right"/>
              <w:ind w:right="335"/>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c>
          <w:tcPr>
            <w:tcW w:w="1140" w:type="dxa"/>
            <w:vAlign w:val="bottom"/>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132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Devices: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Devices (thousands)</w:t>
            </w:r>
          </w:p>
        </w:tc>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c>
          <w:tcPr>
            <w:tcW w:w="38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1,168</w:t>
            </w:r>
          </w:p>
        </w:tc>
        <w:tc>
          <w:tcPr>
            <w:tcW w:w="26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Customers</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30,027</w:t>
            </w: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29,670</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28,584</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27,598</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Volumes: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Transactions (millions)</w:t>
            </w:r>
          </w:p>
        </w:tc>
        <w:tc>
          <w:tcPr>
            <w:tcW w:w="3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Dollar Volume of Transactions (millions)</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730.1</w:t>
            </w: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703.5</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653.6</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Subscription and transaction fees - Trailing 12 months</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215,380</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208,283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200,223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192,147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183,045</w:t>
            </w:r>
          </w:p>
        </w:tc>
        <w:tc>
          <w:tcPr>
            <w:tcW w:w="0" w:type="dxa"/>
            <w:vAlign w:val="bottom"/>
          </w:tcPr>
          <w:p>
            <w:pPr>
              <w:spacing w:after="0"/>
              <w:rPr>
                <w:sz w:val="1"/>
                <w:szCs w:val="1"/>
                <w:color w:val="auto"/>
              </w:rPr>
            </w:pP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revenue per unit (ARPU)</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181.91</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178.78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173.39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167.52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for the quarter ended December 31, 2023 include:</w:t>
      </w:r>
    </w:p>
    <w:p>
      <w:pPr>
        <w:spacing w:after="0" w:line="63" w:lineRule="exact"/>
        <w:rPr>
          <w:sz w:val="20"/>
          <w:szCs w:val="20"/>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million Active Devices compared to the same quarter last year of 1.15 million, an increase of approximately 76 thousand Active Devices, or 6.6%;</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30,027 Active Customers on our service compared to the same quarter last year of 26,335, an increase of 3,692 Active Customers, or 14.0%;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$730.1 million in Total Dollar Volume of Transactions for the quarter ended December 31, 2023 compared to $649.4 million for the quarter ended December 31, 2022, an increase of $80.7 million, or 12.4%. See "Revenues and Gross Margin" in Management’s Discussion and Analysis of Financial Condition and Results of Operations below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828925" cy="3000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8925" cy="30003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828925" cy="30003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892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 2023 Compared to Three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56,029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48,932</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9,330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65,359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31,885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30,202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9,158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3"/>
        </w:trPr>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of sales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41,043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2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24,144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159.5 %</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24,316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margin</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increased by $4.0 million for the three months ended December 31, 2023 compared to the same period in 2022.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is attributed to a $7.1 million increase in subscription and transaction fees, partially offset by a $3.1 million decrease in equipment sales.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subscription and transaction fees was primarily driven by increased processing volumes with an approximately 12.4% increase in total dollar volumes of transactions for the current fiscal year quarter relative to the prior year quarter. We continue to benefit as businesses, schools and other organizations across the country continue to maintain normal levels of operations and due to an increase in the average revenue per unit and total number of active devices relative to the same period in the prior year. Our subscription fees have increased 9.7% for the three months ended December 31, 2023 compared to the same period in 2022 which is attributed to a continued focus of management to grow our recurring subscription services to our customer base and an 14.0% increase in our Active Customers compared to last year. The acquisition of 32M contributed $3.3 million to our subscription and transactions fees for the three months ended December 31, 2023.</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equipment sales in the current fiscal year quarter was primarily driven by decreased equipment shipments compared to the prior year fiscal quarter. In the prior year, our customers were in the process of upgrading their devices to ensure compatibility with the emerging 4G network, resulting in a surge in equipment shipments. As of December 31, 2022, the 3G to 4G network upgrade has been fully completed in the U.S. market. Our equipment margin improved during the current year quarter as we have completed our strategic discounts offered to our existing customers in the prior year fiscal quarter to ensure their proper transitions into the new 4G platform.</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Costs of sales. </w:t>
      </w:r>
      <w:r>
        <w:rPr>
          <w:rFonts w:ascii="Times New Roman" w:cs="Times New Roman" w:eastAsia="Times New Roman" w:hAnsi="Times New Roman"/>
          <w:sz w:val="18"/>
          <w:szCs w:val="18"/>
          <w:color w:val="auto"/>
        </w:rPr>
        <w:t>Costs of sales decreased $1.8 million for the three months ended December 31, 2023 compared to the prior year period.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of sales was primarily due to a $3.5 million decrease in equipment costs, partially offset by a $1.7 million increase in subscription and transaction costs. The decrease in equipment costs was primarily driven by lower equipment sales volume in the current year period.</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increased to 37.2% for the three months ended December 31, 2023 from 30.1% for the three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increases were primarily a result of higher margins in both subscription and transaction fee and equipment sales.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6"/>
                <w:szCs w:val="16"/>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3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0" w:type="dxa"/>
            <w:vAlign w:val="bottom"/>
          </w:tcPr>
          <w:p>
            <w:pPr>
              <w:spacing w:after="0"/>
              <w:rPr>
                <w:sz w:val="1"/>
                <w:szCs w:val="1"/>
                <w:color w:val="auto"/>
              </w:rPr>
            </w:pPr>
          </w:p>
        </w:tc>
      </w:tr>
      <w:tr>
        <w:trPr>
          <w:trHeight w:val="225"/>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 net of</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insurance recoveries</w:t>
            </w:r>
          </w:p>
        </w:tc>
        <w:tc>
          <w:tcPr>
            <w:tcW w:w="26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7.1% for the three months ended December 31, 2023 compared to the same period in 2022.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details on individual categories below.</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$1.2 million for the three months ended December 31, 2023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2022 due to increased compensation costs as a result of higher sales and marketing employee headcount in the current quarter to support our expanding business and service offerings in the United States and internationally.</w:t>
      </w:r>
    </w:p>
    <w:p>
      <w:pPr>
        <w:spacing w:after="0" w:line="20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expenses decreased by $2.3 million for the three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in the current year was driven by lower expensed personnel costs as we continued to invest in internal-use software which resulted in higher capitalized costs compared to the prior year.</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$3.9 million for the three months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2022 primarily due to a $1.7 million increase in compensation related expenses, a $0.8 million increase in bad debt expense, a $0.5 million increase in connection with non-recurring project work related to remediating previously identified material weaknesses in our internal control over financial reporting, and a $0.3 million increase in rent and occupancy expenses.</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Integration and acquisition expenses. </w:t>
      </w:r>
      <w:r>
        <w:rPr>
          <w:rFonts w:ascii="Times New Roman" w:cs="Times New Roman" w:eastAsia="Times New Roman" w:hAnsi="Times New Roman"/>
          <w:sz w:val="18"/>
          <w:szCs w:val="18"/>
          <w:color w:val="auto"/>
        </w:rPr>
        <w:t>On December 1, 2022, the Company acquired all of the equity interests of Three Square Market, Inc., a Wisconsin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Three Square Market Limited, a UK private limited company (collectively "32M") pursuant to an Equity Purchase Agreement. Integration and acquisition expenses decreased by $2.7 million for the three months ended December 31, 2023 compared to the same period in the prior year as we have substantially completed the post-acquisition integration process. Integration and acquisition expenses incurred for the three month period ended December 31, 2022 primarily consisted of professional services fees from accounting, legal and investment banking advisors leading up to and for the successful completion of the 32M acquisition.</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increased $1.4 million for the three months ended December 31, 2023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2022. The increase was primarily driven by the amortization of intangible assets associated with the acquisition of 32M in December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6"/>
                <w:szCs w:val="16"/>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from leases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596"/>
              <w:spacing w:after="0"/>
              <w:rPr>
                <w:sz w:val="20"/>
                <w:szCs w:val="20"/>
                <w:color w:val="auto"/>
              </w:rPr>
            </w:pPr>
            <w:r>
              <w:rPr>
                <w:rFonts w:ascii="Times New Roman" w:cs="Times New Roman" w:eastAsia="Times New Roman" w:hAnsi="Times New Roman"/>
                <w:sz w:val="18"/>
                <w:szCs w:val="18"/>
                <w:color w:val="auto"/>
                <w:w w:val="97"/>
              </w:rPr>
              <w:t>(385)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w w:val="97"/>
              </w:rPr>
              <w:t>(484)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36"/>
              <w:spacing w:after="0"/>
              <w:rPr>
                <w:sz w:val="20"/>
                <w:szCs w:val="20"/>
                <w:color w:val="auto"/>
              </w:rPr>
            </w:pPr>
            <w:r>
              <w:rPr>
                <w:rFonts w:ascii="Times New Roman" w:cs="Times New Roman" w:eastAsia="Times New Roman" w:hAnsi="Times New Roman"/>
                <w:sz w:val="18"/>
                <w:szCs w:val="18"/>
                <w:color w:val="auto"/>
                <w:w w:val="96"/>
              </w:rPr>
              <w:t>106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w w:val="97"/>
              </w:rPr>
              <w:t>(763)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expenses increased $0.8 million for the three months ended December 31, 2023 as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Our interest expense increased $0.5 million primarily due to our additional borrowing of $25 million to fund a portion of the 32M acquisition in the prior fiscal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December 31, 2023 Compared to Six Months Ended December 31, 2022</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280" w:type="dxa"/>
            <w:vAlign w:val="bottom"/>
          </w:tcPr>
          <w:p>
            <w:pPr>
              <w:spacing w:after="0"/>
              <w:rPr>
                <w:sz w:val="16"/>
                <w:szCs w:val="16"/>
                <w:color w:val="auto"/>
              </w:rPr>
            </w:pPr>
          </w:p>
        </w:tc>
        <w:tc>
          <w:tcPr>
            <w:tcW w:w="160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Pr>
          <w:p>
            <w:pPr>
              <w:spacing w:after="0"/>
              <w:rPr>
                <w:sz w:val="2"/>
                <w:szCs w:val="2"/>
                <w:color w:val="auto"/>
              </w:rPr>
            </w:pPr>
          </w:p>
        </w:tc>
        <w:tc>
          <w:tcPr>
            <w:tcW w:w="118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111,164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96,007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23,105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3"/>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128,042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sales: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transaction fees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Cost of equipment sales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15,785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25,937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of sales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79,398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86,509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34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35,435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23"/>
        </w:trPr>
        <w:tc>
          <w:tcPr>
            <w:tcW w:w="4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gross profit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48,644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32,603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3100" w:type="dxa"/>
            <w:vAlign w:val="bottom"/>
            <w:shd w:val="clear" w:color="auto" w:fill="CCEEFF"/>
          </w:tcPr>
          <w:p>
            <w:pPr>
              <w:spacing w:after="0"/>
              <w:rPr>
                <w:sz w:val="19"/>
                <w:szCs w:val="19"/>
                <w:color w:val="auto"/>
              </w:rPr>
            </w:pPr>
          </w:p>
        </w:tc>
      </w:tr>
      <w:tr>
        <w:trPr>
          <w:trHeight w:val="229"/>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Equipment sales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100" w:type="dxa"/>
            <w:vAlign w:val="bottom"/>
            <w:tcBorders>
              <w:bottom w:val="single" w:sz="8" w:color="CCEEFF"/>
            </w:tcBorders>
          </w:tcPr>
          <w:p>
            <w:pPr>
              <w:spacing w:after="0"/>
              <w:rPr>
                <w:sz w:val="19"/>
                <w:szCs w:val="19"/>
                <w:color w:val="auto"/>
              </w:rPr>
            </w:pPr>
          </w:p>
        </w:tc>
      </w:tr>
      <w:tr>
        <w:trPr>
          <w:trHeight w:val="248"/>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margin</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3100" w:type="dxa"/>
            <w:vAlign w:val="bottom"/>
            <w:tcBorders>
              <w:bottom w:val="single" w:sz="8" w:color="CCEEFF"/>
            </w:tcBorders>
            <w:shd w:val="clear" w:color="auto" w:fill="CCEEFF"/>
          </w:tcPr>
          <w:p>
            <w:pPr>
              <w:spacing w:after="0"/>
              <w:rPr>
                <w:sz w:val="21"/>
                <w:szCs w:val="2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r>
    </w:tbl>
    <w:p>
      <w:pPr>
        <w:spacing w:after="0" w:line="3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increased by $8.9 million for the six months ended December 31, 2023 compared to the same period in 2022.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attributed to a $15.2 million increase in subscription and transaction fees, and a $6.2 million decrease in equipment sales.</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increase in subscription and transaction fees was primarily driven by increased processing volumes, with an approximately 13% increase in total dollar volumes for the six months ended December 31, 2023 compared to the same period in 2022. Our transaction fees increased $11.2 million, or 17.6%, as we continue to benefit as businesses, schools and other organizations across the country continue to maintain normal levels of operations and due to an increase in the average price per transaction and total number of transactions relative to the same period in the prior year. Our subscription fees increased approximately $3.9 million, or 12.1% for the six months ended December 31, 2023 compared to the same period in 2022 which was attributed to a continued focus of management to grow our recurring subscription services, the successful expansion of the Cantaloupe One program to our customer base, and the acquisition of 32M.</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equipment sales in the current fiscal year period was primarily driven by decreased equipment shipments compared to the prior year fiscal period. In the prior year, our customers continued upgrading their devices to ensure compatibility with the emerging 4G network, resulting in a surge in equipment shipments. As of December 31, 2022, the 3G to 4G network upgrade has been fully completed in the U.S. market.</w:t>
      </w:r>
    </w:p>
    <w:p>
      <w:pPr>
        <w:spacing w:after="0" w:line="20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Costs of sales</w:t>
      </w:r>
      <w:r>
        <w:rPr>
          <w:rFonts w:ascii="Times New Roman" w:cs="Times New Roman" w:eastAsia="Times New Roman" w:hAnsi="Times New Roman"/>
          <w:sz w:val="18"/>
          <w:szCs w:val="18"/>
          <w:color w:val="auto"/>
        </w:rPr>
        <w:t>. Costs of sales decreased $7.1 million for the six months ended December 31, 2023 compared to the same period in 2022.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$10.2 million decrease in equipment costs partially offset by an increase of $3.0 million in subscription and transaction costs.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costs of sales for equipment was primarily driven by decreased equipment sales. The increased demand in the first half of the prior fiscal year was related to our customers upgrading their payment devices in anticipation of the 3G network discontinuation events described above (See 3G Network discontinuation and upgrade cycle section).</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subscription and transaction costs was primarily driven by an increase in transaction processing fees corresponding with an increase in processing volumes and total dollar volume of transactions. The acquisition of 32M in December 2022 also contributed an approximately $2.7 million increase in our subscription and transaction costs for the six months ended December 31, 2023.</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Total gross margin increased to 38.0% for the six months ended December 31, 2023 from 27.4% for the six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increases were primarily a result of higher margins in subscription and transaction fees.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280" w:type="dxa"/>
            <w:vAlign w:val="bottom"/>
          </w:tcPr>
          <w:p>
            <w:pPr>
              <w:spacing w:after="0"/>
              <w:rPr>
                <w:sz w:val="16"/>
                <w:szCs w:val="16"/>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Category ($ in thousands)</w:t>
            </w:r>
          </w:p>
        </w:tc>
        <w:tc>
          <w:tcPr>
            <w:tcW w:w="300" w:type="dxa"/>
            <w:vAlign w:val="bottom"/>
          </w:tcPr>
          <w:p>
            <w:pPr>
              <w:spacing w:after="0"/>
              <w:rPr>
                <w:sz w:val="2"/>
                <w:szCs w:val="2"/>
                <w:color w:val="auto"/>
              </w:rPr>
            </w:pPr>
          </w:p>
        </w:tc>
        <w:tc>
          <w:tcPr>
            <w:tcW w:w="11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0" w:type="dxa"/>
            <w:vAlign w:val="bottom"/>
          </w:tcPr>
          <w:p>
            <w:pPr>
              <w:spacing w:after="0"/>
              <w:rPr>
                <w:sz w:val="1"/>
                <w:szCs w:val="1"/>
                <w:color w:val="auto"/>
              </w:rPr>
            </w:pPr>
          </w:p>
        </w:tc>
      </w:tr>
      <w:tr>
        <w:trPr>
          <w:trHeight w:val="23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product development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70"/>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Investigation, proxy solicitation and restatement expenses</w:t>
            </w:r>
          </w:p>
        </w:tc>
        <w:tc>
          <w:tcPr>
            <w:tcW w:w="30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Integration and acquisition expenses</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105.7 %</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Total operating expenses. </w:t>
      </w:r>
      <w:r>
        <w:rPr>
          <w:rFonts w:ascii="Times New Roman" w:cs="Times New Roman" w:eastAsia="Times New Roman" w:hAnsi="Times New Roman"/>
          <w:sz w:val="18"/>
          <w:szCs w:val="18"/>
          <w:color w:val="auto"/>
        </w:rPr>
        <w:t>Operating expenses increased approximately $0.3 million for the six months ended December 31, 2023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2022. The increase was attributed to a $2.8 million increase in general and administrative expenses, a $2.8 million increase in sales and marketing expenses, a $2.6 million decrease in integration and acquisition expenses, and a $2.8 million increase in depreciation and amortization. See further details on individual categories below.</w:t>
      </w:r>
    </w:p>
    <w:p>
      <w:pPr>
        <w:spacing w:after="0" w:line="2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approximately $2.8 million for the six months ended December 31, 2023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2022 primarily due to higher sales and marketing employee headcount in the current year to support our expanding business and service offerings in the United States and internationally.</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Technology and product development. </w:t>
      </w:r>
      <w:r>
        <w:rPr>
          <w:rFonts w:ascii="Times New Roman" w:cs="Times New Roman" w:eastAsia="Times New Roman" w:hAnsi="Times New Roman"/>
          <w:sz w:val="18"/>
          <w:szCs w:val="18"/>
          <w:color w:val="auto"/>
        </w:rPr>
        <w:t>Technology and product development decreased $5.0 million for the six months ended December 31, 2023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2022. The decrease in the current year was driven by lower expensed personnel costs as we continued to invest in internal-use software which resulted in higher capitalized costs compared to the prior year.</w:t>
      </w:r>
    </w:p>
    <w:p>
      <w:pPr>
        <w:spacing w:after="0" w:line="20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approximately $2.8 million for the six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as compared to the same period in 2022. The increase in general and administrative expenses was primarily driven by a $3.3 million increase in personnel compensation cost as a result of our growing business.</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Integration and acquisition. </w:t>
      </w:r>
      <w:r>
        <w:rPr>
          <w:rFonts w:ascii="Times New Roman" w:cs="Times New Roman" w:eastAsia="Times New Roman" w:hAnsi="Times New Roman"/>
          <w:sz w:val="18"/>
          <w:szCs w:val="18"/>
          <w:color w:val="auto"/>
        </w:rPr>
        <w:t>On December 1, 2022, the Company acquired all of the equity interests of Three Square Market, Inc., a Wisconsin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Three Square Market Limited, a UK private limited company (collectively "32M") pursuant to an Equity Purchase Agreement. For the six months ended December 31, 2023, the Company incurred professional services fees of $0.2 million related to post-acquisition integration. The Company incurred $2.8 million for the six months ended December 31, 2022 from accounting, legal and investing banking advisors leading up to and for the successful completion of the 32M acquisition.</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During the six months ended December 31, 2023, the Company had an increase in depreciation and amortization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million compared to the same period in the prior year due to the acquisition of 32M in December 2022 and increased depreciation for our growing Internal-use software as various projects and initiatives are implemented. Our increase in internal-use software is attributable to management's focus on developing innovative technologies to further strengthen our network environment and platform.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182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2"/>
                <w:szCs w:val="2"/>
                <w:color w:val="auto"/>
              </w:rPr>
            </w:pPr>
          </w:p>
        </w:tc>
        <w:tc>
          <w:tcPr>
            <w:tcW w:w="11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112.0 %</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decreased $1.4 million for the six months ended December 31, 2023 as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2022 primarily driven by an increase in interest expense of $1.1 million due to higher outstanding debt balance in the current year, partially offset by an decrease in interest income of approximately $0.4 million due to less outstanding balances on finance receivables.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use certain financial measures internally to evaluate our performance and make financial and operational decisions that are presented in a manner that adjusts from their equivalent GAAP measures or that supplement the information provided by our GAAP measures. We use these adjusted results because we believe they more clearly highlight trends in our business that may not otherwise be apparent when relying solely on GAAP financial measures, since these measures eliminate from our results specific financial items that have less bearing on our core operating performance.</w:t>
      </w:r>
    </w:p>
    <w:p>
      <w:pPr>
        <w:spacing w:after="0" w:line="19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use these measures in communicating certain aspects of our results and performance, including in this Quarterly Report, and believe that these measures, when viewed in conjunction with our GAAP results and the accompanying reconciliations, can provide investors with greater transparency and a greater understanding of factors affecting our financial condition and results of operations than GAAP measures alone. In addition, we believe the presentation of these measures is useful to investors for making period-to-period comparisons of results because the adjustments to GAAP are not reflective of our core business performance. Furthermore, certain measures are utilized as metrics in our executive offer and management incentive compensation plans.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These financial measures are not presented in accordance with, or as an alternative to, GAAP financial measures and may be different from non-GAAP measures used by other companies. We encourage investors to review the GAAP financial measures included in this Quarterly Report, including our condensed consolidated financial statements, to aid in their analysis and understanding of our performance and in making comparisons.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(Non-GAAP)</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earnings before income taxes, depreciation, and amortization (“Adjusted EBITDA”) is a non-GAAP financial measure which is not required by or defined under GAAP. We define Adjusted EBITDA as U.S. GAAP net income (loss) before (i) interest income, (ii) interest expense on debt and reserves,</w:t>
      </w:r>
    </w:p>
    <w:p>
      <w:pPr>
        <w:jc w:val="both"/>
        <w:ind w:firstLine="8"/>
        <w:spacing w:after="0" w:line="253" w:lineRule="auto"/>
        <w:tabs>
          <w:tab w:leader="none" w:pos="3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provision, (iv) depreciation, (v) amortization, (vi) stock-based compensation expense, (vii) fees and charges, net of reimbursement from insurance proceeds, that were incurred in connection with the 2019 Investigation and financial statement restatement activities as well as proxy solicitation costs that are not indicative of our core operations, (viii) certain other significant infrequent or unusual losses and gains that are not indicative of our core operations such as integration and acquisition expenses, and (ix) severance expenses that are non-recurring and are not indicative of our core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U.S. GAAP net income (loss) to Adjusted EBITDA (non-GAAP):</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0" w:type="dxa"/>
            <w:vAlign w:val="bottom"/>
          </w:tcPr>
          <w:p>
            <w:pPr>
              <w:spacing w:after="0"/>
              <w:rPr>
                <w:sz w:val="16"/>
                <w:szCs w:val="16"/>
                <w:color w:val="auto"/>
              </w:rPr>
            </w:pPr>
          </w:p>
        </w:tc>
        <w:tc>
          <w:tcPr>
            <w:tcW w:w="24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income (loss)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0" w:type="dxa"/>
            <w:vAlign w:val="bottom"/>
          </w:tcPr>
          <w:p>
            <w:pPr>
              <w:spacing w:after="0"/>
              <w:rPr>
                <w:sz w:val="1"/>
                <w:szCs w:val="1"/>
                <w:color w:val="auto"/>
              </w:rPr>
            </w:pPr>
          </w:p>
        </w:tc>
      </w:tr>
      <w:tr>
        <w:trPr>
          <w:trHeight w:val="230"/>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interest income from leases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Plus: interest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29"/>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Plus: income tax provision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4"/>
        </w:trPr>
        <w:tc>
          <w:tcPr>
            <w:tcW w:w="556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Plus: depreciation included in cost of subscription and transaction fees</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 rental equipment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Plus: depreciation and amortization in operating expenses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29"/>
        </w:trPr>
        <w:tc>
          <w:tcPr>
            <w:tcW w:w="55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stock-based compensation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integration and acquisition expenses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0" w:type="dxa"/>
            <w:vAlign w:val="bottom"/>
          </w:tcPr>
          <w:p>
            <w:pPr>
              <w:spacing w:after="0"/>
              <w:rPr>
                <w:sz w:val="1"/>
                <w:szCs w:val="1"/>
                <w:color w:val="auto"/>
              </w:rPr>
            </w:pPr>
          </w:p>
        </w:tc>
      </w:tr>
      <w:tr>
        <w:trPr>
          <w:trHeight w:val="230"/>
        </w:trPr>
        <w:tc>
          <w:tcPr>
            <w:tcW w:w="55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Plus: remediation expenses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556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Plus: investigation, proxy solicitation and restatement expenses, net of</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560" w:type="dxa"/>
            <w:vAlign w:val="bottom"/>
            <w:gridSpan w:val="2"/>
            <w:shd w:val="clear" w:color="auto" w:fill="CCEEFF"/>
          </w:tcPr>
          <w:p>
            <w:pPr>
              <w:ind w:left="140"/>
              <w:spacing w:after="0" w:line="237" w:lineRule="exact"/>
              <w:rPr>
                <w:sz w:val="20"/>
                <w:szCs w:val="20"/>
                <w:color w:val="auto"/>
              </w:rPr>
            </w:pPr>
            <w:r>
              <w:rPr>
                <w:rFonts w:ascii="Times New Roman" w:cs="Times New Roman" w:eastAsia="Times New Roman" w:hAnsi="Times New Roman"/>
                <w:sz w:val="18"/>
                <w:szCs w:val="18"/>
                <w:color w:val="auto"/>
              </w:rPr>
              <w:t xml:space="preserve">insurance recoveries </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EBITDA</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(non-GAAP)</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stock-based compensation, as it does not reflect our cash-based operations.</w:t>
      </w:r>
    </w:p>
    <w:p>
      <w:pPr>
        <w:spacing w:after="0" w:line="27" w:lineRule="exact"/>
        <w:rPr>
          <w:rFonts w:ascii="Times New Roman" w:cs="Times New Roman" w:eastAsia="Times New Roman" w:hAnsi="Times New Roman"/>
          <w:sz w:val="14"/>
          <w:szCs w:val="14"/>
          <w:color w:val="auto"/>
        </w:rPr>
      </w:pPr>
    </w:p>
    <w:p>
      <w:pPr>
        <w:ind w:left="660" w:hanging="328"/>
        <w:spacing w:after="0" w:line="254" w:lineRule="auto"/>
        <w:tabs>
          <w:tab w:leader="none" w:pos="6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expenses incurred in connection with business acquisitions as it does not represent recurring costs or charges related to our core operations.</w:t>
      </w:r>
    </w:p>
    <w:p>
      <w:pPr>
        <w:ind w:left="660" w:hanging="328"/>
        <w:spacing w:after="0" w:line="259" w:lineRule="auto"/>
        <w:tabs>
          <w:tab w:leader="none" w:pos="69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expense incurred in connection with non-recurring work related to remediating previously identified material weaknesses in our internal control over financial reporting.</w:t>
      </w:r>
    </w:p>
    <w:p>
      <w:pPr>
        <w:ind w:left="660" w:hanging="328"/>
        <w:spacing w:after="0" w:line="283" w:lineRule="auto"/>
        <w:tabs>
          <w:tab w:leader="none" w:pos="64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adjustment to EBITDA, we have excluded the costs and corresponding reimbursements related to the 2019 Investigation, because we believe that they represent charges that are not related to our core operations. The 2019 Investigation has been fully resolved as of fiscal year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primarily through cash from operating activities, debt financings, and equity issuances. The Company's primary sources of capital available are cash and cash equivalents on hand of $43.5 million as of December 31, 2023 and the cash that we expect to be provided by operating activities by the Company.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has estimated and recorded for potential sales tax and related interest and penalty liabilities of $14.8 million in the aggregate as of December 31, 2023. The Company continues to evaluate these liabilities and the amount and timing of any such payments.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its current financial resources will be sufficient to fund its current twelve-month operating budget from the date of issuance of these condensed consolidated financial statements. Our primary focus as part of our core operations to increase cash flow from operating activities is to prioritize collection efforts to reduce outstanding accounts receivable, utilize existing inventory to support equipment sales over the next year, focusing on various operational efficiencies to improve overall profitability of the business and continued to grow our business both domestically and internationally.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charts that reflect our cash liquidity and outstanding debt as of December 31, 2023 and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171450</wp:posOffset>
            </wp:positionV>
            <wp:extent cx="5572125" cy="2785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212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Condensed Consolidated Statement of Cash Flows in Part I, Item 1 of this Quarterly Report for details on the changes in cash and cash equivalents classified by operating, investing and financing activities during our respective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-22225</wp:posOffset>
            </wp:positionV>
            <wp:extent cx="2785745" cy="2117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857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December 31, 2023, net cash used in operating activities was $1.2 million which reflects our net income of $5.1 million and non-cash operating charges of $12.8 million, partially offset by $19.2 million of cash utilized by working capital accounts. The change in working capital accounts was primarily driven by a $12.3 million increase of accounts receivable, and a decrease in accounts payable and accrued expenses of $2.9 million in the period. Increase in cash utilized by accounts receivable was a result of increased sales during the six months ended December 31, 2023 and the timing of the cash receipts compared to the prior year period.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December 31, 2022, net cash used in operating activities was $16.1 million, which reflected our net loss of $9.1 million adjusted by $7.4 million in non-cash operating charges and $14.3 million of cash utilized by working capital accounts. The change in working capital accounts is primarily driven by cash used of $5.4 million to increase our inventory on hand and an increase of accounts receivable of $6.7 million in the period. Increase in inventory was driven by increased equipment sales as well as strategic planning to mitigate potential supply chain disruptions. Increase in cash utilized by accounts receivable was a result of increased sales during the six months ended December 31, 2022 compared to the prior year period.</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Non-cash operating charges primarily consisted of stock-based compensation, depreciation of property and equipment, amortization of our intangible assets, and provisions for expected losses for the six months ended December 31, 2023 and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$5.9 million for the six months ended December 31, 2023. We invested $5.9 million in property and equipment as the Company continued to focus on investing in innovative technologies and products, and increasing rental devices enrolled in the Company's Cantaloupe One program.</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$45.3 million for the six months ended December 31, 2022. Increase in cash used is due to the cash paid for the 32M acquisition of $35.9 million and $9.4 million for increased property and equipment balances driven primarily by the Company's continued focus on investing in technologies and products and increasing rental devices enrolled in the Company's Cantaloupe one program.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$0.3 million for the six months ended December 31, 2023, which is primarily driven by debt repayments on the JPMorgan Credit Facility.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of financing activities was $21.5 million for the six months ended December 31, 2022 which was primarily due to the borrowing of $25 million from our Credit Facility to fund a portion of the cash consideration for the 32M acquisition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$2.2 million to repurchase our series A Convertible Stock and a $1 million payment for contingent consideration relating to the Yoke acquisition.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six months ended December 31, 2023, there were no significant changes to our contractual obligations from those disclosed in the section “Management’s Discussion and Analysis of Financial Condition and Results of Operations” in our Annual Report on Form 10-K for the fiscal year ended June 30, 2023.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disclosed in our Annual Report on Form 10-K for the fiscal year ended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condensed consolidated financial statements for a description of recent accounting pronouncements.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are exposed to market risk related to changes in interest rates on our outstanding borrowings. Our Amended JPMorgan Credit Facility has a four-year maturity. Interest on the Amended JPMorgan Credit Facility will be based, at the Company’s option, on a base rate or SOFR plus an applicable margin tied to the Company’s total leverage ratio and having ranges of between 2.50% and 3.00% for base rate loans and between 3.50% and 4.00% for SOFR loans. As of December 31, 2023, we have $38.2 million total outstanding borrowings, an increase of 100 basis points in SOFR Rate would result in a change in interest expense of $0.4 million per year.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interest rates on our cash investments. We invest our excess cash in money market funds that we believe are highly liquid and marketable in the short term. These investments earn a floating rate of interest and are not held for trading or other speculative purposes. Consequently, our exposure to market risks for interest rate changes related to our money market funds is not material. Market risks related to fluctuations of foreign currencies are not material and we have no freestanding derivative instruments 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Disclosure Controls and Procedures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by us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as of the end of the period covered by this Form 10-Q of our disclosure controls and procedures as defined in Rule 13a-15(e) under the Exchange Act. Based on this evaluation, our management, including our chief executive officer and chief financial officer, has concluded that our disclosure controls and procedures were not effective as of December 31, 2023, as a result of the material weaknesses in our internal control over financial reporting, which are described in Item 9A. of our 2023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remediation plan disclosed in Item 9A. of our 2023 Form 10-K, there have been no changes in the Company’s internal control over financial reporting that occurred during the fiscal quarter ended December 31, 2023 that have materially affected, or are reasonably likely to materially affect, our internal controls over financial reporting.</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 the process of executing remediation activities to alleviate the material weaknesses identified in the remediation plan disclosed in Item 9A. of our 2023 Form 10-K. The Company hired a public accounting firm to assist with the remediation efforts. As part of the remediation work performed specifically in the second quarter of fiscal year 2024,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identified a series of control enhancements necessary to remediate the material weaknesses and the Company began implementing those enhancements in the third quarter of fiscal year 2024. The remediation efforts will remain ongoing until such enhancements to our internal controls are fully implemented and tested by management. The material weaknesses cannot be considered remediated until the related controls have operated for a sufficient period of time and until management has concluded, through testing, that the controls are operating effectively.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herein by reference to the Notes to condensed consolidated financial statements, </w:t>
      </w:r>
      <w:r>
        <w:rPr>
          <w:rFonts w:ascii="Times New Roman" w:cs="Times New Roman" w:eastAsia="Times New Roman" w:hAnsi="Times New Roman"/>
          <w:sz w:val="18"/>
          <w:szCs w:val="18"/>
          <w:i w:val="1"/>
          <w:i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Part I, Item 1, of this Quarterly Report on Form 10-Q.</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the Company’s risk factors, see the information under the heading “Risk Factors” in the Company’s Annual Report on Form 10-K for the fiscal year ended June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defaults on any senior securities. The total liquidation preference including accrued and unpaid dividends on our Series A Convertible Preferred Stock as of December 31, 2023 was $22.4 million. The dividend accrual dates for our Preferred Stock are February 1 and August 1. The annual cumulative dividend on our Preferred Stock is $1.50 per share.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2023, none of the Company's director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0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000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0" w:type="dxa"/>
            <w:vAlign w:val="bottom"/>
            <w:tcBorders>
              <w:top w:val="single" w:sz="8" w:color="auto"/>
            </w:tcBorders>
            <w:gridSpan w:val="8"/>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Amended and Restated Articles of Incorporation (incorporated by reference to Exhibit 3.1 to Form 10-Q filed on February 4, 2022).</w:t>
              </w:r>
            </w:hyperlink>
          </w:p>
        </w:tc>
        <w:tc>
          <w:tcPr>
            <w:tcW w:w="0" w:type="dxa"/>
            <w:vAlign w:val="bottom"/>
          </w:tcPr>
          <w:p>
            <w:pPr>
              <w:spacing w:after="0"/>
              <w:rPr>
                <w:sz w:val="1"/>
                <w:szCs w:val="1"/>
                <w:color w:val="auto"/>
              </w:rPr>
            </w:pPr>
          </w:p>
        </w:tc>
      </w:tr>
      <w:tr>
        <w:trPr>
          <w:trHeight w:val="49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Second Amended and Restated Bylaws (incorporated by reference to Exhibit 3.1 to Form 8-K filed on August 10, 2021)</w:t>
              </w:r>
            </w:hyperlink>
          </w:p>
        </w:tc>
        <w:tc>
          <w:tcPr>
            <w:tcW w:w="840" w:type="dxa"/>
            <w:vAlign w:val="bottom"/>
            <w:tcBorders>
              <w:top w:val="single" w:sz="8" w:color="0000FF"/>
            </w:tcBorders>
          </w:tcPr>
          <w:p>
            <w:pPr>
              <w:spacing w:after="0"/>
              <w:rPr>
                <w:sz w:val="24"/>
                <w:szCs w:val="24"/>
                <w:color w:val="auto"/>
              </w:rPr>
            </w:pPr>
          </w:p>
        </w:tc>
        <w:tc>
          <w:tcPr>
            <w:tcW w:w="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pursuant to Rule 13a-14(a) under the Securities Exchange Act of 1934.</w:t>
            </w:r>
          </w:p>
        </w:tc>
        <w:tc>
          <w:tcPr>
            <w:tcW w:w="0" w:type="dxa"/>
            <w:vAlign w:val="bottom"/>
          </w:tcPr>
          <w:p>
            <w:pPr>
              <w:spacing w:after="0"/>
              <w:rPr>
                <w:sz w:val="1"/>
                <w:szCs w:val="1"/>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Certifications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19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1240" w:right="20" w:hanging="1214"/>
        <w:spacing w:after="0" w:line="211"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quarter ended December 31, 2023, filed with the SEC on February 8, 2024, is formatted in Inline Extensible Business Reporting Language (“iXBRL”): (1) the Condensed Consolidated Balance Sheets as of December 31, 2023 and June 30, 2023, (2) the Condensed Consolidated Statements of Operations for the three-month and six-month periods ended December 31, 2023 and 2022, (3) the Condensed Consolidated Statements of Other Comprehensive Income (Loss) for the three-month and six-month periods ended December 31, 2023 and 2022, (4) the Condensed Consolidated Statements of Convertible Preferred Stock and Shareholders’ Equity for the three-month and six-month periods ended December 31, 2023 and 2022, (5) the Condensed Consolidated Statements of Cash Flows for the six-month periods ended December 31, 2023 and 2022, and</w:t>
      </w:r>
    </w:p>
    <w:p>
      <w:pPr>
        <w:spacing w:after="0" w:line="1"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the Notes to Condensed Consolidated Financial Statements.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4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8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9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252" w:lineRule="exact"/>
        <w:rPr>
          <w:sz w:val="20"/>
          <w:szCs w:val="20"/>
          <w:color w:val="auto"/>
        </w:rPr>
      </w:pPr>
    </w:p>
    <w:p>
      <w:pPr>
        <w:ind w:left="1240" w:right="340" w:hanging="1214"/>
        <w:spacing w:after="0" w:line="237"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our Quarterly Report on Form 10-Q for the quarter ended December 31, 2023, filed with the SEC on February 8, 2024, is formatted as Inline iXBRL and contained in Exhibit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Cantaloupe, Inc.</w:t>
            </w:r>
          </w:p>
        </w:tc>
      </w:tr>
      <w:tr>
        <w:trPr>
          <w:trHeight w:val="48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Ravi Venkatesan, certify that:</w:t>
      </w:r>
    </w:p>
    <w:p>
      <w:pPr>
        <w:spacing w:after="0" w:line="184" w:lineRule="exact"/>
        <w:rPr>
          <w:sz w:val="20"/>
          <w:szCs w:val="20"/>
          <w:color w:val="auto"/>
        </w:rPr>
      </w:pPr>
    </w:p>
    <w:p>
      <w:pPr>
        <w:ind w:left="660" w:hanging="652"/>
        <w:spacing w:after="0" w:line="253" w:lineRule="exact"/>
        <w:tabs>
          <w:tab w:leader="none" w:pos="660" w:val="left"/>
        </w:tabs>
        <w:numPr>
          <w:ilvl w:val="0"/>
          <w:numId w:val="16"/>
        </w:numPr>
        <w:rPr>
          <w:rFonts w:ascii="Times New Roman" w:cs="Times New Roman" w:eastAsia="Times New Roman" w:hAnsi="Times New Roman"/>
          <w:sz w:val="22"/>
          <w:szCs w:val="22"/>
          <w:color w:val="008080"/>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Cantaloupe, Inc.;</w:t>
      </w:r>
    </w:p>
    <w:p>
      <w:pPr>
        <w:spacing w:after="0" w:line="192" w:lineRule="exact"/>
        <w:rPr>
          <w:rFonts w:ascii="Times New Roman" w:cs="Times New Roman" w:eastAsia="Times New Roman" w:hAnsi="Times New Roman"/>
          <w:sz w:val="22"/>
          <w:szCs w:val="22"/>
          <w:color w:val="008080"/>
        </w:rPr>
      </w:pPr>
    </w:p>
    <w:p>
      <w:pPr>
        <w:jc w:val="both"/>
        <w:ind w:left="66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3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Stewart, certify that:</w:t>
      </w:r>
    </w:p>
    <w:p>
      <w:pPr>
        <w:spacing w:after="0" w:line="184" w:lineRule="exact"/>
        <w:rPr>
          <w:sz w:val="20"/>
          <w:szCs w:val="20"/>
          <w:color w:val="auto"/>
        </w:rPr>
      </w:pPr>
    </w:p>
    <w:p>
      <w:pPr>
        <w:ind w:left="660" w:hanging="652"/>
        <w:spacing w:after="0" w:line="253" w:lineRule="exact"/>
        <w:tabs>
          <w:tab w:leader="none" w:pos="660" w:val="left"/>
        </w:tabs>
        <w:numPr>
          <w:ilvl w:val="0"/>
          <w:numId w:val="17"/>
        </w:numPr>
        <w:rPr>
          <w:rFonts w:ascii="Times New Roman" w:cs="Times New Roman" w:eastAsia="Times New Roman" w:hAnsi="Times New Roman"/>
          <w:sz w:val="22"/>
          <w:szCs w:val="22"/>
          <w:color w:val="008080"/>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Cantaloupe, Inc.;</w:t>
      </w:r>
    </w:p>
    <w:p>
      <w:pPr>
        <w:spacing w:after="0" w:line="192" w:lineRule="exact"/>
        <w:rPr>
          <w:rFonts w:ascii="Times New Roman" w:cs="Times New Roman" w:eastAsia="Times New Roman" w:hAnsi="Times New Roman"/>
          <w:sz w:val="22"/>
          <w:szCs w:val="22"/>
          <w:color w:val="008080"/>
        </w:rPr>
      </w:pPr>
    </w:p>
    <w:p>
      <w:pPr>
        <w:jc w:val="both"/>
        <w:ind w:left="66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652"/>
        <w:spacing w:after="0" w:line="226" w:lineRule="exact"/>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3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61" w:lineRule="exact"/>
        <w:rPr>
          <w:sz w:val="20"/>
          <w:szCs w:val="20"/>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December 31, 2023 (the “Report”), I, Ravi Venkatesan, Chief Executive Officer of the Company, hereby certify that to my knowledge:</w:t>
      </w:r>
    </w:p>
    <w:p>
      <w:pPr>
        <w:spacing w:after="0" w:line="185"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2024</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Ravi Venkatesan</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Ravi Venkatesan</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61" w:lineRule="exact"/>
        <w:rPr>
          <w:sz w:val="20"/>
          <w:szCs w:val="20"/>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In connection with the accompanying Quarterly Report of Cantaloupe,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December 31, 2023 (the “Report”), I, Scott Stewart, Chief Financial Officer of the Company, hereby certify that to my knowledge:</w:t>
      </w:r>
    </w:p>
    <w:p>
      <w:pPr>
        <w:spacing w:after="0" w:line="185"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Date:February 8, 2024</w:t>
            </w:r>
          </w:p>
        </w:tc>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Scott Stewart</w:t>
            </w:r>
          </w:p>
        </w:tc>
        <w:tc>
          <w:tcPr>
            <w:tcW w:w="0" w:type="dxa"/>
            <w:vAlign w:val="bottom"/>
          </w:tcPr>
          <w:p>
            <w:pPr>
              <w:spacing w:after="0"/>
              <w:rPr>
                <w:sz w:val="1"/>
                <w:szCs w:val="1"/>
                <w:color w:val="auto"/>
              </w:rPr>
            </w:pPr>
          </w:p>
        </w:tc>
      </w:tr>
      <w:tr>
        <w:trPr>
          <w:trHeight w:val="73"/>
        </w:trPr>
        <w:tc>
          <w:tcPr>
            <w:tcW w:w="5940" w:type="dxa"/>
            <w:vAlign w:val="bottom"/>
          </w:tcPr>
          <w:p>
            <w:pPr>
              <w:spacing w:after="0"/>
              <w:rPr>
                <w:sz w:val="5"/>
                <w:szCs w:val="5"/>
                <w:color w:val="auto"/>
              </w:rPr>
            </w:pPr>
          </w:p>
        </w:tc>
        <w:tc>
          <w:tcPr>
            <w:tcW w:w="5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594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Stewart</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Roman"/>
      <w:start w:val="3"/>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Roman"/>
      <w:start w:val="3"/>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01"/>
    </w:lvl>
  </w:abstractNum>
  <w:abstractNum w:abstractNumId="13">
    <w:nsid w:val="4E6AFB66"/>
    <w:multiLevelType w:val="hybridMultilevel"/>
    <w:lvl w:ilvl="0">
      <w:lvlJc w:val="left"/>
      <w:lvlText w:val="%1"/>
      <w:numFmt w:val="decimal"/>
      <w:start w:val="104"/>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78" Type="http://schemas.openxmlformats.org/officeDocument/2006/relationships/hyperlink" Target="https://www.sec.gov/Archives/edgar/data/896429/000162828022001838/a31-amendedandrestatedarti.htm" TargetMode="External"/><Relationship Id="rId79" Type="http://schemas.openxmlformats.org/officeDocument/2006/relationships/hyperlink" Target="https://www.sec.gov/ix?doc=/Archives/edgar/data/0000896429/000091412121005445/p56531664-8k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2024-02-08T15:56:15Z</dcterms:created>
  <dcterms:modified xsi:type="dcterms:W3CDTF">2024-02-08T15:56:15Z</dcterms:modified>
</cp:coreProperties>
</file>