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52" w:lineRule="exact"/>
        <w:rPr>
          <w:sz w:val="24"/>
          <w:szCs w:val="24"/>
          <w:color w:val="auto"/>
        </w:rPr>
      </w:pPr>
    </w:p>
    <w:p>
      <w:pPr>
        <w:ind w:left="3760" w:right="1560" w:hanging="3752"/>
        <w:spacing w:after="0" w:line="534" w:lineRule="auto"/>
        <w:tabs>
          <w:tab w:leader="none" w:pos="64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December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jc w:val="right"/>
        <w:ind w:left="2660" w:right="2660" w:hanging="2652"/>
        <w:spacing w:after="0" w:line="56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72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1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23-2679963</w:t>
            </w:r>
          </w:p>
        </w:tc>
        <w:tc>
          <w:tcPr>
            <w:tcW w:w="1060" w:type="dxa"/>
            <w:vAlign w:val="bottom"/>
          </w:tcPr>
          <w:p>
            <w:pPr>
              <w:spacing w:after="0"/>
              <w:rPr>
                <w:sz w:val="20"/>
                <w:szCs w:val="20"/>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w w:val="88"/>
              </w:rPr>
              <w:t>(State or other jurisdiction</w:t>
            </w: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w w:val="94"/>
              </w:rPr>
              <w:t>of incorporation or organization)</w:t>
            </w:r>
          </w:p>
        </w:tc>
        <w:tc>
          <w:tcPr>
            <w:tcW w:w="2860" w:type="dxa"/>
            <w:vAlign w:val="bottom"/>
          </w:tcPr>
          <w:p>
            <w:pPr>
              <w:ind w:left="2200"/>
              <w:spacing w:after="0"/>
              <w:rPr>
                <w:sz w:val="20"/>
                <w:szCs w:val="20"/>
                <w:color w:val="auto"/>
              </w:rPr>
            </w:pPr>
            <w:r>
              <w:rPr>
                <w:rFonts w:ascii="Arial" w:cs="Arial" w:eastAsia="Arial" w:hAnsi="Arial"/>
                <w:sz w:val="18"/>
                <w:szCs w:val="18"/>
                <w:color w:val="auto"/>
              </w:rPr>
              <w:t>(I.R.S.</w:t>
            </w:r>
          </w:p>
        </w:tc>
        <w:tc>
          <w:tcPr>
            <w:tcW w:w="1960" w:type="dxa"/>
            <w:vAlign w:val="bottom"/>
            <w:gridSpan w:val="4"/>
          </w:tcPr>
          <w:p>
            <w:pPr>
              <w:spacing w:after="0"/>
              <w:rPr>
                <w:sz w:val="20"/>
                <w:szCs w:val="20"/>
                <w:color w:val="auto"/>
              </w:rPr>
            </w:pPr>
            <w:r>
              <w:rPr>
                <w:rFonts w:ascii="Arial" w:cs="Arial" w:eastAsia="Arial" w:hAnsi="Arial"/>
                <w:sz w:val="18"/>
                <w:szCs w:val="18"/>
                <w:color w:val="auto"/>
                <w:w w:val="87"/>
              </w:rPr>
              <w:t>Employer Identification No.)</w:t>
            </w:r>
          </w:p>
        </w:tc>
      </w:tr>
      <w:tr>
        <w:trPr>
          <w:trHeight w:val="445"/>
        </w:trPr>
        <w:tc>
          <w:tcPr>
            <w:tcW w:w="340" w:type="dxa"/>
            <w:vAlign w:val="bottom"/>
          </w:tcPr>
          <w:p>
            <w:pPr>
              <w:spacing w:after="0"/>
              <w:rPr>
                <w:sz w:val="24"/>
                <w:szCs w:val="24"/>
                <w:color w:val="auto"/>
              </w:rPr>
            </w:pPr>
          </w:p>
        </w:tc>
        <w:tc>
          <w:tcPr>
            <w:tcW w:w="40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100 Deerfield Lane, Suite 140, Malvern, Pennsylvania</w:t>
            </w:r>
          </w:p>
        </w:tc>
        <w:tc>
          <w:tcPr>
            <w:tcW w:w="3740" w:type="dxa"/>
            <w:vAlign w:val="bottom"/>
            <w:gridSpan w:val="3"/>
          </w:tcPr>
          <w:p>
            <w:pPr>
              <w:jc w:val="right"/>
              <w:ind w:right="20"/>
              <w:spacing w:after="0"/>
              <w:rPr>
                <w:sz w:val="20"/>
                <w:szCs w:val="20"/>
                <w:color w:val="auto"/>
              </w:rPr>
            </w:pPr>
            <w:r>
              <w:rPr>
                <w:rFonts w:ascii="Arial" w:cs="Arial" w:eastAsia="Arial" w:hAnsi="Arial"/>
                <w:sz w:val="18"/>
                <w:szCs w:val="18"/>
                <w:color w:val="auto"/>
              </w:rPr>
              <w:t>19355</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4020" w:type="dxa"/>
            <w:vAlign w:val="bottom"/>
            <w:gridSpan w:val="3"/>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gridSpan w:val="2"/>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spacing w:after="0"/>
              <w:rPr>
                <w:sz w:val="20"/>
                <w:szCs w:val="20"/>
                <w:color w:val="auto"/>
              </w:rPr>
            </w:pPr>
          </w:p>
        </w:tc>
        <w:tc>
          <w:tcPr>
            <w:tcW w:w="1960" w:type="dxa"/>
            <w:vAlign w:val="bottom"/>
            <w:gridSpan w:val="4"/>
          </w:tcPr>
          <w:p>
            <w:pPr>
              <w:ind w:left="240"/>
              <w:spacing w:after="0"/>
              <w:rPr>
                <w:sz w:val="20"/>
                <w:szCs w:val="20"/>
                <w:color w:val="auto"/>
              </w:rPr>
            </w:pPr>
            <w:r>
              <w:rPr>
                <w:rFonts w:ascii="Arial" w:cs="Arial" w:eastAsia="Arial" w:hAnsi="Arial"/>
                <w:sz w:val="18"/>
                <w:szCs w:val="18"/>
                <w:color w:val="auto"/>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3320" w:space="720"/>
            <w:col w:w="272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 2013, there were 33,046,186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740" w:type="dxa"/>
            <w:vAlign w:val="bottom"/>
            <w:gridSpan w:val="7"/>
          </w:tcPr>
          <w:p>
            <w:pPr>
              <w:jc w:val="center"/>
              <w:ind w:right="2120"/>
              <w:spacing w:after="0"/>
              <w:rPr>
                <w:sz w:val="20"/>
                <w:szCs w:val="20"/>
                <w:color w:val="auto"/>
              </w:rPr>
            </w:pPr>
            <w:r>
              <w:rPr>
                <w:rFonts w:ascii="Arial" w:cs="Arial" w:eastAsia="Arial" w:hAnsi="Arial"/>
                <w:sz w:val="18"/>
                <w:szCs w:val="18"/>
                <w:color w:val="auto"/>
                <w:w w:val="96"/>
              </w:rPr>
              <w:t>USA TECHNOLOGIES, INC.</w:t>
            </w:r>
          </w:p>
        </w:tc>
        <w:tc>
          <w:tcPr>
            <w:tcW w:w="17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7"/>
          </w:tcPr>
          <w:p>
            <w:pPr>
              <w:jc w:val="center"/>
              <w:ind w:right="2120"/>
              <w:spacing w:after="0"/>
              <w:rPr>
                <w:sz w:val="20"/>
                <w:szCs w:val="20"/>
                <w:color w:val="auto"/>
              </w:rPr>
            </w:pPr>
            <w:r>
              <w:rPr>
                <w:rFonts w:ascii="Arial" w:cs="Arial" w:eastAsia="Arial" w:hAnsi="Arial"/>
                <w:sz w:val="18"/>
                <w:szCs w:val="18"/>
                <w:color w:val="auto"/>
                <w:w w:val="95"/>
              </w:rPr>
              <w:t>TABLE OF CONTENTS</w:t>
            </w:r>
          </w:p>
        </w:tc>
        <w:tc>
          <w:tcPr>
            <w:tcW w:w="1780" w:type="dxa"/>
            <w:vAlign w:val="bottom"/>
          </w:tcPr>
          <w:p>
            <w:pPr>
              <w:spacing w:after="0"/>
              <w:rPr>
                <w:sz w:val="24"/>
                <w:szCs w:val="24"/>
                <w:color w:val="auto"/>
              </w:rPr>
            </w:pPr>
          </w:p>
        </w:tc>
      </w:tr>
      <w:tr>
        <w:trPr>
          <w:trHeight w:val="432"/>
        </w:trPr>
        <w:tc>
          <w:tcPr>
            <w:tcW w:w="9640" w:type="dxa"/>
            <w:vAlign w:val="bottom"/>
            <w:gridSpan w:val="14"/>
          </w:tcPr>
          <w:p>
            <w:pPr>
              <w:spacing w:after="0"/>
              <w:rPr>
                <w:sz w:val="20"/>
                <w:szCs w:val="20"/>
                <w:color w:val="auto"/>
              </w:rPr>
            </w:pPr>
            <w:r>
              <w:rPr>
                <w:rFonts w:ascii="Arial" w:cs="Arial" w:eastAsia="Arial" w:hAnsi="Arial"/>
                <w:sz w:val="18"/>
                <w:szCs w:val="18"/>
                <w:color w:val="auto"/>
              </w:rPr>
              <w:t>Part I - Financial Information</w:t>
            </w:r>
          </w:p>
        </w:tc>
        <w:tc>
          <w:tcPr>
            <w:tcW w:w="1780" w:type="dxa"/>
            <w:vAlign w:val="bottom"/>
          </w:tcPr>
          <w:p>
            <w:pPr>
              <w:spacing w:after="0"/>
              <w:rPr>
                <w:sz w:val="24"/>
                <w:szCs w:val="24"/>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12"/>
          </w:tcPr>
          <w:p>
            <w:pPr>
              <w:spacing w:after="0"/>
              <w:rPr>
                <w:sz w:val="20"/>
                <w:szCs w:val="20"/>
                <w:color w:val="auto"/>
              </w:rPr>
            </w:pPr>
            <w:r>
              <w:rPr>
                <w:rFonts w:ascii="Arial" w:cs="Arial" w:eastAsia="Arial" w:hAnsi="Arial"/>
                <w:sz w:val="18"/>
                <w:szCs w:val="18"/>
                <w:color w:val="auto"/>
              </w:rPr>
              <w:t>Condensed Financial Statements (Unaudited)</w:t>
            </w:r>
          </w:p>
        </w:tc>
        <w:tc>
          <w:tcPr>
            <w:tcW w:w="17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December 31, 2012 and June 30, 2012</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Six months ended December 31, 2012 and 2011</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 of Shareholders’ Equity – Six months ended December 31, 2012</w:t>
              </w:r>
            </w:hyperlink>
          </w:p>
        </w:tc>
        <w:tc>
          <w:tcPr>
            <w:tcW w:w="800" w:type="dxa"/>
            <w:vAlign w:val="bottom"/>
            <w:tcBorders>
              <w:top w:val="single" w:sz="8" w:color="0000EE"/>
            </w:tcBorders>
            <w:gridSpan w:val="2"/>
          </w:tcPr>
          <w:p>
            <w:pPr>
              <w:spacing w:after="0"/>
              <w:rPr>
                <w:sz w:val="24"/>
                <w:szCs w:val="24"/>
                <w:color w:val="auto"/>
              </w:rPr>
            </w:pPr>
          </w:p>
        </w:tc>
        <w:tc>
          <w:tcPr>
            <w:tcW w:w="1680" w:type="dxa"/>
            <w:vAlign w:val="bottom"/>
            <w:gridSpan w:val="2"/>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Six months ended December 31, 2012 and 2011</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6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964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26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260" w:type="dxa"/>
            <w:vAlign w:val="bottom"/>
          </w:tcPr>
          <w:p>
            <w:pPr>
              <w:spacing w:after="0"/>
              <w:rPr>
                <w:sz w:val="24"/>
                <w:szCs w:val="24"/>
                <w:color w:val="auto"/>
              </w:rPr>
            </w:pPr>
          </w:p>
        </w:tc>
        <w:tc>
          <w:tcPr>
            <w:tcW w:w="886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120" w:type="dxa"/>
            <w:vAlign w:val="bottom"/>
            <w:gridSpan w:val="8"/>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964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178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2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7720" w:type="dxa"/>
            <w:vAlign w:val="bottom"/>
            <w:gridSpan w:val="9"/>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20" w:type="dxa"/>
            <w:vAlign w:val="bottom"/>
            <w:gridSpan w:val="1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gridSpan w:val="12"/>
          </w:tcPr>
          <w:p>
            <w:pPr>
              <w:spacing w:after="0"/>
              <w:rPr>
                <w:sz w:val="20"/>
                <w:szCs w:val="20"/>
                <w:color w:val="auto"/>
              </w:rPr>
            </w:pPr>
            <w:r>
              <w:rPr>
                <w:rFonts w:ascii="Arial" w:cs="Arial" w:eastAsia="Arial" w:hAnsi="Arial"/>
                <w:sz w:val="18"/>
                <w:szCs w:val="18"/>
                <w:color w:val="0000EE"/>
              </w:rPr>
              <w:t>Signatures</w:t>
            </w: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628"/>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4260" w:type="dxa"/>
            <w:vAlign w:val="bottom"/>
            <w:gridSpan w:val="5"/>
          </w:tcPr>
          <w:p>
            <w:pPr>
              <w:jc w:val="center"/>
              <w:ind w:left="4030"/>
              <w:spacing w:after="0"/>
              <w:rPr>
                <w:sz w:val="20"/>
                <w:szCs w:val="20"/>
                <w:color w:val="auto"/>
              </w:rPr>
            </w:pPr>
            <w:r>
              <w:rPr>
                <w:rFonts w:ascii="Arial" w:cs="Arial" w:eastAsia="Arial" w:hAnsi="Arial"/>
                <w:sz w:val="18"/>
                <w:szCs w:val="18"/>
                <w:color w:val="auto"/>
                <w:w w:val="99"/>
              </w:rPr>
              <w:t>2</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4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5,046,346</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6,426,645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uncollectible accounts of $34,000 and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ind w:left="440"/>
              <w:spacing w:after="0"/>
              <w:rPr>
                <w:sz w:val="20"/>
                <w:szCs w:val="20"/>
                <w:color w:val="auto"/>
              </w:rPr>
            </w:pPr>
            <w:r>
              <w:rPr>
                <w:rFonts w:ascii="Arial" w:cs="Arial" w:eastAsia="Arial" w:hAnsi="Arial"/>
                <w:sz w:val="18"/>
                <w:szCs w:val="18"/>
                <w:color w:val="auto"/>
              </w:rPr>
              <w:t>$25,000, respectively</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1,156,404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2,441,941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Finance receivables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Inventory</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2,439,280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2,511,748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680,274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9,432,667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12,142,806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2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407,782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14,647,943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11,800,108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Intangibles, net</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825,253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1,196,453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7,663,208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assets</w:t>
            </w:r>
          </w:p>
        </w:tc>
        <w:tc>
          <w:tcPr>
            <w:tcW w:w="20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92,606</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80,884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Total assets</w:t>
            </w:r>
          </w:p>
        </w:tc>
        <w:tc>
          <w:tcPr>
            <w:tcW w:w="2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33,069,459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33,219,657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F0FFFF"/>
            </w:tcBorders>
          </w:tcPr>
          <w:p>
            <w:pPr>
              <w:spacing w:after="0"/>
              <w:rPr>
                <w:sz w:val="18"/>
                <w:szCs w:val="18"/>
                <w:color w:val="auto"/>
              </w:rPr>
            </w:pPr>
          </w:p>
        </w:tc>
        <w:tc>
          <w:tcPr>
            <w:tcW w:w="20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Liabilities and shareholders’ equity</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6,447,583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6,136,443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1,791,887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Line of credit</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396,809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9,636,279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9,944,955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158,862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Accrued expenses, less current portion</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408,000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426,241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color w:val="auto"/>
              </w:rPr>
              <w:t>Warrant liabilities, non-current</w:t>
            </w:r>
          </w:p>
        </w:tc>
        <w:tc>
          <w:tcPr>
            <w:tcW w:w="20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859,068</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918,566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1,452,352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1,619,680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liabilities</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11,088,631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11,564,635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Shareholders’ equity: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no par value:</w:t>
            </w: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3"/>
          </w:tcPr>
          <w:p>
            <w:pPr>
              <w:spacing w:after="0" w:line="201" w:lineRule="exact"/>
              <w:rPr>
                <w:sz w:val="20"/>
                <w:szCs w:val="20"/>
                <w:color w:val="auto"/>
              </w:rPr>
            </w:pPr>
            <w:r>
              <w:rPr>
                <w:rFonts w:ascii="Arial" w:cs="Arial" w:eastAsia="Arial" w:hAnsi="Arial"/>
                <w:sz w:val="18"/>
                <w:szCs w:val="18"/>
                <w:color w:val="auto"/>
                <w:w w:val="98"/>
              </w:rPr>
              <w:t>Authorized shares- 1,800,000 Series A convertible preferred- Authorized shares- 900,000 Issued and outstanding</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w w:val="95"/>
              </w:rPr>
              <w:t>shares- 442,968 (liquidation preference of $15,693,778 and $15,361,552, respectively)</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3,138,056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89"/>
              </w:rPr>
              <w:t>Common stock, no par value: Authorized shares- 640,000,000 Issued and outstanding shares-</w:t>
            </w:r>
          </w:p>
        </w:tc>
        <w:tc>
          <w:tcPr>
            <w:tcW w:w="2140" w:type="dxa"/>
            <w:vAlign w:val="bottom"/>
            <w:gridSpan w:val="2"/>
            <w:shd w:val="clear" w:color="auto" w:fill="F0FFFF"/>
          </w:tcPr>
          <w:p>
            <w:pPr>
              <w:jc w:val="right"/>
              <w:ind w:right="850"/>
              <w:spacing w:after="0" w:line="201" w:lineRule="exact"/>
              <w:rPr>
                <w:sz w:val="20"/>
                <w:szCs w:val="20"/>
                <w:color w:val="auto"/>
              </w:rPr>
            </w:pPr>
            <w:r>
              <w:rPr>
                <w:rFonts w:ascii="Arial" w:cs="Arial" w:eastAsia="Arial" w:hAnsi="Arial"/>
                <w:sz w:val="18"/>
                <w:szCs w:val="18"/>
                <w:color w:val="auto"/>
                <w:w w:val="94"/>
              </w:rPr>
              <w:t>32,721,421 and</w:t>
            </w: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32,510,069, respectively</w:t>
            </w:r>
          </w:p>
        </w:tc>
        <w:tc>
          <w:tcPr>
            <w:tcW w:w="20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220,646,236</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220,513,327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Accumulated deficit</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(201,803,464)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(201,996,361)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21,980,828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21,655,022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F0FFFF"/>
          </w:tcPr>
          <w:p>
            <w:pPr>
              <w:spacing w:after="0"/>
              <w:rPr>
                <w:sz w:val="18"/>
                <w:szCs w:val="18"/>
                <w:color w:val="auto"/>
              </w:rPr>
            </w:pPr>
          </w:p>
        </w:tc>
        <w:tc>
          <w:tcPr>
            <w:tcW w:w="2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33,069,459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33,219,657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6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License and transaction fees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7,403,241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5,583,464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14,309,598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11,003,127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Equipment sales</w:t>
            </w:r>
          </w:p>
        </w:tc>
        <w:tc>
          <w:tcPr>
            <w:tcW w:w="7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1,481,080</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1,298,134</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2,965,001</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2,584,219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8,884,321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6,881,598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17,274,599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13,587,346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4,363,212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3,983,251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8,555,572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7,744,828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Cost of equipment</w:t>
            </w:r>
          </w:p>
        </w:tc>
        <w:tc>
          <w:tcPr>
            <w:tcW w:w="7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920,928</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959,891</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1,974,564</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1,855,027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3,600,181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1,938,456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6,744,463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3,987,491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2,699,675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3,531,081</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5,914,800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6,999,150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332,856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344,409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676,245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3,032,531</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3,875,490</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6,591,045</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7,746,791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567,650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(1,937,034)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153,418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(3,759,300)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21,661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13,286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41,827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7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(403,635)</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151,759</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59,498</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1,888,368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(406,990)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115,973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53,302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1,859,286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160,660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206,720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(6,902)</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(13,823)</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153,758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(1,900,014)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7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153,758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(1,821,061)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(139,329)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(2,232,240)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F0FFFF"/>
            </w:tcBorders>
          </w:tcPr>
          <w:p>
            <w:pPr>
              <w:spacing w:after="0"/>
              <w:rPr>
                <w:sz w:val="18"/>
                <w:szCs w:val="18"/>
                <w:color w:val="auto"/>
              </w:rPr>
            </w:pPr>
          </w:p>
        </w:tc>
        <w:tc>
          <w:tcPr>
            <w:tcW w:w="7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32,734,394</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32,448,040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32,626,312</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32,368,339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F0FF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7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33,468,336</w:t>
            </w:r>
          </w:p>
        </w:tc>
        <w:tc>
          <w:tcPr>
            <w:tcW w:w="12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32,448,040</w:t>
            </w:r>
          </w:p>
        </w:tc>
        <w:tc>
          <w:tcPr>
            <w:tcW w:w="1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32,626,312</w:t>
            </w:r>
          </w:p>
        </w:tc>
        <w:tc>
          <w:tcPr>
            <w:tcW w:w="12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32,368,339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Series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80" w:type="dxa"/>
            <w:vAlign w:val="bottom"/>
            <w:gridSpan w:val="4"/>
          </w:tcPr>
          <w:p>
            <w:pPr>
              <w:jc w:val="center"/>
              <w:ind w:right="5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89"/>
              </w:rPr>
              <w:t>Preferred Stock</w:t>
            </w:r>
          </w:p>
        </w:tc>
        <w:tc>
          <w:tcPr>
            <w:tcW w:w="10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2012</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32,510,069</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5"/>
              </w:rPr>
              <w:t>220,513,327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(201,996,361)</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21,655,022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11,941</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49,984</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49,984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78,711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111,695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111,695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171,998</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58,545</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58,545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(51,298)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192,897</w:t>
            </w: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192,897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December 31, 2012</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32,721,421</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5"/>
              </w:rPr>
              <w:t>220,646,236</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(201,803,464)</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21,980,828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shd w:val="clear" w:color="auto" w:fill="F0FF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6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153,758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(1,821,061)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192,897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Adjustments to reconcile net income (loss) to net cash</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provided by (used in) operating activities: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Charges incurred in connection with the vesting and issuance</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of common stock for employee and director compensation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187,044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220,224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Change in fair value of warrant liabilities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403,635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(151,759)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(59,498)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Depreciation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904,580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552,990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1,738,586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Gain on disposal of property and equipment</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(12,003)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Amortization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371,200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Bad debt expense (recoveries), net</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15,187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9,058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for deferred tax liability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1,195,158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1,276,479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(6,129)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9,679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24,702</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Inventory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(1,249,295)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(832,088)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82,095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Prepaid expenses and other assets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(87,740)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(186,210)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(8,111)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426,592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(1,322,043)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Accrued expenses</w:t>
            </w:r>
          </w:p>
        </w:tc>
        <w:tc>
          <w:tcPr>
            <w:tcW w:w="8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(117,364)</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307,694</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(1,568,810)</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890,051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1,922,175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(2,527,097)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2,600,185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(3,023,886)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INVESTING ACTIVITIES: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(313,597)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Purchase of property for rental program</w:t>
            </w:r>
          </w:p>
        </w:tc>
        <w:tc>
          <w:tcPr>
            <w:tcW w:w="8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(2,466,780)</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(821,386)</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(4,542,170)</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(2,055,994)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(2,515,533)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(1,134,983)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(4,592,448)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(2,429,939)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proceeds from the issuance (retirement) of common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ind w:left="220"/>
              <w:spacing w:after="0"/>
              <w:rPr>
                <w:sz w:val="20"/>
                <w:szCs w:val="20"/>
                <w:color w:val="auto"/>
              </w:rPr>
            </w:pPr>
            <w:r>
              <w:rPr>
                <w:rFonts w:ascii="Arial" w:cs="Arial" w:eastAsia="Arial" w:hAnsi="Arial"/>
                <w:sz w:val="18"/>
                <w:szCs w:val="18"/>
                <w:color w:val="auto"/>
              </w:rPr>
              <w:t>stock and exercise of common stock warrants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(87,315)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(87,315)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Proceeds from (repayments of) line of credit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(337,779)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Repayment of long-term debt</w:t>
            </w:r>
          </w:p>
        </w:tc>
        <w:tc>
          <w:tcPr>
            <w:tcW w:w="8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(138,905)</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(95,435)</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(300,721)</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(205,274)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(563,999)</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(107,476)</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611,964</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Net decrease in cash and cash equivalents</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(1,157,357)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(3,769,556)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(1,380,299)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(5,661,130)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6,203,703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11,099,937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6,426,645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12,991,511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5,046,346</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7,330,381</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5,046,346</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7,330,381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F0FFFF"/>
            </w:tcBorders>
          </w:tcPr>
          <w:p>
            <w:pPr>
              <w:spacing w:after="0"/>
              <w:rPr>
                <w:sz w:val="18"/>
                <w:szCs w:val="18"/>
                <w:color w:val="auto"/>
              </w:rPr>
            </w:pPr>
          </w:p>
        </w:tc>
        <w:tc>
          <w:tcPr>
            <w:tcW w:w="8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25,519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5,092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51,669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495,955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Prepaid insurance financed with debt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128,062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90,372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Disposal of property and equipment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75,045</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54,638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Reclass of rental program property to inventory</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9,627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Depreciation expense allocated to cost of sales</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757,323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467,181</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1,433,541</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885,674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USA Technologies, Inc. (the “Company”, “We” or “Our”), incorporated in the Commonwealth of Pennsylvania in January 1992, provides wireless networking, cashless transactions, asset monitoring and other value-added services principally to the small ticket unattended retail markets. Our ePort</w:t>
      </w:r>
      <w:r>
        <w:rPr>
          <w:rFonts w:ascii="Arial" w:cs="Arial" w:eastAsia="Arial" w:hAnsi="Arial"/>
          <w:sz w:val="17"/>
          <w:szCs w:val="17"/>
          <w:i w:val="1"/>
          <w:iCs w:val="1"/>
          <w:color w:val="auto"/>
        </w:rPr>
        <w:t>®</w:t>
      </w:r>
      <w:r>
        <w:rPr>
          <w:rFonts w:ascii="Arial" w:cs="Arial" w:eastAsia="Arial" w:hAnsi="Arial"/>
          <w:sz w:val="17"/>
          <w:szCs w:val="17"/>
          <w:color w:val="auto"/>
        </w:rPr>
        <w:t xml:space="preserve"> technology, including the NFC-ready ePort® G8, can be installed and/or embedded into everyday devices such as vending machines, kiosks, and our eSuds™ technology can be installed in for washer and dryers. USA Technologies also provides other cashless acceptance technologies including its ePort Mobile™ for customers on the go, and QuickConnect™, an API Web service for developers. Our associated network service, ePort Connect</w:t>
      </w:r>
      <w:r>
        <w:rPr>
          <w:rFonts w:ascii="Arial" w:cs="Arial" w:eastAsia="Arial" w:hAnsi="Arial"/>
          <w:sz w:val="17"/>
          <w:szCs w:val="17"/>
          <w:i w:val="1"/>
          <w:iCs w:val="1"/>
          <w:color w:val="auto"/>
        </w:rPr>
        <w:t>®</w:t>
      </w:r>
      <w:r>
        <w:rPr>
          <w:rFonts w:ascii="Arial" w:cs="Arial" w:eastAsia="Arial" w:hAnsi="Arial"/>
          <w:sz w:val="17"/>
          <w:szCs w:val="17"/>
          <w:color w:val="auto"/>
        </w:rPr>
        <w:t>, is a PCI-compliant, comprehensive service that facilitates electronic payment options as well as telemetry and machine-to-machine (“M2M”) services, including wireless connectivity, all elements of payment processing, customer service and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7"/>
          <w:szCs w:val="17"/>
          <w:i w:val="1"/>
          <w:iCs w:val="1"/>
          <w:color w:val="auto"/>
        </w:rPr>
        <w:t>®</w:t>
      </w:r>
      <w:r>
        <w:rPr>
          <w:rFonts w:ascii="Arial" w:cs="Arial" w:eastAsia="Arial" w:hAnsi="Arial"/>
          <w:sz w:val="17"/>
          <w:szCs w:val="17"/>
          <w:color w:val="auto"/>
        </w:rPr>
        <w:t xml:space="preserve"> and CoolerMiser™, which reduce energy consumption in vending machines and coolers.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2012. In the opinion of management, all adjustments considered necessary for a fair presentation, consisting of normal recurring adjustments, have been included. Operating results for the three and six-month periods ended December 31, 2012 are not necessarily indicative of the results that may be expected for the year ending June 30, 2013. The balance sheet at June 30, 2012 has been derived from the audited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strategies to drive growth have resulted in net income of $153,758 and $192,897 for the three and six-month periods ended December 31, 2012, the Company had incurred losses from its inception through June 30, 2012. Although the Company anticipates nearing profitability for the full 2013 fiscal year, profitability is not assured. The impact on profitability of future changes to the fair value of our warrant liabilities, which is subject to secondary market conditions, is not reasonably predictable. The Company’s ability to meet its future obligations is dependent upon the success of its products and services in the marketplace and the available capital resources. Until the Company’s products and services can generate sufficient annual cash flows, the Company will be required to use its cash and cash equivalents on hand, its line of credit, and may be required to raise equity capital to meet its cash flow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 financial statements have been reclassified to conform to the current period presentation.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2012 and June 30, 2012, none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offers extended payment terms to certain customers for equipment sales under its Quick Start Program. Notes receivable or Quick Start leases are generally for a 36 or 60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provision for income taxes of $6,902 and $13,823 (all deferred income taxes) was recorded for the three and six months ended December 31, 2012. The provision for income taxes is not a function of nor related to the income before provision for income taxes of $160,660 and $206,720 for the three and six-month periods, respectively, because the Company has significant operating loss carryforwards that are available to negate any taxable income that would create current liabilities for income taxes. The provision for income taxes relates to the amortization of indefinite life intangible assets and goodwill that are being amortized for income tax purposes but not for financial reporting purposes giving rise to basis differences in such assets between financial and income tax reporting.</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substantial operating loss carryforwards and other items that create net deferred tax assets that have been offset by a valuation allowance as the realization of the deferred tax assets is not likely, principally due to a lack of earnings history. The deferred tax liabilities related to the amortization of the indefinite life assets are not subject to offset against deferred tax assets with finite lives. As of December 31, 2012 and June 30, 2012, deferred tax liabilities of $26,422 and $12,599, respectively, were recorded for the potential future state and federal income tax effects for these basis differences.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was no provision for income taxes for the three and six months ended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Per Common Share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Basic earnings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2. FINANCE RECEIVABLES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540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2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June 30,</w:t>
            </w:r>
          </w:p>
        </w:tc>
      </w:tr>
      <w:tr>
        <w:trPr>
          <w:trHeight w:val="237"/>
        </w:trPr>
        <w:tc>
          <w:tcPr>
            <w:tcW w:w="28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r>
      <w:tr>
        <w:trPr>
          <w:trHeight w:val="216"/>
        </w:trPr>
        <w:tc>
          <w:tcPr>
            <w:tcW w:w="28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Total finance receivables</w:t>
            </w:r>
          </w:p>
        </w:tc>
        <w:tc>
          <w:tcPr>
            <w:tcW w:w="4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518,145</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542,847</w:t>
            </w:r>
          </w:p>
        </w:tc>
      </w:tr>
      <w:tr>
        <w:trPr>
          <w:trHeight w:val="223"/>
        </w:trPr>
        <w:tc>
          <w:tcPr>
            <w:tcW w:w="28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110,363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206,649</w:t>
            </w:r>
          </w:p>
        </w:tc>
      </w:tr>
      <w:tr>
        <w:trPr>
          <w:trHeight w:val="202"/>
        </w:trPr>
        <w:tc>
          <w:tcPr>
            <w:tcW w:w="2880" w:type="dxa"/>
            <w:vAlign w:val="bottom"/>
          </w:tcPr>
          <w:p>
            <w:pPr>
              <w:spacing w:after="0"/>
              <w:rPr>
                <w:sz w:val="17"/>
                <w:szCs w:val="17"/>
                <w:color w:val="auto"/>
              </w:rPr>
            </w:pPr>
          </w:p>
        </w:tc>
        <w:tc>
          <w:tcPr>
            <w:tcW w:w="25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Non-current portion of finance</w:t>
            </w:r>
          </w:p>
        </w:tc>
        <w:tc>
          <w:tcPr>
            <w:tcW w:w="3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3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r>
      <w:tr>
        <w:trPr>
          <w:trHeight w:val="251"/>
        </w:trPr>
        <w:tc>
          <w:tcPr>
            <w:tcW w:w="2880" w:type="dxa"/>
            <w:vAlign w:val="bottom"/>
          </w:tcPr>
          <w:p>
            <w:pPr>
              <w:spacing w:after="0"/>
              <w:rPr>
                <w:sz w:val="21"/>
                <w:szCs w:val="21"/>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receivables</w:t>
            </w:r>
          </w:p>
        </w:tc>
        <w:tc>
          <w:tcPr>
            <w:tcW w:w="4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407,782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336,198</w:t>
            </w:r>
          </w:p>
        </w:tc>
      </w:tr>
      <w:tr>
        <w:trPr>
          <w:trHeight w:val="20"/>
        </w:trPr>
        <w:tc>
          <w:tcPr>
            <w:tcW w:w="2880" w:type="dxa"/>
            <w:vAlign w:val="bottom"/>
          </w:tcPr>
          <w:p>
            <w:pPr>
              <w:spacing w:after="0" w:line="20" w:lineRule="exact"/>
              <w:rPr>
                <w:sz w:val="1"/>
                <w:szCs w:val="1"/>
                <w:color w:val="auto"/>
              </w:rPr>
            </w:pPr>
          </w:p>
        </w:tc>
        <w:tc>
          <w:tcPr>
            <w:tcW w:w="252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2012 and June 30, 2012,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Credit Quality Indicators</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of December 31, 2012</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Credit risk profile based on payment activity:</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5715</wp:posOffset>
            </wp:positionV>
            <wp:extent cx="831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3185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400" w:type="dxa"/>
            <w:vAlign w:val="bottom"/>
            <w:shd w:val="clear" w:color="auto" w:fill="F0FFFF"/>
          </w:tcPr>
          <w:p>
            <w:pPr>
              <w:spacing w:after="0"/>
              <w:rPr>
                <w:sz w:val="20"/>
                <w:szCs w:val="20"/>
                <w:color w:val="auto"/>
              </w:rPr>
            </w:pPr>
            <w:r>
              <w:rPr>
                <w:rFonts w:ascii="Arial" w:cs="Arial" w:eastAsia="Arial" w:hAnsi="Arial"/>
                <w:sz w:val="18"/>
                <w:szCs w:val="18"/>
                <w:color w:val="auto"/>
              </w:rPr>
              <w:t>Performing</w:t>
            </w:r>
          </w:p>
        </w:tc>
        <w:tc>
          <w:tcPr>
            <w:tcW w:w="10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518,145</w:t>
            </w:r>
          </w:p>
        </w:tc>
        <w:tc>
          <w:tcPr>
            <w:tcW w:w="4000" w:type="dxa"/>
            <w:vAlign w:val="bottom"/>
          </w:tcPr>
          <w:p>
            <w:pPr>
              <w:spacing w:after="0"/>
              <w:rPr>
                <w:sz w:val="18"/>
                <w:szCs w:val="18"/>
                <w:color w:val="auto"/>
              </w:rPr>
            </w:pPr>
          </w:p>
        </w:tc>
      </w:tr>
      <w:tr>
        <w:trPr>
          <w:trHeight w:val="223"/>
        </w:trPr>
        <w:tc>
          <w:tcPr>
            <w:tcW w:w="40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Nonperforming</w:t>
            </w:r>
          </w:p>
        </w:tc>
        <w:tc>
          <w:tcPr>
            <w:tcW w:w="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0" w:type="dxa"/>
            <w:vAlign w:val="bottom"/>
          </w:tcPr>
          <w:p>
            <w:pPr>
              <w:spacing w:after="0"/>
              <w:rPr>
                <w:sz w:val="19"/>
                <w:szCs w:val="19"/>
                <w:color w:val="auto"/>
              </w:rPr>
            </w:pPr>
          </w:p>
        </w:tc>
      </w:tr>
      <w:tr>
        <w:trPr>
          <w:trHeight w:val="257"/>
        </w:trPr>
        <w:tc>
          <w:tcPr>
            <w:tcW w:w="4000" w:type="dxa"/>
            <w:vAlign w:val="bottom"/>
          </w:tcPr>
          <w:p>
            <w:pPr>
              <w:spacing w:after="0"/>
              <w:rPr>
                <w:sz w:val="22"/>
                <w:szCs w:val="22"/>
                <w:color w:val="auto"/>
              </w:rPr>
            </w:pPr>
          </w:p>
        </w:tc>
        <w:tc>
          <w:tcPr>
            <w:tcW w:w="140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518,145</w:t>
            </w:r>
          </w:p>
        </w:tc>
        <w:tc>
          <w:tcPr>
            <w:tcW w:w="4000" w:type="dxa"/>
            <w:vAlign w:val="bottom"/>
          </w:tcPr>
          <w:p>
            <w:pPr>
              <w:spacing w:after="0"/>
              <w:rPr>
                <w:sz w:val="22"/>
                <w:szCs w:val="22"/>
                <w:color w:val="auto"/>
              </w:rPr>
            </w:pPr>
          </w:p>
        </w:tc>
      </w:tr>
      <w:tr>
        <w:trPr>
          <w:trHeight w:val="601"/>
        </w:trPr>
        <w:tc>
          <w:tcPr>
            <w:tcW w:w="4000" w:type="dxa"/>
            <w:vAlign w:val="bottom"/>
          </w:tcPr>
          <w:p>
            <w:pPr>
              <w:spacing w:after="0"/>
              <w:rPr>
                <w:sz w:val="24"/>
                <w:szCs w:val="24"/>
                <w:color w:val="auto"/>
              </w:rPr>
            </w:pPr>
          </w:p>
        </w:tc>
        <w:tc>
          <w:tcPr>
            <w:tcW w:w="1400" w:type="dxa"/>
            <w:vAlign w:val="bottom"/>
            <w:tcBorders>
              <w:top w:val="single" w:sz="8" w:color="F0FFFF"/>
            </w:tcBorders>
          </w:tcPr>
          <w:p>
            <w:pPr>
              <w:spacing w:after="0"/>
              <w:rPr>
                <w:sz w:val="24"/>
                <w:szCs w:val="24"/>
                <w:color w:val="auto"/>
              </w:rPr>
            </w:pPr>
          </w:p>
        </w:tc>
        <w:tc>
          <w:tcPr>
            <w:tcW w:w="720" w:type="dxa"/>
            <w:vAlign w:val="bottom"/>
            <w:tcBorders>
              <w:top w:val="single" w:sz="8" w:color="F0FFFF"/>
            </w:tcBorders>
          </w:tcPr>
          <w:p>
            <w:pPr>
              <w:jc w:val="right"/>
              <w:ind w:right="270"/>
              <w:spacing w:after="0"/>
              <w:rPr>
                <w:sz w:val="20"/>
                <w:szCs w:val="20"/>
                <w:color w:val="auto"/>
              </w:rPr>
            </w:pPr>
            <w:r>
              <w:rPr>
                <w:rFonts w:ascii="Arial" w:cs="Arial" w:eastAsia="Arial" w:hAnsi="Arial"/>
                <w:sz w:val="18"/>
                <w:szCs w:val="18"/>
                <w:color w:val="auto"/>
              </w:rPr>
              <w:t>9</w:t>
            </w: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r>
      <w:tr>
        <w:trPr>
          <w:trHeight w:val="108"/>
        </w:trPr>
        <w:tc>
          <w:tcPr>
            <w:tcW w:w="40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8"/>
          </w:tcPr>
          <w:p>
            <w:pPr>
              <w:spacing w:after="0"/>
              <w:rPr>
                <w:sz w:val="20"/>
                <w:szCs w:val="20"/>
                <w:color w:val="auto"/>
              </w:rPr>
            </w:pPr>
            <w:r>
              <w:rPr>
                <w:rFonts w:ascii="Arial" w:cs="Arial" w:eastAsia="Arial" w:hAnsi="Arial"/>
                <w:sz w:val="18"/>
                <w:szCs w:val="18"/>
                <w:b w:val="1"/>
                <w:bCs w:val="1"/>
                <w:color w:val="auto"/>
              </w:rPr>
              <w:t>2. FINANCE RECEIVABLES (CONTINUED)</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gridSpan w:val="9"/>
          </w:tcPr>
          <w:p>
            <w:pPr>
              <w:jc w:val="right"/>
              <w:ind w:right="30"/>
              <w:spacing w:after="0"/>
              <w:rPr>
                <w:sz w:val="20"/>
                <w:szCs w:val="20"/>
                <w:color w:val="auto"/>
              </w:rPr>
            </w:pPr>
            <w:r>
              <w:rPr>
                <w:rFonts w:ascii="Arial" w:cs="Arial" w:eastAsia="Arial" w:hAnsi="Arial"/>
                <w:sz w:val="18"/>
                <w:szCs w:val="18"/>
                <w:color w:val="auto"/>
                <w:w w:val="94"/>
              </w:rPr>
              <w:t>Age Analysis of Past Due Finance Receivables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60" w:type="dxa"/>
            <w:vAlign w:val="bottom"/>
            <w:gridSpan w:val="8"/>
          </w:tcPr>
          <w:p>
            <w:pPr>
              <w:jc w:val="right"/>
              <w:ind w:right="810"/>
              <w:spacing w:after="0"/>
              <w:rPr>
                <w:sz w:val="20"/>
                <w:szCs w:val="20"/>
                <w:color w:val="auto"/>
              </w:rPr>
            </w:pPr>
            <w:r>
              <w:rPr>
                <w:rFonts w:ascii="Arial" w:cs="Arial" w:eastAsia="Arial" w:hAnsi="Arial"/>
                <w:sz w:val="18"/>
                <w:szCs w:val="18"/>
                <w:color w:val="auto"/>
                <w:w w:val="90"/>
              </w:rPr>
              <w:t>As of December 31, 2012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9"/>
              </w:rPr>
              <w:t>31 – 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61 – 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89"/>
              </w:rPr>
              <w:t>Greater than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5"/>
              </w:rPr>
              <w:t>Days Past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color w:val="auto"/>
                <w:w w:val="90"/>
              </w:rPr>
              <w:t>90 Days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w w:val="93"/>
              </w:rPr>
              <w:t>Total Past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Due</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Due</w:t>
            </w:r>
          </w:p>
        </w:tc>
        <w:tc>
          <w:tcPr>
            <w:tcW w:w="120" w:type="dxa"/>
            <w:vAlign w:val="bottom"/>
          </w:tcPr>
          <w:p>
            <w:pPr>
              <w:spacing w:after="0"/>
              <w:rPr>
                <w:sz w:val="20"/>
                <w:szCs w:val="20"/>
                <w:color w:val="auto"/>
              </w:rPr>
            </w:pPr>
          </w:p>
        </w:tc>
        <w:tc>
          <w:tcPr>
            <w:tcW w:w="120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color w:val="auto"/>
              </w:rPr>
              <w:t>Current</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Leases</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1,032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654</w:t>
            </w:r>
          </w:p>
        </w:tc>
        <w:tc>
          <w:tcPr>
            <w:tcW w:w="2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F0FFFF"/>
            </w:tcBorders>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1,686</w:t>
            </w:r>
          </w:p>
        </w:tc>
        <w:tc>
          <w:tcPr>
            <w:tcW w:w="660" w:type="dxa"/>
            <w:vAlign w:val="bottom"/>
            <w:gridSpan w:val="2"/>
            <w:shd w:val="clear" w:color="auto" w:fill="F0FFFF"/>
          </w:tcPr>
          <w:p>
            <w:pPr>
              <w:jc w:val="center"/>
              <w:ind w:right="25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F0FFFF"/>
          </w:tcPr>
          <w:p>
            <w:pPr>
              <w:jc w:val="center"/>
              <w:spacing w:after="0"/>
              <w:rPr>
                <w:sz w:val="20"/>
                <w:szCs w:val="20"/>
                <w:color w:val="auto"/>
              </w:rPr>
            </w:pPr>
            <w:r>
              <w:rPr>
                <w:rFonts w:ascii="Arial" w:cs="Arial" w:eastAsia="Arial" w:hAnsi="Arial"/>
                <w:sz w:val="18"/>
                <w:szCs w:val="18"/>
                <w:color w:val="auto"/>
                <w:w w:val="89"/>
              </w:rPr>
              <w:t>516,459</w:t>
            </w:r>
          </w:p>
        </w:tc>
        <w:tc>
          <w:tcPr>
            <w:tcW w:w="500" w:type="dxa"/>
            <w:vAlign w:val="bottom"/>
            <w:gridSpan w:val="3"/>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518,145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 w:type="dxa"/>
            <w:vAlign w:val="bottom"/>
            <w:shd w:val="clear" w:color="auto" w:fill="F0FFFF"/>
          </w:tcPr>
          <w:p>
            <w:pPr>
              <w:spacing w:after="0"/>
              <w:rPr>
                <w:sz w:val="2"/>
                <w:szCs w:val="2"/>
                <w:color w:val="auto"/>
              </w:rPr>
            </w:pPr>
          </w:p>
        </w:tc>
        <w:tc>
          <w:tcPr>
            <w:tcW w:w="4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654</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1,686</w:t>
            </w:r>
          </w:p>
        </w:tc>
        <w:tc>
          <w:tcPr>
            <w:tcW w:w="660" w:type="dxa"/>
            <w:vAlign w:val="bottom"/>
            <w:gridSpan w:val="2"/>
          </w:tcPr>
          <w:p>
            <w:pPr>
              <w:jc w:val="center"/>
              <w:ind w:right="25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89"/>
              </w:rPr>
              <w:t>516,459</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518,145</w:t>
            </w:r>
          </w:p>
        </w:tc>
        <w:tc>
          <w:tcPr>
            <w:tcW w:w="0" w:type="dxa"/>
            <w:vAlign w:val="bottom"/>
          </w:tcPr>
          <w:p>
            <w:pPr>
              <w:spacing w:after="0"/>
              <w:rPr>
                <w:sz w:val="1"/>
                <w:szCs w:val="1"/>
                <w:color w:val="auto"/>
              </w:rPr>
            </w:pPr>
          </w:p>
        </w:tc>
      </w:tr>
      <w:tr>
        <w:trPr>
          <w:trHeight w:val="21"/>
        </w:trPr>
        <w:tc>
          <w:tcPr>
            <w:tcW w:w="2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80" w:type="dxa"/>
            <w:vAlign w:val="bottom"/>
            <w:gridSpan w:val="6"/>
          </w:tcPr>
          <w:p>
            <w:pPr>
              <w:spacing w:after="0"/>
              <w:rPr>
                <w:sz w:val="20"/>
                <w:szCs w:val="20"/>
                <w:color w:val="auto"/>
              </w:rPr>
            </w:pPr>
            <w:r>
              <w:rPr>
                <w:rFonts w:ascii="Arial" w:cs="Arial" w:eastAsia="Arial" w:hAnsi="Arial"/>
                <w:sz w:val="18"/>
                <w:szCs w:val="18"/>
                <w:color w:val="auto"/>
              </w:rPr>
              <w:t>Accrued expenses consist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0"/>
              </w:rPr>
              <w:t>December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84"/>
              </w:rPr>
              <w:t>2012</w:t>
            </w: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9"/>
              </w:rPr>
              <w:t>2012</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gridSpan w:val="11"/>
            <w:shd w:val="clear" w:color="auto" w:fill="F0FF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tcBorders>
              <w:right w:val="single" w:sz="8" w:color="F0FFFF"/>
            </w:tcBorders>
            <w:gridSpan w:val="2"/>
            <w:shd w:val="clear" w:color="auto" w:fill="F0FF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F0FFFF"/>
          </w:tcPr>
          <w:p>
            <w:pPr>
              <w:jc w:val="right"/>
              <w:ind w:right="10"/>
              <w:spacing w:after="0"/>
              <w:rPr>
                <w:sz w:val="20"/>
                <w:szCs w:val="20"/>
                <w:color w:val="auto"/>
              </w:rPr>
            </w:pPr>
            <w:r>
              <w:rPr>
                <w:rFonts w:ascii="Arial" w:cs="Arial" w:eastAsia="Arial" w:hAnsi="Arial"/>
                <w:sz w:val="18"/>
                <w:szCs w:val="18"/>
                <w:color w:val="auto"/>
              </w:rPr>
              <w:t>585,183</w:t>
            </w:r>
          </w:p>
        </w:tc>
        <w:tc>
          <w:tcPr>
            <w:tcW w:w="480" w:type="dxa"/>
            <w:vAlign w:val="bottom"/>
            <w:gridSpan w:val="2"/>
            <w:shd w:val="clear" w:color="auto" w:fill="F0FFFF"/>
          </w:tcPr>
          <w:p>
            <w:pPr>
              <w:jc w:val="center"/>
              <w:ind w:right="130"/>
              <w:spacing w:after="0"/>
              <w:rPr>
                <w:sz w:val="20"/>
                <w:szCs w:val="20"/>
                <w:color w:val="auto"/>
              </w:rPr>
            </w:pPr>
            <w:r>
              <w:rPr>
                <w:rFonts w:ascii="Arial" w:cs="Arial" w:eastAsia="Arial" w:hAnsi="Arial"/>
                <w:sz w:val="18"/>
                <w:szCs w:val="18"/>
                <w:color w:val="auto"/>
                <w:w w:val="99"/>
              </w:rPr>
              <w:t>$</w:t>
            </w: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767,926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6"/>
          </w:tcPr>
          <w:p>
            <w:pPr>
              <w:spacing w:after="0"/>
              <w:rPr>
                <w:sz w:val="20"/>
                <w:szCs w:val="20"/>
                <w:color w:val="auto"/>
              </w:rPr>
            </w:pPr>
            <w:r>
              <w:rPr>
                <w:rFonts w:ascii="Arial" w:cs="Arial" w:eastAsia="Arial" w:hAnsi="Arial"/>
                <w:sz w:val="18"/>
                <w:szCs w:val="18"/>
                <w:color w:val="auto"/>
                <w:w w:val="98"/>
              </w:rPr>
              <w:t>Accrued professional fees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194,436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482,664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gridSpan w:val="7"/>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440" w:type="dxa"/>
            <w:vAlign w:val="bottom"/>
            <w:tcBorders>
              <w:right w:val="single" w:sz="8" w:color="F0FFFF"/>
            </w:tcBorders>
            <w:shd w:val="clear" w:color="auto" w:fill="F0FFFF"/>
          </w:tcPr>
          <w:p>
            <w:pPr>
              <w:spacing w:after="0"/>
              <w:rPr>
                <w:sz w:val="18"/>
                <w:szCs w:val="18"/>
                <w:color w:val="auto"/>
              </w:rPr>
            </w:pPr>
          </w:p>
        </w:tc>
        <w:tc>
          <w:tcPr>
            <w:tcW w:w="840" w:type="dxa"/>
            <w:vAlign w:val="bottom"/>
            <w:gridSpan w:val="3"/>
            <w:shd w:val="clear" w:color="auto" w:fill="F0FFFF"/>
          </w:tcPr>
          <w:p>
            <w:pPr>
              <w:jc w:val="right"/>
              <w:ind w:right="10"/>
              <w:spacing w:after="0"/>
              <w:rPr>
                <w:sz w:val="20"/>
                <w:szCs w:val="20"/>
                <w:color w:val="auto"/>
              </w:rPr>
            </w:pPr>
            <w:r>
              <w:rPr>
                <w:rFonts w:ascii="Arial" w:cs="Arial" w:eastAsia="Arial" w:hAnsi="Arial"/>
                <w:sz w:val="18"/>
                <w:szCs w:val="18"/>
                <w:color w:val="auto"/>
              </w:rPr>
              <w:t>567,764</w:t>
            </w:r>
          </w:p>
        </w:tc>
        <w:tc>
          <w:tcPr>
            <w:tcW w:w="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663,078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gridSpan w:val="6"/>
          </w:tcPr>
          <w:p>
            <w:pPr>
              <w:spacing w:after="0"/>
              <w:rPr>
                <w:sz w:val="20"/>
                <w:szCs w:val="20"/>
                <w:color w:val="auto"/>
              </w:rPr>
            </w:pPr>
            <w:r>
              <w:rPr>
                <w:rFonts w:ascii="Arial" w:cs="Arial" w:eastAsia="Arial" w:hAnsi="Arial"/>
                <w:sz w:val="18"/>
                <w:szCs w:val="18"/>
                <w:color w:val="auto"/>
                <w:w w:val="93"/>
              </w:rPr>
              <w:t>Advanced customer billings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335,936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311,767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80" w:type="dxa"/>
            <w:vAlign w:val="bottom"/>
            <w:gridSpan w:val="10"/>
            <w:shd w:val="clear" w:color="auto" w:fill="F0FFFF"/>
          </w:tcPr>
          <w:p>
            <w:pPr>
              <w:spacing w:after="0"/>
              <w:rPr>
                <w:sz w:val="20"/>
                <w:szCs w:val="20"/>
                <w:color w:val="auto"/>
              </w:rPr>
            </w:pPr>
            <w:r>
              <w:rPr>
                <w:rFonts w:ascii="Arial" w:cs="Arial" w:eastAsia="Arial" w:hAnsi="Arial"/>
                <w:sz w:val="18"/>
                <w:szCs w:val="18"/>
                <w:color w:val="auto"/>
                <w:w w:val="98"/>
              </w:rPr>
              <w:t>Accrued proxy contest and litigation costs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4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992,520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Arial" w:cs="Arial" w:eastAsia="Arial" w:hAnsi="Arial"/>
                <w:sz w:val="18"/>
                <w:szCs w:val="18"/>
                <w:color w:val="auto"/>
              </w:rPr>
              <w:t>Accrued rent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rPr>
              <w:t>249,707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278,862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Borders>
              <w:bottom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Accrued other</w:t>
            </w:r>
          </w:p>
        </w:tc>
        <w:tc>
          <w:tcPr>
            <w:tcW w:w="10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640" w:type="dxa"/>
            <w:vAlign w:val="bottom"/>
            <w:tcBorders>
              <w:bottom w:val="single" w:sz="8" w:color="F0FFFF"/>
            </w:tcBorders>
            <w:shd w:val="clear" w:color="auto" w:fill="F0FFFF"/>
          </w:tcPr>
          <w:p>
            <w:pPr>
              <w:spacing w:after="0"/>
              <w:rPr>
                <w:sz w:val="19"/>
                <w:szCs w:val="19"/>
                <w:color w:val="auto"/>
              </w:rPr>
            </w:pPr>
          </w:p>
        </w:tc>
        <w:tc>
          <w:tcPr>
            <w:tcW w:w="440" w:type="dxa"/>
            <w:vAlign w:val="bottom"/>
            <w:tcBorders>
              <w:bottom w:val="single" w:sz="8" w:color="auto"/>
              <w:right w:val="single" w:sz="8" w:color="F0FFFF"/>
            </w:tcBorders>
            <w:shd w:val="clear" w:color="auto" w:fill="F0FFFF"/>
          </w:tcPr>
          <w:p>
            <w:pPr>
              <w:spacing w:after="0"/>
              <w:rPr>
                <w:sz w:val="19"/>
                <w:szCs w:val="19"/>
                <w:color w:val="auto"/>
              </w:rPr>
            </w:pPr>
          </w:p>
        </w:tc>
        <w:tc>
          <w:tcPr>
            <w:tcW w:w="840" w:type="dxa"/>
            <w:vAlign w:val="bottom"/>
            <w:tcBorders>
              <w:bottom w:val="single" w:sz="8" w:color="auto"/>
            </w:tcBorders>
            <w:gridSpan w:val="3"/>
            <w:shd w:val="clear" w:color="auto" w:fill="F0FFFF"/>
          </w:tcPr>
          <w:p>
            <w:pPr>
              <w:jc w:val="right"/>
              <w:ind w:right="10"/>
              <w:spacing w:after="0"/>
              <w:rPr>
                <w:sz w:val="20"/>
                <w:szCs w:val="20"/>
                <w:color w:val="auto"/>
              </w:rPr>
            </w:pPr>
            <w:r>
              <w:rPr>
                <w:rFonts w:ascii="Arial" w:cs="Arial" w:eastAsia="Arial" w:hAnsi="Arial"/>
                <w:sz w:val="18"/>
                <w:szCs w:val="18"/>
                <w:color w:val="auto"/>
              </w:rPr>
              <w:t>266,861</w:t>
            </w:r>
          </w:p>
        </w:tc>
        <w:tc>
          <w:tcPr>
            <w:tcW w:w="80" w:type="dxa"/>
            <w:vAlign w:val="bottom"/>
            <w:tcBorders>
              <w:bottom w:val="single" w:sz="8" w:color="F0FFFF"/>
            </w:tcBorders>
            <w:shd w:val="clear" w:color="auto" w:fill="F0FFFF"/>
          </w:tcPr>
          <w:p>
            <w:pPr>
              <w:spacing w:after="0"/>
              <w:rPr>
                <w:sz w:val="19"/>
                <w:szCs w:val="19"/>
                <w:color w:val="auto"/>
              </w:rPr>
            </w:pPr>
          </w:p>
        </w:tc>
        <w:tc>
          <w:tcPr>
            <w:tcW w:w="40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271,880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2,199,887</w:t>
            </w:r>
          </w:p>
        </w:tc>
        <w:tc>
          <w:tcPr>
            <w:tcW w:w="480" w:type="dxa"/>
            <w:vAlign w:val="bottom"/>
            <w:gridSpan w:val="2"/>
          </w:tcPr>
          <w:p>
            <w:pPr>
              <w:jc w:val="center"/>
              <w:ind w:right="130"/>
              <w:spacing w:after="0"/>
              <w:rPr>
                <w:sz w:val="20"/>
                <w:szCs w:val="20"/>
                <w:color w:val="auto"/>
              </w:rPr>
            </w:pPr>
            <w:r>
              <w:rPr>
                <w:rFonts w:ascii="Arial" w:cs="Arial" w:eastAsia="Arial" w:hAnsi="Arial"/>
                <w:sz w:val="18"/>
                <w:szCs w:val="18"/>
                <w:color w:val="auto"/>
                <w:w w:val="99"/>
              </w:rPr>
              <w:t>$</w:t>
            </w: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3,768,697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10, 2012, the Company entered into a Loan and Security Agreement and other ancillary documents (the “Loan Documents”) with Avidbank Corporate Finance, a division of Avidbank (the “Bank”), providing for a secured asset-based revolving line of credit in an amount of up to $3.0 million (the “Line of Credit”). The Company intends to use advances under the Line of Credit towards the financing of growth initiatives like its JumpStart Program.</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Documents provide that the aggregate amount of advances under the Line of Credit shall not exceed the lesser of (i) $3.0 million, or (ii) 75% of eligible accounts receivable as defined in the Loan Documents plus 80% of the prior two months transaction processing revenues and networking service fees as defined in the Loan Documents, provided that the amounts advanced on account of such processing revenues and service fees shall not exceed $2,000,000 without the Bank’s prior consent, after the amendment entered into on January 2, 2013 (See Note 8. Subsequent Event).</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outstanding balance of the amounts advanced under the Line of Credit will bear interest at 2% above the prime rate as published in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or 5% whichever is higher. Interest is payable by the Company to the Bank on a monthly basis, provided, that the minimum interest payable by the Company to the Bank with respect to each six-month period shall be $20,000.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Line of Credit and the Company’s obligations under the Loan Documents are secured by substantially all of the Company’s assets, including its intellectual property. The term of the Line of Credit is one year. At the time of maturity all outstanding advances under the Line of Credit as well as any unpaid interest is due and payable. Prior to maturity of the Line of Credit, the Company may prepay amounts due under the Line of Credit without penalty, and subject to the terms of the Loan Documents, may re-borrow any such amounts.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Documents contain customary affirmative and negative covenants. The Loan Documents also require the Company to achieve a minimum Adjusted EBITDA, as defined in the Loan Documents, measured on a quarterly basis, and to maintain a balance of $3.0 million of unrestricted cash in accounts with the Bank. 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2012, the balance due on the Line of Credit was $1,000,000 and the Company satisfied all covenants contained in the Loan Documents. See additional information about the Line of Credit in Note 8, “Subsequent Events”.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accordance with the fair value hierarchy described in Note 2, the following table shows the fair value of the Company’s financial instruments that are required to be measured at fair value as of December 31, 2012 and June 30,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December 31, 2012 (unaudited)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175,304</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175,304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2"/>
              </w:rPr>
              <w:t>Common stock warrant liability, warrants exercisable at $2.6058 from September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18, 2011 through September 18, 2016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858,925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858,925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1"/>
              </w:rPr>
              <w:t>Common stock warrant liability, warrants exercisable at $5.90 through September</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14, 2013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143</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30, 2012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141,107</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141,107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2"/>
              </w:rPr>
              <w:t>Common stock warrant liability, warrants exercisable at $2.6058 from September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18, 2011 through September 18, 2016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917,440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917,440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1"/>
              </w:rPr>
              <w:t>Common stock warrant liability, warrants exercisable at $5.90 through September</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14, 2013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1,126</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2012 and June 30, 2012, the fair values of the Company’s Level 1 financial instruments were $175,304 and $141,107, respectively. These financial instruments consist of cash equivalents, including money market accounts. As of December 31, 2012 and June 30, 2012, the Company held no Level 2 financial instruments.</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December 31, 2012 and June 30, 2012, the fair values of the Company’s Level 3 financial instruments totaled $859,068 and $918,566, respectively. The Level 3 financial instruments consist of common stock warrants issued by the Company in March 2011 and March 2007,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As of December 31, 2012, the fair value of warrants issued in March 2007 to purchase</w:t>
      </w:r>
    </w:p>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903,955 shares of the Company’s common stock was estimated by the Company to be $143 using the Black-Scholes with the following assumptions: dividend yield of 0%, expected stock price volatility of 0.66, risk free interest rate of 0.11%, and an expected life of nine months. There were no transfers of assets or liabilities between level 1, level 2, or level 3 during the periods ended December 31, 2012 and June 30, 2012.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six months ended December 31, 2012 and 2011:</w:t>
      </w:r>
    </w:p>
    <w:p>
      <w:pPr>
        <w:spacing w:after="0" w:line="19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550"/>
              <w:spacing w:after="0"/>
              <w:rPr>
                <w:sz w:val="20"/>
                <w:szCs w:val="20"/>
                <w:color w:val="auto"/>
              </w:rPr>
            </w:pPr>
            <w:r>
              <w:rPr>
                <w:rFonts w:ascii="Arial" w:cs="Arial" w:eastAsia="Arial" w:hAnsi="Arial"/>
                <w:sz w:val="18"/>
                <w:szCs w:val="18"/>
                <w:color w:val="auto"/>
              </w:rPr>
              <w:t>December 31,</w:t>
            </w: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(unaudited)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87"/>
              </w:rPr>
              <w:t>(unaudited)</w:t>
            </w:r>
          </w:p>
        </w:tc>
      </w:tr>
      <w:tr>
        <w:trPr>
          <w:trHeight w:val="216"/>
        </w:trPr>
        <w:tc>
          <w:tcPr>
            <w:tcW w:w="20" w:type="dxa"/>
            <w:vAlign w:val="bottom"/>
          </w:tcPr>
          <w:p>
            <w:pPr>
              <w:spacing w:after="0"/>
              <w:rPr>
                <w:sz w:val="18"/>
                <w:szCs w:val="18"/>
                <w:color w:val="auto"/>
              </w:rPr>
            </w:pPr>
          </w:p>
        </w:tc>
        <w:tc>
          <w:tcPr>
            <w:tcW w:w="4600" w:type="dxa"/>
            <w:vAlign w:val="bottom"/>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918,566</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2,732,253</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Purchase, sales, issuance, settlements, or transfers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Gain due to change in fair value of warrant liabilities, net</w:t>
            </w:r>
          </w:p>
        </w:tc>
        <w:tc>
          <w:tcPr>
            <w:tcW w:w="2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(59,498)</w:t>
            </w: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(1,888,368)</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859,068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843,885</w:t>
            </w: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AND COMMON STOCK WARRANTS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2010 Stock Incentive Plan, the Company recorded stock compensation expense of $34,340 and $49,984 and issued 11,441 and 11,941 shares of Common stock during the three and six months ended December 31, 2012. The fiscal year to date expenses for the vesting of shares of Common Stock as of December 31, 2012 related to the following: $19,583 for shares granted under employment agreements entered into with its executive officers in April 2011; $9,947 for shares granted to Directors of the Company in June 2011 and March 2012; $19,038 for shares issued to Company Directors in lieu of cash payment; and $1,416 for shares granted to an employee.</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2012, the Board of Directors accepted the recommendation of the Compensation Committee that each of the three non-employee Directors who joined the Board after March 31, 2012 receive a stock award of 10,000 shares of Common Stock. Under the 2011 Stock Incentive Plan (the “2011 Plan”) 30,000 shares of Common Stock were awarded with a grant date fair value of $1.45 per share, and vest as follows: 9,999 on August 10, 2012; 9,999 on August 10, 2013; and, 10,002 on August 10, 2014. Under the 2011 Plan the Company recorded stock compensation expense of $47,006 and $111,695 and issued 19,546 and 78,711 shares of Common stock during the three and six months ended December 31, 2012, respectively. The fiscal year to date expenses for the vesting of shares of Common Stock as of December 31, 2012 related to the following: $35,625 for shares granted under employment agreements entered into with its executive officers in September 2011; $31,549 of expenses related to vesting of shares granted to employees in April 2012; $23,561 of expenses related to vesting of shares granted to Directors of the Company in July 2012; and $20,960 for shares issued to Company Directors in lieu of cash payment.</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2012, the Company granted up to 60,000 shares of Common stock under the 2012 Stock Incentive Plan (the “2012 Plan”) to employees based on various performance targets of the Company for the remainder of the 2013 fiscal year. Under the 2012 Plan, the Company recorded stock compensation expense of $13,545 and $58,545 and issued 0 and 171,998 shares of Common Stock during the three and six months ended December 31, 2012. The fiscal year to date expenses for the vesting of shares of Common Stock as of December 31, 2012 related to the following: $41,000 for shares issued to Company Directors in lieu of cash payment; and $13,545 for shares granted to employees in October 2012. 35,713 shares of Common Stock were issued to Company Directors in lieu of cash payment for compensation for services to the Company in the six months ended December 31, 2012. The other 136,285 shares of Common Stock were issued to its executive officers under the Fiscal Year 2012 Performance Share Plan (the “2012 Performance Plan”) after the filing of the Company’s form 10-K on September 26, 2012.</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5, 2012, at the recommendation of the Compensation Committee, the board of directors adopted the Fiscal Year 2013 Performance Share Plan (the “2013 Performance Plan”) covering the Company’s executive officers. Under the 2013 Performance Plan, each executive officer would be awarded common stock in the event the Company achieves certain performance goals during the fiscal year ending June 30, 2013. The metrics under the 2013 Performance Plan as well as the relative weightings of these metrics are identical to those originally set forth in the 2012 Performance Plan. No awards would be made under the 2013 Performance Plan if either (i) none of the minimum, threshold performance target goals has been achieved, or (ii) if operating earnings for the 2013 fiscal year are not equal or better than those during the 2012 fiscal year.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AND COMMON STOCK WARRANTS (CONTINUED)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all of the target goals are achieved under the 2013 Performance Plan, the executive officers would be awarded shares having the following value: Mr. Herbert – $275,000; and Mr. DeMedio – $100,000. If all of the minimum, threshold performance target goals are achieved, the executive officers would be awarded shares having the following value: Mr. Herbert – $75,000; and Mr. DeMedio – $25,000. If all of the maximum, distinguished performance target goals are achieved, the executive officers would be awarded shares having the following value: Mr. Herbert – $550,000; and Mr. DeMedio – $200,000. If the actual results for the fiscal year are less than the target goals (but greater than the minimum, threshold performance target goals), each executive would be awarded a lesser pro rata number of shares from the target goal, if actual results are between target and maximum, then a pro rata number of shares between target and maximum is earned, and if actual results are above maximum (distinguished) than pro rata shares above maximum is earned.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2012, the Company recorded a liability of $87,837, and expense for the three and six months then ended of $43,969 and $87,837 for the 2013 Performance Plan.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2011, the Company recorded a liability of $66,568, and expense for the three and six months then ended of $18,986 and $66,568 for the 2012 Performance Plan.</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and six months ended December 31, 2011, the Company recorded stock compensation expense of $220,224 and $427,497, and issued 97,132 and 189,798 shares of Common Stock, respectively. The 2012 fiscal year to date expenses for the vesting of shares of Common Stock as of December 31, 2011 related to the following: $109,980 of expense associated with severance for our former CEO; $95,468 and $183,468 for grants to the executive officers in April and September 2011, respectively; $5,831 of expenses related to vesting of shares granted to employees in June 2011; $27,750 of expenses related to vesting of shares granted to Directors of the Company in June 2011; and $5,000 for shares issued to Company Directors in lieu of cash payment.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and December 2012, executive officers exercised their right to cancel shares of common stock awarded to them under prior employment agreements and the 2012 Performance Plan for the payment of payroll taxes. 51,298 shares of the Company’s Common Stock were cancelled to satisfy $87,315 of related payroll obligations.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Warrants to purchase up to 291,432 shares of Common Stock, issued in conjunction with the 2009 Rights Offering, exercisable at $2.20 per share expired unexercised on August 6, 2012; and, warrants to purchase up to 17,532 shares of Common Stock, issued in 2007, exercisable at $7.70 per share expired unexercised on October 17,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space in Malvern, Pennsylvania for its product warehousing, shipping and customer support. In October 2011, the Company amended the lease of its operations site in Malvern, Pennsylvania, to extend the lease term from December 31, 2011 to December 31, 2012. The amendment includes monthly rental payments of approximately $15,100 to $16,200. Beginning in January 2012 the straight-lined rent expense for this office is approximately $15,600 per month for the duration of the amended lease period. In November 2012, the Company amended and extended this lease to January 31, 2013 with monthly rent of $16,721 for January 2013.</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November 2012, the Company entered into a lease for a new operations site in Malvern, Pennsylvania to replace its existing site and lease. The lease term for the 11,250 square feet of space is January 1, 2013 through February 29, 2016. The lease includes monthly rental payments from $0 to $4,678. Beginning in January 2013 the straight-lined rent expense for this operations site is approximately $4,300 per month for the duration of the lease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 2013, the Company and Avidbank, entered into a First Amendment (the “First Amendment”) to the Loan Agreement previously entered into by them on July 10, 2012. As a result of the First Amendment, the borrowing base has now been increased by $1,000,000.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original Loan Agreement, the aggregate amount of advances under the Line of Credit could not exceed the lesser of (i) $3,000,000, or (ii) 75% of eligible accounts receivable as defined in the Loan Agreement plus 80% of the prior two months transaction processing revenues and networking service fees as defined in the Loan Agreement, provided that the amounts advanced on account of such processing revenues and service fees could not exceed $1,000,000 without the Bank’s prior consent (the “Borrowing Base”). Pursuant to the First Amendment, the Bank has now agreed that the amounts to be advanced on account of such processing revenues and service fees shall be increased from $1,000,000 to $2,000,000. As a result of such increase, the Borrowing Base has been increased by $1,000,000.</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condition of the Bank’s entering into the First Amendment, the Company issued to the Bank warrants to purchase up to 45,000 shares of common stock of the Company. The warrants are exercisable at any time prior to December 31, 2017 at an exercise price of $2.10 per share. The exercise price of the warrants is equal to one hundred and twenty-five percent (125%) of the average closing bid price of the Company’s common stock during the thirty (30) trading days immediately preceding the date of the execution and delivery of the First Amendment.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to conduct operations at a profit;</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in order to sustain its operations if an unexpected or unusual event would occur;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the Company’s current or future customers purchase, rent or utilize ePort devices or our other products in the future at levels currently anticipated by our Company, including appropriate diversification resulting from sources other than our JumpStart Program;</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customers continue to add additional connections to our network in the future at levels currently anticipated by the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whether the significant increase in the interchange fees charged by Visa and MasterCard for small ticket debit card transactions effective October 1, 2011, would adversely affect our business, including our revenues, gross profits, and anticipated future connections to our network;</w:t>
      </w:r>
    </w:p>
    <w:p>
      <w:pPr>
        <w:spacing w:after="0" w:line="150"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such as in connection with a proxy contest, which would require us to divert our cash resources from achieving our business plan;</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whether the actions of the former CEO of the Company which resulted in his separation from the Company in October 2011 or the Securities and Exchange Commission’s investigation would have a material adverse effect on the future financial results or condition of the Company; and</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2012 compared to the three months ended December 31, 2011</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Results for the fiscal quarter ended December 31, 2012 continued to demonstrate significant growth and improvements in the Company’s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year over year improvements include:</w:t>
      </w:r>
    </w:p>
    <w:p>
      <w:pPr>
        <w:spacing w:after="0" w:line="2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up 29%;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Recurring license and transaction fee revenue up 33%;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dollars up 86%.</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quarter ended December 31, 2012 were $8,884,321, consisting of $7,403,241 of license and transactions fees and $1,481,080 of equipment sales, compared to $6,881,598 for the quarter ended December 31, 2011, consisting of $5,583,464 of license and transaction fees and $1,298,134 of equipment sales. The increase in total revenue of $2,002,723, or 29%, was primarily due to an increase in license and transaction fees of $1,819,777, or 33%, and an increase in equipment sales of $182,946 or 14%, from the same period in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Revenue from license and transaction fees is fueled primarily by monthly ePort Connect® service fees and transaction processing fees.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License and transaction fee highlights for the quarter ended December 31, 2012 included:</w:t>
      </w:r>
    </w:p>
    <w:p>
      <w:pPr>
        <w:spacing w:after="0" w:line="252"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license and transaction fees grew 33%, to approximately $7.4 million for the second quarter of fiscal 2013 from $5.6 million for the same period a year ago. These recurring revenues represented 83% and 81% of total revenue for the second quarter of fiscal 2013 and 2012, respectively;</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Gross margin improvement of approximately 13 percentage points to 41% for the second quarter fiscal 2013 compared to 28% a year ago;</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in the second quarter of 29% and 28%, respectively, compared to the same period a year ago;</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 or 375 more ePort Connect customers added in the current quarter than the prior year second quarter, for 4,100 customers at December 31, 2012;</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quarters ended December 31, 2012 and 2011, the Company added approximately 12,000 and 7,000, respectively, net connections to our network – a 71% increase in connection growth. JumpStart units represented approximately 70% of net connections added during each of the second quarters of the 2013 and 2012 fiscal years; and,</w:t>
      </w:r>
    </w:p>
    <w:p>
      <w:pPr>
        <w:spacing w:after="0" w:line="1" w:lineRule="exact"/>
        <w:rPr>
          <w:rFonts w:ascii="Arial" w:cs="Arial" w:eastAsia="Arial" w:hAnsi="Arial"/>
          <w:sz w:val="18"/>
          <w:szCs w:val="18"/>
          <w:color w:val="auto"/>
        </w:rPr>
      </w:pPr>
    </w:p>
    <w:p>
      <w:pPr>
        <w:ind w:left="660" w:hanging="328"/>
        <w:spacing w:after="0" w:line="261" w:lineRule="auto"/>
        <w:tabs>
          <w:tab w:leader="none" w:pos="72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2012, the Company had approximately 186,000 connections to the ePort Connect service as compared to approximately 136,000 connections to the ePort Connect service as of December 31, 2011.</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license and transaction fees was due to the growth in ePort Connect service fees and transaction dollars handled from the increased number of ePort® units connected to our ePort Connect service. As of December 31, 2012, the Company had approximately 186,000 connections to the ePort Connect service as compared to approximately 136,000 connections to the ePort Connect service as of December 31, 2011. During the quarters ended December 31, 2012 and 2011, the Company added approximately 12,000 and 7,000, respectively, net connections to our network – a 71% increase in connection growth.</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quarter ended December 31, 2012, the Company processed approximately 31 million transactions totaling approximately $51 million compared to approximately 24 million transactions totaling approximately $40 million during the quarter ended December 31, 2011, an increase of approximately 29% in the number of transactions and approximately 28% in the value of transactions processed.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typically takes 30-60 days for a new connection to begin contributing to the Company’s license and transaction fee revenues. The Company counts its ePort Connect connections upon shipment of an active terminal to a customer under contract, at which time activation on its network is performed by the Company, and the terminal is capable of conducting business via the Company’s network and related services. An ePort Connect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 We anticipate that our license and transaction fee revenues would continue to increase if the number of connections to our network would continue to increase.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New ePort Connect customers added during the quarter ended December 31, 2012 totaled 375, bringing the total number of such customers to approximately 4,100 as of December 31, 2012. The Company added approximately 250 new customers in the quarter ended December 31, 2011. By comparison, the Company had approximately 2,525 customers as of December 31, 2011, representing a 62% increase during the past twelve months.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The $182,946 increase in equipment sales was mainly a result of an increase of approximately $295,000 in ePort product sales, offset by a decrease of approximately $104,000 in Energy products. The $295,000 increase in ePort products was directly attributable to a $160,000 sale of vending and ePort equipment related to a special project for a customer, and $90,000 related to a higher level of activation fees on connections in the quarter compared to the prior year quarter. The $104,000 decrease in Energy products is directly attributable to selling fewer units during the quarter ended December 31, 2012 than during the quarter ended December 31, 2011.</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sales consisted of cost of services for license and transaction fee related costs of $4,363,212 and $3,983,251 and equipment costs of $920,928 and $959,891, for the quarters ended December 31, 2012 and 2011, respectively. The increase in total cost of sales of $340,998, or 7%, was due to an increase in cost of services of $379,961 and a decrease in equipment costs of $38,963. The increase in cost of services was predominantly related to increases in units connected to the network and increases in transaction dollars processed. The slight decrease in equipment costs is directly attributable to decrease in number of Energy products sold during the quarter ended December 31, 2012 than during the quarter ended December 31, 2011, offset by increased equipment costs related to selling more ePort products during the current quarter compared to the quarter a year ago.</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(“GP”) for the quarter ended December 31, 2012 was $3,600,181 compared to GP of $1,938,456 for the previous corresponding quarter, an increase of $1,661,725, of which $1,439,816 represents increases attributable to license and transaction fees and $221,909 of greater equipment sales GP. Overall margins increased from 28% to 41% due to license and transaction fees margins having increased from 29% to 41% and by equipment sales margins having increased from 26% to 38%. The year ago quarter’s margin of 29% was negatively impacted by approximately $316,000 of costs associated with higher regulated debit interchange acceptance prior to the Company entering into its agreement with Visa (see following paragraph), as well as other actions it took to bring the cost of accepting debit transactions to pre-Durbin levels. The current quarter was not impacted by these higher interchange costs due to the extension of the Visa Agreement in October 2012. Other reasons for improved license and transaction fee margins include improved efficiencies stemming from new and/or renegotiated partnership agreements as well as a larger ePort Connect service base.</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9, 2012, the Company and Visa U.S.A. Inc. entered into a First Amendment (the “First Amendment”) to the agreement that had been previously entered into between them on October 12, 2011 (the “Agreement”). Pursuant to the First Amendment, the original one-year term of the Agreement has been extended until October 31, 2013, and will automatically renew for an additional year, or until October 31, 2014, unless either party would provide at least 60-days prior notice of non-renewal. Pursuant to the Agreement, Visa has agreed to make available to the Company reduced interchange fees for debit card transactions. These reduced interchange fees will allow the Company to continue to accept Visa’s debit card products during the term of the Agreement, as amended, without adversely impacting the Company’s historical gross profit from license and transaction fee revenues.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(“SG&amp;A”) expenses of $2,699,675 for the quarter ended December 31, 2012, decreased by $831,406, or 24%, from the same quarter in the prior fiscal year. Included in $3,531,081 of SG&amp;A expenses during the quarter ended December 31, 2011 were approximately $975,000 of expenses for the separation of the former CEO from the Company. Exclusive of the CEO separation costs, SG&amp;A expenses increased by approximately $144,000 in the second quarter of fiscal 2013 as compared to the same quarter in the fiscal 2012. This increase in expenses is due primarily to additional advertising and marketing expenses, and professional and consulting fees incurred by the Company in connection with operations.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and expense for the quarter ended December 31, 2012, mostly consisted of $403,635 of non-cash gains for the change in the fair value of the Company’s warrant liabilities. In the same quarter a year ago, the Company had non-cash expenses of $151,759 for the same warrant liabilities.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 ended December 31, 2012 resulted in net income of $153,758 compared to a net loss of ($1,821,061) for the quarter ended December 31, 2011, an improvement of $1,974,819 from the prior corresponding fiscal quarter. For the fiscal quarters ended December 31, 2012 and 2011, the income and loss per diluted common share was $0.00 and ($0.06), respectively.</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was $557,393, compared to a non-GAAP net loss of ($997,820) for the second quarter of fiscal 2012. Management believes that non-GAAP net income (loss) and non-GAAP diluted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Reconciliation of net income (loss) to Non-GAAP net income (loss) for the quarters ended December 31, 2012 and 2011 is as follows:</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153,758</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(1,821,061)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CEO separation</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Fair value of warrant adjustment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403,635</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557,393</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(997,820)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153,758</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(1,821,061)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557,393</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(997,820)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153,758</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(1,821,061)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Non-GAAP net income (loss) applicable to common shares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557,393</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(997,820)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w w:val="95"/>
              </w:rPr>
              <w:t>Diluted weighted average number of common shares outstanding</w:t>
            </w:r>
          </w:p>
        </w:tc>
        <w:tc>
          <w:tcPr>
            <w:tcW w:w="240" w:type="dxa"/>
            <w:vAlign w:val="bottom"/>
            <w:tcBorders>
              <w:bottom w:val="single" w:sz="8" w:color="auto"/>
            </w:tcBorders>
            <w:shd w:val="clear" w:color="auto" w:fill="F0FFFF"/>
          </w:tcPr>
          <w:p>
            <w:pPr>
              <w:spacing w:after="0"/>
              <w:rPr>
                <w:sz w:val="21"/>
                <w:szCs w:val="21"/>
                <w:color w:val="auto"/>
              </w:rPr>
            </w:pPr>
          </w:p>
        </w:tc>
        <w:tc>
          <w:tcPr>
            <w:tcW w:w="10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33,468,336</w:t>
            </w:r>
          </w:p>
        </w:tc>
        <w:tc>
          <w:tcPr>
            <w:tcW w:w="32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auto"/>
            </w:tcBorders>
            <w:shd w:val="clear" w:color="auto" w:fill="F0FFFF"/>
          </w:tcPr>
          <w:p>
            <w:pPr>
              <w:spacing w:after="0"/>
              <w:rPr>
                <w:sz w:val="21"/>
                <w:szCs w:val="21"/>
                <w:color w:val="auto"/>
              </w:rPr>
            </w:pPr>
          </w:p>
        </w:tc>
        <w:tc>
          <w:tcPr>
            <w:tcW w:w="9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3"/>
              </w:rPr>
              <w:t>32,448,040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Non-GAAP net earnings (loss) per common share - diluted</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0.02</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herein, non-GAAP net income (loss) represents GAAP net income (loss) excluding costs relating to the proxy contest, the costs associated with the separation of the former CEO, any adjustment for fair value of warrant liabilities, and any charges for impairment of intangible assets. As used herein, non-GAAP diluted earnings (loss) per common share is calculated by dividing non-GAAP net income (loss) applicable to common shares by the diluted weighted average number of shares outstanding.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December 31, 2012, the Company had Adjusted EBITDA of $1,752,721. Reconciliation of net income (loss) to Adjusted EBITDA for the quarters ended December 31, 2012 and 2011 is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153,758</w:t>
            </w:r>
          </w:p>
        </w:tc>
        <w:tc>
          <w:tcPr>
            <w:tcW w:w="7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(1,821,061)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(21,661)</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25,016</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49,072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6,902</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904,580</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552,990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185,600</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Less change in fair value of warrant liabilities</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403,635</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8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94,891</w:t>
            </w:r>
          </w:p>
        </w:tc>
        <w:tc>
          <w:tcPr>
            <w:tcW w:w="320" w:type="dxa"/>
            <w:vAlign w:val="bottom"/>
            <w:tcBorders>
              <w:bottom w:val="single" w:sz="8" w:color="F0FFFF"/>
            </w:tcBorders>
            <w:shd w:val="clear" w:color="auto" w:fill="F0FFFF"/>
          </w:tcPr>
          <w:p>
            <w:pPr>
              <w:spacing w:after="0"/>
              <w:rPr>
                <w:sz w:val="19"/>
                <w:szCs w:val="19"/>
                <w:color w:val="auto"/>
              </w:rPr>
            </w:pPr>
          </w:p>
        </w:tc>
        <w:tc>
          <w:tcPr>
            <w:tcW w:w="4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187,044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880" w:type="dxa"/>
            <w:vAlign w:val="bottom"/>
            <w:shd w:val="clear" w:color="auto" w:fill="F0FFFF"/>
          </w:tcPr>
          <w:p>
            <w:pPr>
              <w:spacing w:after="0"/>
              <w:rPr>
                <w:sz w:val="20"/>
                <w:szCs w:val="20"/>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1,752,721</w:t>
            </w:r>
          </w:p>
        </w:tc>
        <w:tc>
          <w:tcPr>
            <w:tcW w:w="7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(938,400)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653"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Six months ended December 31, 2012 compared to the six months ended December 31, 2011</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six-month period ended December 31, 2012 continued to demonstrate significant growth and improvements in the Company’s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Highlights of year over year improvements include:</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up 27%;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license and transaction fee revenue up 30%;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dollars up 69%.</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six-month period ended December 31, 2012 were $17,274,599, consisting of $14,309,598 of license and transactions fees and $2,965,001 of equipment sales, compared to $13,587,346 for the six-month period ended December 31, 2011, consisting of $11,003,127 of license and transaction fees and $2,584,219 of equipment sales. The increase in total revenue of $3,687,253, or 27%, was primarily due to an increase in license and transaction fees of $3,306,471, or 30%, and an increase in equipment sales of $380,782 or 15%, from the same period in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License and transaction fee highlights for the six-month period ended December 31, 2012 included:</w:t>
      </w:r>
    </w:p>
    <w:p>
      <w:pPr>
        <w:spacing w:after="0" w:line="252"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from license and transaction fees, which is fueled primarily by monthly ePort Connect® service fees and transaction processing fees, grew 30%, to approximately $14.3 million for the first six months of fiscal 2013 from $11.0 million for the same period a year ago. These recurring revenues represented 83% and 81% of total revenue for the first six months of fiscal 2013 and 2012, respectively;</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improvement of approximately 10 percentage points to 39% gross margins for the first six months of fiscal 2013 compared to 29% a year ago;</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in the first six months of fiscal 2013 of 20% and 24%, respectively, compared to the same period a year ago;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39%, or 800 new ePort Connect customers added in the first six months of fiscal 2013, for 4,100 customers at December 31, 2012.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2012, the Company had approximately 186,000 connections to the ePort Connect service as compared to approximately 136,000 connections to the ePort Connect service as of December 31, 2011. During the six-month period ended December 31, 2012 and 2011, the Company added approximately 22,000 and 17,000 net connections to our network, representing a 5,000 connection, or 29% increase. JumpStart units represented approximately 75% and 65% of net connections added during the first six months of the 2013 and 2012 fiscal years, respectively, which also contribute to license and transaction fee revenue.</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its agreements with customers, the Company in addition to ePort Connect service fees earns transaction processing fees equal to a percentage of the dollar volume processed by the Company, which are included as licensing and transaction processing revenues in its Consolidated Statements of Operations. During the six-month period ended December 31, 2012, the Company processed approximately 60 million transactions totaling approximately $102 million compared to approximately 50 million transactions totaling approximately $82 million during the six-month period ended December 31, 2011, an increase of approximately 20% in the number of transactions and approximately 24% in the value of transactions processed.</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typically takes 30-60 days for a new connection to begin contributing to the Company’s license and transaction fee revenues. The Company counts its ePort Connect connections upon shipment of an active terminal to a customer under contract, at which time activation on its network is performed by the Company, and the terminal is capable of conducting business via the Company’s network and related services. An ePort Connect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 We anticipate that our license and transaction fee revenues would continue to increase if the number of connections to our network would continue to increase.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In addition, our customer base increased with approximately 800 new ePort Connect customers added during the six-month period ended December 31, 2012 bringing the total number of such customers to approximately 4,100 as of December 31, 2012. The Company added approximately 575 new customers in the six-month period ended December 31, 2011. By comparison, the Company had approximately 2,525 customers as of December 31, 2011, representing a 62% increase during the past twelve months.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$380,782 increase in equipment sales was mainly a result of an increase of approximately $718,000 in ePort product sales, offset by a decrease of approximately $323,000 in Energy products. The $718,000 increase in ePort products was directly attributable selling more units during the six month period ended December 31, 2012 than during the six month period ended December 31, 2011, as well as a greater level of activation fees on connections in the period compared to the prior year. In addition, we had a sale of vending and ePort equipment under a special project for a customer of approximately $160,000. The $323,000 decrease in Energy products is directly attributable selling fewer units during the six-month period ended December 31, 2012 than during the six-month period ended December 31, 2011.</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consisted of cost of services for network and transaction fee related costs of $8,555,572 and $7,744,828 and equipment costs of $1,974,564 and $1,855,027, for the six-month periods ended December 31, 2012 and 2011, respectively. The increase in total cost of sales of $930,281 was due to an increase in cost of services of $810,744 and an increase in equipment costs of $119,537. The increase in cost of services was predominantly related to increases in units connected to the network and increases in transaction dollars processed. The increase in equipment costs is predominately attributable to selling more ePort units, offset by the decrease in equipment cost of sales related to fewer Energy products sold during the six-month period ended December 31, 2012 than during the six-month period ended December 31, 2011.</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GP for the six-month period ended December 31, 2012 was $6,744,463 compared to GP of $3,987,491 for the previous corresponding six-month period, an increase of $2,756,972, of which $2,495,727 represents increases attributable to license and transaction fees and $261,245 equipment sales GP. Overall margins increased from 29% to 39% due to license and transaction fees margins having increased from 30% to 40% and by equipment sales margins having increased from 28% to 33%. License and transaction fee margins increased due to approximately $316,000 of higher license and transaction fee cost of sales in the six month period a year ago, as more fully described above for the three month period ended December 31, 2011, as well improved efficiencies stemming from recent partnership agreements as well as a larger ePort Connect service base.</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(“SG&amp;A”) expenses of $5,914,800 for the six-month period ended December 31, 2012, decreased by $1,084,350, or 15%, from the same six-month period ended in the prior fiscal year. Included in the $5.9 million of SG&amp;A expenses during the six-month period ended December 31, 2012, were approximately $328,000 in charges related to the proxy contest and related litigation; and during the six month period ended December 31, 2011, approximately $975,000 in charges related to costs associated with the investigation and separation of our former CEO.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of the proxy contest and related litigation expenses of the current year, offset by the former CEO separation costs of the prior year, SG&amp;A expenses decreased approximately $400,000, or 7%, in the six-month period ended December 31, 2012 as compared to the six-month period ended December 31, 2011. This decrease in expenses is due primarily to $180,000 decrease in employee compensation and benefit costs, mostly associated with the separation of our former CEO in October 2011, $135,000 decrease in travel, sales and advertising expenses, $160,000 of sales tax expenses from an audit in prior year, and other net increases of $75,000.</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income and expense for the six months ended December 31, 2012, mostly consisted of $59,498 of non-cash expenses for the change in the fair value of the Company’s warrant liabilities. In the same period a year ago, the Company had non-cash expenses of $1,888,368 for the same warrant liabilities.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six-month period ended December 31, 2012 resulted in net income of $192,897 compared to a net loss of ($1,900,014) for the six-month period ended December 31, 2011, an improvement of $2,092,911 from the prior corresponding fiscal period. For the six-month period ended December 31, 2012 and 2011, the income and loss per diluted common share was $0.00 and ($0.07), respectively.</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Non-GAAP net income was $129,173, compared to a non-GAAP net loss of ($3,145,608) for the six months ended December 31, 2012 and 2011, respectively. Management believes that non-GAAP net income (loss) and non-GAAP diluted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Reconciliation of net income (loss) to Non-GAAP net income (loss) for the six months ended December 31, 2012 and 2011 is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192,897</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(1,900,014)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Non-GAAP adjustments: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Proxy related costs</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328,000</w:t>
            </w:r>
          </w:p>
        </w:tc>
        <w:tc>
          <w:tcPr>
            <w:tcW w:w="3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CEO separation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24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(59,498)</w:t>
            </w:r>
          </w:p>
        </w:tc>
        <w:tc>
          <w:tcPr>
            <w:tcW w:w="320" w:type="dxa"/>
            <w:vAlign w:val="bottom"/>
            <w:tcBorders>
              <w:bottom w:val="single" w:sz="8" w:color="F0FFFF"/>
            </w:tcBorders>
            <w:shd w:val="clear" w:color="auto" w:fill="F0FFFF"/>
          </w:tcPr>
          <w:p>
            <w:pPr>
              <w:spacing w:after="0"/>
              <w:rPr>
                <w:sz w:val="19"/>
                <w:szCs w:val="19"/>
                <w:color w:val="auto"/>
              </w:rPr>
            </w:pPr>
          </w:p>
        </w:tc>
        <w:tc>
          <w:tcPr>
            <w:tcW w:w="3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(1,888,368)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461,399</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(2,813,382)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192,897</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(1,900,014)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461,399</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(2,813,382)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24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320" w:type="dxa"/>
            <w:vAlign w:val="bottom"/>
            <w:tcBorders>
              <w:bottom w:val="single" w:sz="8" w:color="F0FFFF"/>
            </w:tcBorders>
            <w:shd w:val="clear" w:color="auto" w:fill="F0FFFF"/>
          </w:tcPr>
          <w:p>
            <w:pPr>
              <w:spacing w:after="0"/>
              <w:rPr>
                <w:sz w:val="19"/>
                <w:szCs w:val="19"/>
                <w:color w:val="auto"/>
              </w:rPr>
            </w:pPr>
          </w:p>
        </w:tc>
        <w:tc>
          <w:tcPr>
            <w:tcW w:w="3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(139,329)</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(2,232,240)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129,173</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7"/>
              </w:rPr>
              <w:t>(3,145,608)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F0FFFF"/>
            </w:tcBorders>
          </w:tcPr>
          <w:p>
            <w:pPr>
              <w:spacing w:after="0"/>
              <w:rPr>
                <w:sz w:val="20"/>
                <w:szCs w:val="20"/>
                <w:color w:val="auto"/>
              </w:rPr>
            </w:pPr>
            <w:r>
              <w:rPr>
                <w:rFonts w:ascii="Arial" w:cs="Arial" w:eastAsia="Arial" w:hAnsi="Arial"/>
                <w:sz w:val="18"/>
                <w:szCs w:val="18"/>
                <w:color w:val="auto"/>
                <w:w w:val="95"/>
              </w:rPr>
              <w:t>Diluted weighted average number of common shares outstanding</w:t>
            </w: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32,626,312</w:t>
            </w:r>
          </w:p>
        </w:tc>
        <w:tc>
          <w:tcPr>
            <w:tcW w:w="320" w:type="dxa"/>
            <w:vAlign w:val="bottom"/>
            <w:tcBorders>
              <w:top w:val="single" w:sz="8" w:color="F0FF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32,368,339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diluted</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0.00</w:t>
            </w:r>
          </w:p>
        </w:tc>
        <w:tc>
          <w:tcPr>
            <w:tcW w:w="70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Non-GAAP net earnings (loss) per common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herein, non-GAAP net income (loss) represents GAAP net income (loss) excluding costs relating to the proxy contest, the costs associated with the separation of the former CEO, any adjustment for fair value of warrant liabilities, and any charges for impairment of intangible assets. As used herein, non-GAAP diluted earnings (loss) per common share is calculated by dividing non-GAAP net income (loss) applicable to common shares by the diluted weighted average number of shares outstanding.</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six-month period ended December 31, 2012, the Company had Adjusted EBITDA of $2,483,428 that includes approximately $328,000 of proxy related expenses. Reconciliation of net income (loss) to Adjusted EBITDA for the six-month periods ended December 31, 2012 and 2011 is as follows: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192,897</w:t>
            </w:r>
          </w:p>
        </w:tc>
        <w:tc>
          <w:tcPr>
            <w:tcW w:w="7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(1,900,014)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(41,827)</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48,023</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60,236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13,823</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1,738,586</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1,116,115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371,200</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517,200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Less change in fair value of warrant liabilities</w:t>
            </w:r>
          </w:p>
        </w:tc>
        <w:tc>
          <w:tcPr>
            <w:tcW w:w="8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(59,498)</w:t>
            </w:r>
          </w:p>
        </w:tc>
        <w:tc>
          <w:tcPr>
            <w:tcW w:w="3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(1,888,368)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8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220,224</w:t>
            </w:r>
          </w:p>
        </w:tc>
        <w:tc>
          <w:tcPr>
            <w:tcW w:w="320" w:type="dxa"/>
            <w:vAlign w:val="bottom"/>
            <w:tcBorders>
              <w:bottom w:val="single" w:sz="8" w:color="F0FFFF"/>
            </w:tcBorders>
            <w:shd w:val="clear" w:color="auto" w:fill="F0FFFF"/>
          </w:tcPr>
          <w:p>
            <w:pPr>
              <w:spacing w:after="0"/>
              <w:rPr>
                <w:sz w:val="19"/>
                <w:szCs w:val="19"/>
                <w:color w:val="auto"/>
              </w:rPr>
            </w:pPr>
          </w:p>
        </w:tc>
        <w:tc>
          <w:tcPr>
            <w:tcW w:w="4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427,497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880" w:type="dxa"/>
            <w:vAlign w:val="bottom"/>
            <w:shd w:val="clear" w:color="auto" w:fill="F0FFFF"/>
          </w:tcPr>
          <w:p>
            <w:pPr>
              <w:spacing w:after="0"/>
              <w:rPr>
                <w:sz w:val="20"/>
                <w:szCs w:val="20"/>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2,483,428</w:t>
            </w:r>
          </w:p>
        </w:tc>
        <w:tc>
          <w:tcPr>
            <w:tcW w:w="7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(1,698,488)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the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653"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six-month period ended December 31, 2012, net cash provided by operating activities was $2,600,185 as result of net income of $192,897, which included non-cash charges of $2,289,793, and by $117,495 net cash provided by the change in operating assets and liabilities. The most significant non-cash charges during the quarter were depreciation and amortization of assets, and charges for the vesting and issuance of common stock for employee and director compensation, offset by the reduction in fair value of warrant liabilities. The cash provided by the $117,495 change in the Company’s operating assets and liabilities was primarily the result of decreases of $1,568,810 in accrued expenses and $8,111 in other assets, offset by decreases in receivables, inventory, and accounts payable of $1,301,181, $82,095, and $311,140, respectively. The decrease in receivables was primarily attributable to a $1.3 million decrease in amounts due to the Company for transactions from our card processers on account of timing of payments.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six-month period ended December 31, 2012, the Company used $4,592,448 for investing activities of which $4,542,170 related to the purchase of equipment for the JumpStart Program. The Company obtained net cash of $611,964 through financing activities, $1,000,000 of which are net proceeds from the Line of Credit, offset by $300,721 related to repayment of debt and $87,315 related to retirement of Common Stock.</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Until this fiscal year, the Company had incurred losses since inception; and, therefore, raised capital through equity offerings in order to fund operations. Our accumulated deficit through December 31, 2012 is composed of cumulative losses amounting to approximately $198,970,000, preferred dividends converted to common stock of approximately $2,690,000, and charges incurred for the open-market purchases of preferred stock of approximately $150,000.</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 continued growth in connections to our ePort Connect service that has fueled the strong growth in recurring revenue from license and transaction fees and the substantial improvement in GP dollars, the operations of the business are now contributing to funding operations of the Company.</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EBITDA during the current six-month period was $2,483,428 compared to an Adjusted EBITDA loss of ($1,698,488) for the comparable six month period last fiscal year. The Company reports Adjusted EBITDA to reflect the liquidity of operations and a measure of operational cash flow. Adjusted EBITDA excludes significant non-cash charges such as depreciation, amortization of intangibles, fair value warrant liability changes and stock-based compensation from net income. The positive Adjusted EBITDA also closely approximates the $2,600,185 of cash provided by operations during the six month period ended December 31, 2012. We believe that, provided there are no unusual or unanticipated material non-operational expenses, achieving positive Adjusted EBITDA is sustainable, and will continue to increase, as our connection base increases.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three and six months ended December 31, 2012, cash provided by operating activities was $1,922,175 and $2,600,185. The Company believes it will continue to generate positive cash flow from operations during the remainder of the 2013 fiscal year, and anticipates for the full fiscal year to generate between $4 million and $5 million of cash from operations, provided there are no material unanticipated or unusual non-operational events. The largest use of cash is for ePorts purchased during the first six months of the fiscal year for use in the Company’s JumpStart Program. During the three and six months ended December 31, 2012, the Company used cash of $2,466,780 and $4,542,170, respectively, in its JumpStart Program.</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anticipated using the JumpStart Program for approximately 55% to 60% of its anticipated connections in fiscal 2013 as a result of the potential diversification from the kiosk market, where many customers only require our ePort SDK or Quick Connect Web service. The Company’s sales, marketing, development and partnering efforts are focused on securing connections from sources away from JumpStart, such as ePort SDK, Quick Connect web, ePort Mobile and direct sales of its ePort hardware device. However, since the actual percentage of total connections from JumpStart during the six months ended December 31, 2012 have been higher than anticipated, and given the use of cash required by the JumpStart Program, the Company may choose to adjust JumpStart levels or modify the JumpStart Program, subject to contractual obligations, to ensure our cash resources stay at levels deemed necessary in order to fund the ongoing operational requirements of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spacing w:after="0" w:line="312" w:lineRule="auto"/>
        <w:rPr>
          <w:sz w:val="20"/>
          <w:szCs w:val="20"/>
          <w:color w:val="auto"/>
        </w:rPr>
      </w:pPr>
      <w:r>
        <w:rPr>
          <w:rFonts w:ascii="Arial" w:cs="Arial" w:eastAsia="Arial" w:hAnsi="Arial"/>
          <w:sz w:val="16"/>
          <w:szCs w:val="16"/>
          <w:color w:val="auto"/>
        </w:rPr>
        <w:t>The Company has three sources of cash available to fund and grow the business: (1) cash on hand of approximately $5 million at December 31, 2012; (2) the anticipated cash generated from operations of $4 to $5 million; and (3) the availability of the line of credit with Avidbank. In January 2013 the borrowing base was increased by $1 million, provided we continue to satisfy the various affirmative and negative covenants set forth in the loan agreement.</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Therefore, based upon the above assumptions, the Company believes its existing cash and cash equivalents as of December 31, 2012, would provide sufficient funds through at least July 1, 2013 in order to meet its cash requirements, including payment of its accrued expenses and payables, any cash resources to be utilized for the JumpStart Program, other anticipated capital expenditures, and the repayment of long-term debt.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December 31, 2012.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December 31, 2012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1440" w:type="dxa"/>
            <w:vAlign w:val="bottom"/>
          </w:tcPr>
          <w:p>
            <w:pPr>
              <w:spacing w:after="0"/>
              <w:rPr>
                <w:sz w:val="18"/>
                <w:szCs w:val="18"/>
                <w:color w:val="auto"/>
              </w:rPr>
            </w:pPr>
          </w:p>
        </w:tc>
        <w:tc>
          <w:tcPr>
            <w:tcW w:w="910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rPr>
              <w:t>of 2002.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Sarbanes-Oxley Act</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rPr>
              <w:t>of 2002.</w:t>
            </w:r>
          </w:p>
        </w:tc>
      </w:tr>
      <w:tr>
        <w:trPr>
          <w:trHeight w:val="334"/>
        </w:trPr>
        <w:tc>
          <w:tcPr>
            <w:tcW w:w="8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9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9"/>
        </w:trPr>
        <w:tc>
          <w:tcPr>
            <w:tcW w:w="5820" w:type="dxa"/>
            <w:vAlign w:val="bottom"/>
          </w:tcPr>
          <w:p>
            <w:pPr>
              <w:spacing w:after="0"/>
              <w:rPr>
                <w:sz w:val="20"/>
                <w:szCs w:val="20"/>
                <w:color w:val="auto"/>
              </w:rPr>
            </w:pPr>
            <w:r>
              <w:rPr>
                <w:rFonts w:ascii="Arial" w:cs="Arial" w:eastAsia="Arial" w:hAnsi="Arial"/>
                <w:sz w:val="18"/>
                <w:szCs w:val="18"/>
                <w:color w:val="auto"/>
              </w:rPr>
              <w:t>Date: February 13, 2013</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202"/>
        </w:trPr>
        <w:tc>
          <w:tcPr>
            <w:tcW w:w="58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r>
      <w:tr>
        <w:trPr>
          <w:trHeight w:val="230"/>
        </w:trPr>
        <w:tc>
          <w:tcPr>
            <w:tcW w:w="58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5820" w:type="dxa"/>
            <w:vAlign w:val="bottom"/>
          </w:tcPr>
          <w:p>
            <w:pPr>
              <w:spacing w:after="0"/>
              <w:rPr>
                <w:sz w:val="20"/>
                <w:szCs w:val="20"/>
                <w:color w:val="auto"/>
              </w:rPr>
            </w:pPr>
            <w:r>
              <w:rPr>
                <w:rFonts w:ascii="Arial" w:cs="Arial" w:eastAsia="Arial" w:hAnsi="Arial"/>
                <w:sz w:val="18"/>
                <w:szCs w:val="18"/>
                <w:color w:val="auto"/>
              </w:rPr>
              <w:t>Date: February 13, 2013</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r>
      <w:tr>
        <w:trPr>
          <w:trHeight w:val="202"/>
        </w:trPr>
        <w:tc>
          <w:tcPr>
            <w:tcW w:w="58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r>
      <w:tr>
        <w:trPr>
          <w:trHeight w:val="230"/>
        </w:trPr>
        <w:tc>
          <w:tcPr>
            <w:tcW w:w="58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21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13, 2013</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1672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56"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13, 2013</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56"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2012 (the “Report”), I, Stephen P. Herbert., Chief Executive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13, 2013</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5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2012 (the “Report”), I, David M. DeMedio, Chief Financial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13, 2013</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2019-12-06T09:00:31Z</dcterms:created>
  <dcterms:modified xsi:type="dcterms:W3CDTF">2019-12-06T09:00:31Z</dcterms:modified>
</cp:coreProperties>
</file>