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1O-Q</w:t>
      </w:r>
    </w:p>
    <w:p>
      <w:pPr>
        <w:spacing w:after="0" w:line="225" w:lineRule="exact"/>
        <w:rPr>
          <w:sz w:val="24"/>
          <w:szCs w:val="24"/>
          <w:color w:val="auto"/>
        </w:rPr>
      </w:pPr>
    </w:p>
    <w:p>
      <w:pPr>
        <w:ind w:left="3760" w:right="1740" w:hanging="3752"/>
        <w:spacing w:after="0" w:line="534" w:lineRule="auto"/>
        <w:tabs>
          <w:tab w:leader="none" w:pos="4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December 31, 2014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660" w:right="2660" w:hanging="2652"/>
        <w:spacing w:after="0" w:line="566" w:lineRule="auto"/>
        <w:tabs>
          <w:tab w:leader="none" w:pos="493"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TRANSITION REPORT PURSUANT TO SECTION 13 OR 15 (d) OF THE EXCHANGE ACT OF 1934 </w:t>
      </w:r>
      <w:r>
        <w:rPr>
          <w:rFonts w:ascii="Times New Roman" w:cs="Times New Roman" w:eastAsia="Times New Roman" w:hAnsi="Times New Roman"/>
          <w:sz w:val="17"/>
          <w:szCs w:val="17"/>
          <w:color w:val="auto"/>
        </w:rPr>
        <w:t>For the transition period from ____________________ to _____________________</w:t>
      </w: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001-33365</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2" w:lineRule="exact"/>
        <w:rPr>
          <w:sz w:val="24"/>
          <w:szCs w:val="24"/>
          <w:color w:val="auto"/>
        </w:rPr>
      </w:pPr>
    </w:p>
    <w:tbl>
      <w:tblPr>
        <w:tblLayout w:type="fixed"/>
        <w:tblInd w:w="64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2900" w:type="dxa"/>
            <w:vAlign w:val="bottom"/>
            <w:gridSpan w:val="2"/>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23-2679963</w:t>
            </w:r>
          </w:p>
        </w:tc>
        <w:tc>
          <w:tcPr>
            <w:tcW w:w="820" w:type="dxa"/>
            <w:vAlign w:val="bottom"/>
          </w:tcPr>
          <w:p>
            <w:pPr>
              <w:spacing w:after="0"/>
              <w:rPr>
                <w:sz w:val="20"/>
                <w:szCs w:val="20"/>
                <w:color w:val="auto"/>
              </w:rPr>
            </w:pPr>
          </w:p>
        </w:tc>
      </w:tr>
      <w:tr>
        <w:trPr>
          <w:trHeight w:val="234"/>
        </w:trPr>
        <w:tc>
          <w:tcPr>
            <w:tcW w:w="55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4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48"/>
        </w:trPr>
        <w:tc>
          <w:tcPr>
            <w:tcW w:w="240" w:type="dxa"/>
            <w:vAlign w:val="bottom"/>
          </w:tcPr>
          <w:p>
            <w:pPr>
              <w:spacing w:after="0"/>
              <w:rPr>
                <w:sz w:val="24"/>
                <w:szCs w:val="24"/>
                <w:color w:val="auto"/>
              </w:rPr>
            </w:pPr>
          </w:p>
        </w:tc>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 Deerfield Lane, Suite 140, Malvern, Pennsylvania</w:t>
            </w:r>
          </w:p>
        </w:tc>
        <w:tc>
          <w:tcPr>
            <w:tcW w:w="1380" w:type="dxa"/>
            <w:vAlign w:val="bottom"/>
          </w:tcPr>
          <w:p>
            <w:pPr>
              <w:spacing w:after="0"/>
              <w:rPr>
                <w:sz w:val="24"/>
                <w:szCs w:val="24"/>
                <w:color w:val="auto"/>
              </w:rPr>
            </w:pPr>
          </w:p>
        </w:tc>
        <w:tc>
          <w:tcPr>
            <w:tcW w:w="2340" w:type="dxa"/>
            <w:vAlign w:val="bottom"/>
            <w:gridSpan w:val="2"/>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19355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sectPr>
      </w:pPr>
    </w:p>
    <w:p>
      <w:pPr>
        <w:spacing w:after="0" w:line="160"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4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46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64" w:lineRule="exact"/>
        <w:rPr>
          <w:sz w:val="24"/>
          <w:szCs w:val="24"/>
          <w:color w:val="auto"/>
        </w:rPr>
      </w:pPr>
    </w:p>
    <w:p>
      <w:pPr>
        <w:sectPr>
          <w:pgSz w:w="11900" w:h="16838" w:orient="portrait"/>
          <w:cols w:equalWidth="0" w:num="3">
            <w:col w:w="3900" w:space="720"/>
            <w:col w:w="2640" w:space="720"/>
            <w:col w:w="3440"/>
          </w:cols>
          <w:pgMar w:left="240" w:top="306" w:right="239" w:bottom="1440" w:gutter="0" w:footer="0" w:header="0"/>
          <w:type w:val="continuous"/>
        </w:sectPr>
      </w:pP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2015, there were 35,747,905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20" w:type="dxa"/>
            <w:vAlign w:val="bottom"/>
            <w:gridSpan w:val="7"/>
          </w:tcPr>
          <w:p>
            <w:pPr>
              <w:jc w:val="center"/>
              <w:ind w:right="2700"/>
              <w:spacing w:after="0"/>
              <w:rPr>
                <w:sz w:val="20"/>
                <w:szCs w:val="20"/>
                <w:color w:val="auto"/>
              </w:rPr>
            </w:pPr>
            <w:r>
              <w:rPr>
                <w:rFonts w:ascii="Times New Roman" w:cs="Times New Roman" w:eastAsia="Times New Roman" w:hAnsi="Times New Roman"/>
                <w:sz w:val="18"/>
                <w:szCs w:val="18"/>
                <w:color w:val="auto"/>
                <w:w w:val="99"/>
              </w:rPr>
              <w:t>USA TECHNOLOGIES, INC.</w:t>
            </w:r>
          </w:p>
        </w:tc>
        <w:tc>
          <w:tcPr>
            <w:tcW w:w="1600" w:type="dxa"/>
            <w:vAlign w:val="bottom"/>
          </w:tcPr>
          <w:p>
            <w:pPr>
              <w:spacing w:after="0"/>
              <w:rPr>
                <w:sz w:val="20"/>
                <w:szCs w:val="20"/>
                <w:color w:val="auto"/>
              </w:rPr>
            </w:pPr>
          </w:p>
        </w:tc>
      </w:tr>
      <w:tr>
        <w:trPr>
          <w:trHeight w:val="459"/>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520" w:type="dxa"/>
            <w:vAlign w:val="bottom"/>
            <w:gridSpan w:val="7"/>
          </w:tcPr>
          <w:p>
            <w:pPr>
              <w:jc w:val="center"/>
              <w:ind w:right="27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600" w:type="dxa"/>
            <w:vAlign w:val="bottom"/>
          </w:tcPr>
          <w:p>
            <w:pPr>
              <w:spacing w:after="0"/>
              <w:rPr>
                <w:sz w:val="24"/>
                <w:szCs w:val="24"/>
                <w:color w:val="auto"/>
              </w:rPr>
            </w:pPr>
          </w:p>
        </w:tc>
      </w:tr>
      <w:tr>
        <w:trPr>
          <w:trHeight w:val="432"/>
        </w:trPr>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60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60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 December 31, 2014 and June 30, 2014</w:t>
              </w:r>
            </w:hyperlink>
          </w:p>
        </w:tc>
        <w:tc>
          <w:tcPr>
            <w:tcW w:w="3620" w:type="dxa"/>
            <w:vAlign w:val="bottom"/>
            <w:gridSpan w:val="5"/>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 Three and six months ended December 31, 2014 and 2013</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Shareholders’ Equity – Six months ended December 31, 2014</w:t>
              </w:r>
            </w:hyperlink>
          </w:p>
        </w:tc>
        <w:tc>
          <w:tcPr>
            <w:tcW w:w="148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1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 Three and six months ended December 31, 2014 and 2013</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14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640" w:type="dxa"/>
            <w:vAlign w:val="bottom"/>
          </w:tcPr>
          <w:p>
            <w:pPr>
              <w:spacing w:after="0"/>
              <w:rPr>
                <w:sz w:val="24"/>
                <w:szCs w:val="24"/>
                <w:color w:val="auto"/>
              </w:rPr>
            </w:pPr>
          </w:p>
        </w:tc>
        <w:tc>
          <w:tcPr>
            <w:tcW w:w="6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0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3.</w:t>
              </w:r>
            </w:hyperlink>
          </w:p>
        </w:tc>
        <w:tc>
          <w:tcPr>
            <w:tcW w:w="64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Quantitative and Qualitative Disclosures About Market Risk</w:t>
              </w:r>
            </w:hyperlink>
          </w:p>
        </w:tc>
        <w:tc>
          <w:tcPr>
            <w:tcW w:w="430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4.</w:t>
              </w:r>
            </w:hyperlink>
          </w:p>
        </w:tc>
        <w:tc>
          <w:tcPr>
            <w:tcW w:w="640" w:type="dxa"/>
            <w:vAlign w:val="bottom"/>
          </w:tcPr>
          <w:p>
            <w:pPr>
              <w:spacing w:after="0"/>
              <w:rPr>
                <w:sz w:val="24"/>
                <w:szCs w:val="24"/>
                <w:color w:val="auto"/>
              </w:rPr>
            </w:pPr>
          </w:p>
        </w:tc>
        <w:tc>
          <w:tcPr>
            <w:tcW w:w="8660" w:type="dxa"/>
            <w:vAlign w:val="bottom"/>
            <w:gridSpan w:val="1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Part II - Other Information</w:t>
              </w:r>
            </w:hyperlink>
          </w:p>
        </w:tc>
        <w:tc>
          <w:tcPr>
            <w:tcW w:w="7880" w:type="dxa"/>
            <w:vAlign w:val="bottom"/>
            <w:gridSpan w:val="9"/>
          </w:tcPr>
          <w:p>
            <w:pPr>
              <w:spacing w:after="0"/>
              <w:rPr>
                <w:sz w:val="24"/>
                <w:szCs w:val="24"/>
                <w:color w:val="auto"/>
              </w:rPr>
            </w:pPr>
          </w:p>
        </w:tc>
        <w:tc>
          <w:tcPr>
            <w:tcW w:w="16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6.</w:t>
              </w:r>
            </w:hyperlink>
          </w:p>
        </w:tc>
        <w:tc>
          <w:tcPr>
            <w:tcW w:w="64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8060" w:type="dxa"/>
            <w:vAlign w:val="bottom"/>
            <w:gridSpan w:val="11"/>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Signatures</w:t>
              </w:r>
            </w:hyperlink>
          </w:p>
        </w:tc>
        <w:tc>
          <w:tcPr>
            <w:tcW w:w="790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696"/>
        </w:trPr>
        <w:tc>
          <w:tcPr>
            <w:tcW w:w="52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5040" w:type="dxa"/>
            <w:vAlign w:val="bottom"/>
            <w:tcBorders>
              <w:bottom w:val="single" w:sz="8" w:color="DCDCDC"/>
            </w:tcBorders>
            <w:gridSpan w:val="7"/>
          </w:tcPr>
          <w:p>
            <w:pPr>
              <w:jc w:val="center"/>
              <w:ind w:left="397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16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 w:name="page3"/>
    <w:bookmarkEnd w:id="2"/>
    <w:p>
      <w:pPr>
        <w:ind w:left="4800"/>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6,734,077</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9,072,320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less allowance for uncollectible accounts of $197,000 and $63,000, respectively</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2,758,475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Finance receivables</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362,898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3,448,374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586,144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14,797,659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14,633,527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Finance receivables, less current portion</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1,643,363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410,838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16,450,712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21,138,580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26,290,424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432,100</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432,100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7,663,208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67,688,304</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70,764,242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5,385,822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1,726,614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1,915,799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203,621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gain from sale-leaseback transactions</w:t>
            </w: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860,390</w:t>
            </w: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380,895</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12,176,447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15,244,537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261,716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less current portion</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139,755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585,209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gain from sale-leaseback transactions, less current portion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1,834,353</w:t>
            </w: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1,783,038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14,010,800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17,027,575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Preferred stock, no par value:</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Authorized shares- 1,800,000 Series A convertible preferred- Authorized shares- 900,000 Issued and outstanding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shares- 442,968 (liquidation preference of $17,022,682 and $16,690,456, respectively)</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3,138,056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3,138,056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shares- 640,000,000 Issued and outstanding shares- 35,660,345 and</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35,514,685, respectively</w:t>
            </w:r>
          </w:p>
        </w:tc>
        <w:tc>
          <w:tcPr>
            <w:tcW w:w="1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224,472,905</w:t>
            </w: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224,210,197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(173,933,457)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(173,611,586)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53,677,504</w:t>
            </w: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53,736,667</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67,688,304</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70,764,242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9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10,479,496</w:t>
            </w:r>
          </w:p>
        </w:tc>
        <w:tc>
          <w:tcPr>
            <w:tcW w:w="3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8,671,085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20,635,718</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17,178,129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sales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4,437,821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12,820,937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10,570,514</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25,073,539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20,693,572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7,157,840</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5,495,385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14,408,947</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10,904,848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equipment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1,929,841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3,796,098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2,375,820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3,733,256</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3,830,133</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6,868,494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7,412,904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3,530,064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3,193,568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7,162,551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151,737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126,875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321,140</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285,384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F0FFFF"/>
          </w:tcPr>
          <w:p>
            <w:pPr>
              <w:spacing w:after="0"/>
              <w:rPr>
                <w:sz w:val="2"/>
                <w:szCs w:val="2"/>
                <w:color w:val="auto"/>
              </w:rPr>
            </w:pPr>
          </w:p>
        </w:tc>
        <w:tc>
          <w:tcPr>
            <w:tcW w:w="7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7,483,691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6,774,296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509,690</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(615,197)</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638,608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(49,429)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(60,405)</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(124,340)</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(121,381)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(37,896)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445,454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89,988</w:t>
            </w:r>
          </w:p>
        </w:tc>
        <w:tc>
          <w:tcPr>
            <w:tcW w:w="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(93,587)</w:t>
            </w: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335,211</w:t>
            </w: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141,443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416,103</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(279,986)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716,668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(6,912)</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409,191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(321,871)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(332,226)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F0FFFF"/>
          </w:tcPr>
          <w:p>
            <w:pPr>
              <w:spacing w:after="0"/>
              <w:rPr>
                <w:sz w:val="2"/>
                <w:szCs w:val="2"/>
                <w:color w:val="auto"/>
              </w:rPr>
            </w:pPr>
          </w:p>
        </w:tc>
        <w:tc>
          <w:tcPr>
            <w:tcW w:w="7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409,191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(654,097)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earnings (loss) per common share - basic</w:t>
            </w:r>
          </w:p>
        </w:tc>
        <w:tc>
          <w:tcPr>
            <w:tcW w:w="9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35,657,519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34,136,884</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35,625,199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33,730,590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 - diluted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Diluted weighted average number of common shares outstanding</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35,657,519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34,222,731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35,625,199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33,730,590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color w:val="auto"/>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rPr>
              <w:t>Convertible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27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June 30, 2014</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3,138,056</w:t>
            </w: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35,514,685</w:t>
            </w:r>
          </w:p>
        </w:tc>
        <w:tc>
          <w:tcPr>
            <w:tcW w:w="2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224,210,197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(173,611,586)</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53,736,667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Issuance of fully-vested shares of common</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vesting of shares under the 2011 Stock</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10,002</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fully-vested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to employees and directors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of shares under the 2012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14,478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Issuance of fully-vested shares of common</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vesting of shares under the 2013 Stock</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107,375</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155,262</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155,262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Charges incurred under the 2014 Stock</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 Incentive Plan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154,351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(31,899)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(61,987)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(321,871)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442,968</w:t>
            </w:r>
          </w:p>
        </w:tc>
        <w:tc>
          <w:tcPr>
            <w:tcW w:w="120" w:type="dxa"/>
            <w:vAlign w:val="bottom"/>
            <w:shd w:val="clear" w:color="auto" w:fill="F0FFFF"/>
          </w:tcPr>
          <w:p>
            <w:pPr>
              <w:spacing w:after="0"/>
              <w:rPr>
                <w:sz w:val="20"/>
                <w:szCs w:val="20"/>
                <w:color w:val="auto"/>
              </w:rPr>
            </w:pPr>
          </w:p>
        </w:tc>
        <w:tc>
          <w:tcPr>
            <w:tcW w:w="3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3,138,056</w:t>
            </w:r>
          </w:p>
        </w:tc>
        <w:tc>
          <w:tcPr>
            <w:tcW w:w="1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35,660,345</w:t>
            </w:r>
          </w:p>
        </w:tc>
        <w:tc>
          <w:tcPr>
            <w:tcW w:w="2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224,472,905</w:t>
            </w: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(173,933,457)</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53,677,504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3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409,191</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(321,871)</w:t>
            </w:r>
          </w:p>
        </w:tc>
        <w:tc>
          <w:tcPr>
            <w:tcW w:w="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702,845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Charges incurred in connection with the vesting and issuance of common stock</w:t>
            </w: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for employee and director compensation</w:t>
            </w:r>
          </w:p>
        </w:tc>
        <w:tc>
          <w:tcPr>
            <w:tcW w:w="1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185,891</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104,464</w:t>
            </w:r>
          </w:p>
        </w:tc>
        <w:tc>
          <w:tcPr>
            <w:tcW w:w="2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324,695</w:t>
            </w:r>
          </w:p>
        </w:tc>
        <w:tc>
          <w:tcPr>
            <w:tcW w:w="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Non-cash interest and amortization of debt discount</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140,996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51,619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299,712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1,443,710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1,278,518</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2,917,122</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2,496,589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(135,402)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37,896</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(445,454)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62,906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Recognition of deferred gain from sale leaseback transactions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(215,097)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(403,424)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(363,368)</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344,611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(283,253)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1,049,726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(778,212)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104,076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(1,533,674)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(804,629)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45,903</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(1,942,948)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(246,709)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(63,026)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(357,464)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(2,338,176)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(68,081)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(2,459,444)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(1,315,867)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(503,280)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(21,021)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(4,444,217)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(18,879)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(10,601)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(50,369)</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for rental program</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(2,493,247)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(1,641,993)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Proceeds from sale of rental equipment under sale leaseback transactions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4,993,879</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(2,478,986)</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3,336,428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(4,568,587)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the exercise of common stock warrants and the retirement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Proceeds (repayment) from line of credit, net</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(100,700)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(168,467)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(1,134,843)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1,578,733</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(1,230,454)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2,587,410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(4,182,001)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843,099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(2,338,243)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10,916,078</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5,811,900</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9,072,320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5,981,000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6,734,077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6,654,999</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6,734,077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6,654,999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Supplemental disclosures of cash flow information </w:t>
            </w: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55,992</w:t>
            </w:r>
          </w:p>
        </w:tc>
        <w:tc>
          <w:tcPr>
            <w:tcW w:w="3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60,069</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135,191</w:t>
            </w:r>
          </w:p>
        </w:tc>
        <w:tc>
          <w:tcPr>
            <w:tcW w:w="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129,804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allocated to cost of sales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1,282,860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1,151,643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2,578,305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2,233,158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Reclass of rental program property to inventory, net</w:t>
            </w:r>
          </w:p>
        </w:tc>
        <w:tc>
          <w:tcPr>
            <w:tcW w:w="3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14,384</w:t>
            </w:r>
          </w:p>
        </w:tc>
        <w:tc>
          <w:tcPr>
            <w:tcW w:w="3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7,544</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18,649</w:t>
            </w:r>
          </w:p>
        </w:tc>
        <w:tc>
          <w:tcPr>
            <w:tcW w:w="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items financed with debt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103,125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Equipment and software acquired under capital lease</w:t>
            </w:r>
          </w:p>
        </w:tc>
        <w:tc>
          <w:tcPr>
            <w:tcW w:w="3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107,903</w:t>
            </w:r>
          </w:p>
        </w:tc>
        <w:tc>
          <w:tcPr>
            <w:tcW w:w="3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107,903</w:t>
            </w:r>
          </w:p>
        </w:tc>
        <w:tc>
          <w:tcPr>
            <w:tcW w:w="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22,036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Disposal of property and equipment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9,841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51,903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Disposal of property and equipment under sale leaseback transactions</w:t>
            </w:r>
          </w:p>
        </w:tc>
        <w:tc>
          <w:tcPr>
            <w:tcW w:w="3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3,873,275</w:t>
            </w:r>
          </w:p>
        </w:tc>
        <w:tc>
          <w:tcPr>
            <w:tcW w:w="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taxi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INFORMATION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2014. In the opinion of management, all adjustments considered necessary for a fair presentation, consisting of normal recurring adjustments, have been included. Operating results for the three and six month periods ended December 31, 2014 are not necessarily indicative of the results that may be expected for the year ending June 30, 2015. The balance sheet at June 30, 2014 has been derived from the audited consolidated financial statements at that date, but does not include all of the information and footnotes required by U.S. generally accepted accounting principles for complete financial statements.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a net loss of $260,915 and $321,871 for the three and six month periods ended December 31, 2014, respectively. The Company had net income of $27,530,652 for the year ended June 30, 2014. Included in net income for the year ended June 30, 2014 was a benefit for income taxes of $27,255,398. Net income (loss)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on hand, and its line of credit (see Note 4), and may raise capital to meet its cash flow requirements including the issuance of Common Stock or debt financing.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2014 and June 30, 2014, none of the cash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ACCOUNTING POLICIES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under its QuickStart Program. In accordance with the Financial Accounting Standards Board Accounting Standards Codification® (“ASC”) Topic 840, “Leases”, agreements under the QuickStart Program qualify for sales-type lease accounting. Accordingly, the future minimum lease payments are classified as finance receivables in the Company’s consolidated balance sheets. QuickStart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finished goods and packaging materials. The Company’s inventory is stated at the lower of cost (average cost basis) or market.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and liabilities are measured using inputs from the three levels of the fair value hierarchy. The three levels are as follows: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principally cash,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ACCOUNTING POLICIES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a rental program for its ePort devices, the JumpStart Program (“JumpStart”). JumpStart terms are typically 36 months and are cancellable with thirty to sixty days’ written notice. In accordance with ASC 840, “Leases”, the Company classifies the rental agreements as operating leases, with service fee revenue related to the leases included in license and transaction fees in the Consolidated Statements of Operations. Cost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EQUITY AWARDS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six months ended December 31, 2014 and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FINANCE RECEIVABLES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consist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7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finance receivables</w:t>
            </w:r>
          </w:p>
        </w:tc>
        <w:tc>
          <w:tcPr>
            <w:tcW w:w="1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2,006,261</w:t>
            </w:r>
          </w:p>
        </w:tc>
        <w:tc>
          <w:tcPr>
            <w:tcW w:w="38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472,587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362,898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420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Non-current portion of finance receivables</w:t>
            </w:r>
          </w:p>
        </w:tc>
        <w:tc>
          <w:tcPr>
            <w:tcW w:w="1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1,643,363</w:t>
            </w: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352,794</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2014 and June 30, 2014, there was no allowance for credit losses of finance receivables. As the Company collects monthly payments of the receivables from the customers’ transaction funds, the risk of loss was determined to be remote.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2. FINANCE RECEIVABLES (CONTINUED)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9"/>
              </w:rPr>
              <w:t>Credit Quality Indicators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rPr>
              <w:t>As of December 31, 2014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700" w:type="dxa"/>
            <w:vAlign w:val="bottom"/>
            <w:gridSpan w:val="7"/>
          </w:tcPr>
          <w:p>
            <w:pPr>
              <w:ind w:left="1140"/>
              <w:spacing w:after="0"/>
              <w:rPr>
                <w:sz w:val="20"/>
                <w:szCs w:val="20"/>
                <w:color w:val="auto"/>
              </w:rPr>
            </w:pPr>
            <w:r>
              <w:rPr>
                <w:rFonts w:ascii="Times New Roman" w:cs="Times New Roman" w:eastAsia="Times New Roman" w:hAnsi="Times New Roman"/>
                <w:sz w:val="18"/>
                <w:szCs w:val="18"/>
                <w:color w:val="auto"/>
              </w:rPr>
              <w:t>Credit risk profile based on payment activity: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14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60" w:type="dxa"/>
            <w:vAlign w:val="bottom"/>
            <w:tcBorders>
              <w:right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1,999,444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Borders>
              <w:right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2,006,261</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Borders>
              <w:top w:val="single" w:sz="8" w:color="F0FFFF"/>
            </w:tcBorders>
          </w:tcPr>
          <w:p>
            <w:pPr>
              <w:spacing w:after="0"/>
              <w:rPr>
                <w:sz w:val="24"/>
                <w:szCs w:val="24"/>
                <w:color w:val="auto"/>
              </w:rPr>
            </w:pPr>
          </w:p>
        </w:tc>
        <w:tc>
          <w:tcPr>
            <w:tcW w:w="140" w:type="dxa"/>
            <w:vAlign w:val="bottom"/>
            <w:tcBorders>
              <w:top w:val="single" w:sz="8" w:color="F0FFFF"/>
            </w:tcBorders>
          </w:tcPr>
          <w:p>
            <w:pPr>
              <w:spacing w:after="0"/>
              <w:rPr>
                <w:sz w:val="24"/>
                <w:szCs w:val="24"/>
                <w:color w:val="auto"/>
              </w:rPr>
            </w:pPr>
          </w:p>
        </w:tc>
        <w:tc>
          <w:tcPr>
            <w:tcW w:w="1000" w:type="dxa"/>
            <w:vAlign w:val="bottom"/>
            <w:tcBorders>
              <w:top w:val="single" w:sz="8" w:color="F0FFFF"/>
            </w:tcBorders>
          </w:tcPr>
          <w:p>
            <w:pPr>
              <w:spacing w:after="0"/>
              <w:rPr>
                <w:sz w:val="24"/>
                <w:szCs w:val="24"/>
                <w:color w:val="auto"/>
              </w:rPr>
            </w:pPr>
          </w:p>
        </w:tc>
        <w:tc>
          <w:tcPr>
            <w:tcW w:w="4100" w:type="dxa"/>
            <w:vAlign w:val="bottom"/>
            <w:tcBorders>
              <w:top w:val="single" w:sz="8" w:color="F0FFFF"/>
            </w:tcBorders>
            <w:gridSpan w:val="9"/>
          </w:tcPr>
          <w:p>
            <w:pPr>
              <w:jc w:val="center"/>
              <w:ind w:right="430"/>
              <w:spacing w:after="0"/>
              <w:rPr>
                <w:sz w:val="20"/>
                <w:szCs w:val="20"/>
                <w:color w:val="auto"/>
              </w:rPr>
            </w:pPr>
            <w:r>
              <w:rPr>
                <w:rFonts w:ascii="Times New Roman" w:cs="Times New Roman" w:eastAsia="Times New Roman" w:hAnsi="Times New Roman"/>
                <w:sz w:val="18"/>
                <w:szCs w:val="18"/>
                <w:color w:val="auto"/>
                <w:w w:val="99"/>
              </w:rPr>
              <w:t>Age Analysis of Past Due Finance Receivables</w:t>
            </w:r>
          </w:p>
        </w:tc>
        <w:tc>
          <w:tcPr>
            <w:tcW w:w="220" w:type="dxa"/>
            <w:vAlign w:val="bottom"/>
            <w:tcBorders>
              <w:top w:val="single" w:sz="8" w:color="F0FFFF"/>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60" w:type="dxa"/>
            <w:vAlign w:val="bottom"/>
            <w:tcBorders>
              <w:top w:val="single" w:sz="8" w:color="F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rPr>
              <w:t>As of December 31, 2014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31 – 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61 – 90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Greater than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Days Past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Days Past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90 Days Past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 Past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Finance</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Receivables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200" w:type="dxa"/>
            <w:vAlign w:val="bottom"/>
            <w:tcBorders>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3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1,999,444</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2,006,261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06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1,999,444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ACCRUED EXPENSES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80" w:type="dxa"/>
            <w:vAlign w:val="bottom"/>
            <w:vMerge w:val="restart"/>
          </w:tcPr>
          <w:p>
            <w:pPr>
              <w:spacing w:after="0"/>
              <w:rPr>
                <w:sz w:val="16"/>
                <w:szCs w:val="16"/>
                <w:color w:val="auto"/>
              </w:rPr>
            </w:pPr>
          </w:p>
        </w:tc>
        <w:tc>
          <w:tcPr>
            <w:tcW w:w="4700" w:type="dxa"/>
            <w:vAlign w:val="bottom"/>
            <w:gridSpan w:val="7"/>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00" w:type="dxa"/>
            <w:vAlign w:val="bottom"/>
            <w:gridSpan w:val="7"/>
            <w:shd w:val="clear" w:color="auto" w:fill="F0FFFF"/>
          </w:tcPr>
          <w:p>
            <w:pPr>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311,303</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545,110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0" w:type="dxa"/>
            <w:vAlign w:val="bottom"/>
            <w:tcBorders>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Accrued taxes and filing fees</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629,375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640,958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customer billings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0" w:type="dxa"/>
            <w:vAlign w:val="bottom"/>
            <w:tcBorders>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155,712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060" w:type="dxa"/>
            <w:vAlign w:val="bottom"/>
            <w:tcBorders>
              <w:right w:val="single" w:sz="8" w:color="F0FFFF"/>
            </w:tcBorders>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3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1,828,952</w:t>
            </w:r>
          </w:p>
        </w:tc>
        <w:tc>
          <w:tcPr>
            <w:tcW w:w="3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2,101,973</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Borders>
              <w:top w:val="single" w:sz="8" w:color="F0FFFF"/>
            </w:tcBorders>
            <w:shd w:val="clear" w:color="auto" w:fill="F0FFFF"/>
          </w:tcPr>
          <w:p>
            <w:pPr>
              <w:spacing w:after="0" w:line="20" w:lineRule="exact"/>
              <w:rPr>
                <w:sz w:val="1"/>
                <w:szCs w:val="1"/>
                <w:color w:val="auto"/>
              </w:rPr>
            </w:pPr>
          </w:p>
        </w:tc>
        <w:tc>
          <w:tcPr>
            <w:tcW w:w="10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LINE OF CREDIT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balance due on the Line of Credit was $4,000,000 and $5,000,000 at December 31, 2014 and June 30, 2014, respectively. At December 31, 2014, $3,000,000 was available under the Line of Credit.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September 2014, the Company and the Bank entered into a Ninth Amendment (“Ninth Amendment”) to the Loan and Security Agreement to change the definition of Adjusted EBITDA for the quarter ended September 30,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41"/>
        </w:trPr>
        <w:tc>
          <w:tcPr>
            <w:tcW w:w="14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419,001</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414,525</w:t>
            </w:r>
          </w:p>
        </w:tc>
      </w:tr>
      <w:tr>
        <w:trPr>
          <w:trHeight w:val="216"/>
        </w:trPr>
        <w:tc>
          <w:tcPr>
            <w:tcW w:w="1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Loan agreements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46,336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8,251</w:t>
            </w:r>
          </w:p>
        </w:tc>
      </w:tr>
      <w:tr>
        <w:trPr>
          <w:trHeight w:val="27"/>
        </w:trPr>
        <w:tc>
          <w:tcPr>
            <w:tcW w:w="14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465,337</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422,776</w:t>
            </w:r>
          </w:p>
        </w:tc>
      </w:tr>
      <w:tr>
        <w:trPr>
          <w:trHeight w:val="216"/>
        </w:trPr>
        <w:tc>
          <w:tcPr>
            <w:tcW w:w="14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172,911</w:t>
            </w:r>
          </w:p>
        </w:tc>
      </w:tr>
      <w:tr>
        <w:trPr>
          <w:trHeight w:val="27"/>
        </w:trPr>
        <w:tc>
          <w:tcPr>
            <w:tcW w:w="14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592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261,716</w:t>
            </w: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249,865</w:t>
            </w:r>
          </w:p>
        </w:tc>
      </w:tr>
      <w:tr>
        <w:trPr>
          <w:trHeight w:val="20"/>
        </w:trPr>
        <w:tc>
          <w:tcPr>
            <w:tcW w:w="1440" w:type="dxa"/>
            <w:vAlign w:val="bottom"/>
          </w:tcPr>
          <w:p>
            <w:pPr>
              <w:spacing w:after="0" w:line="20" w:lineRule="exact"/>
              <w:rPr>
                <w:sz w:val="1"/>
                <w:szCs w:val="1"/>
                <w:color w:val="auto"/>
              </w:rPr>
            </w:pPr>
          </w:p>
        </w:tc>
        <w:tc>
          <w:tcPr>
            <w:tcW w:w="59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August 2014, the Company financed a portion of the premiums for various insurance policies totaling $103,125, due in nine monthly payments through April 2015 at an interest rate of 5.27%.</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2014, the Company entered into a capital lease for network equipment totaling $107,903 due in twelve quarterly installments of $9,831 through August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hierarchy described in Note 1, the following table shows the fair value of the Company’s financial instrument that is required to be measured at fair value as of December 31, 2014 and June 30, 2014:</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2014 (unaudited)</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Common stock warrant liability, warrants exercisable at $2.6058</w:t>
            </w: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from September 18, 2011 through September 18, 2016</w:t>
            </w:r>
          </w:p>
        </w:tc>
        <w:tc>
          <w:tcPr>
            <w:tcW w:w="1040" w:type="dxa"/>
            <w:vAlign w:val="bottom"/>
            <w:gridSpan w:val="2"/>
            <w:shd w:val="clear" w:color="auto" w:fill="F0FF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139,755</w:t>
            </w:r>
          </w:p>
        </w:tc>
        <w:tc>
          <w:tcPr>
            <w:tcW w:w="4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139,755</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2014</w:t>
            </w:r>
          </w:p>
        </w:tc>
        <w:tc>
          <w:tcPr>
            <w:tcW w:w="1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Common stock warrant liability, warrants exercisable at $2.6058</w:t>
            </w: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from September 18, 2011 through September 18, 2016</w:t>
            </w:r>
          </w:p>
        </w:tc>
        <w:tc>
          <w:tcPr>
            <w:tcW w:w="1040" w:type="dxa"/>
            <w:vAlign w:val="bottom"/>
            <w:gridSpan w:val="2"/>
            <w:shd w:val="clear" w:color="auto" w:fill="F0FF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585,209</w:t>
            </w:r>
          </w:p>
        </w:tc>
        <w:tc>
          <w:tcPr>
            <w:tcW w:w="4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585,209</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and June 30, 2014, the Company held no Level 1 or Level 2 financial instruments.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2014 and June 30, 2014, the fair values of the Company’s Level 3 financial instrument totaled $139,755 and $585,209,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three and six months ended December 31, 2014 and 2013.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the Company’s Level 3 financial instruments for the six months ended December 31, 2014 and 2013:</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(585,209)</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(650,638)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Gain due to change in fair value of warrant liabilities, net</w:t>
            </w: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445,454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(139,755)</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(469,437)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F0FFFF"/>
            </w:tcBorders>
            <w:shd w:val="clear" w:color="auto" w:fill="F0FFFF"/>
          </w:tcPr>
          <w:p>
            <w:pPr>
              <w:spacing w:after="0" w:line="20" w:lineRule="exact"/>
              <w:rPr>
                <w:sz w:val="1"/>
                <w:szCs w:val="1"/>
                <w:color w:val="auto"/>
              </w:rPr>
            </w:pPr>
          </w:p>
        </w:tc>
        <w:tc>
          <w:tcPr>
            <w:tcW w:w="1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In periods prior to the quarter ended March 31, 2014, the Company had determined that it was more likely than not that the benefit of its deferred tax assets would not be realized and recorded a full valuation allowance against such assets. As of March 31, 2014 the Company determined that it was more likely than not that it would realize a substantial portion of its deferred tax assets and reduced its valuation allowance accordingly.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December 31, 2014, an income tax provision of $402,358 and $41,885, respectively, was recorded; of those amounts, $395,605 is due to the decrease in the applicable tax rate utilized to tax affect the deferred tax assets that was caused by a state income tax law change. The remaining provision (benefit) of $6,753 and $(353,720) for the three and six months ended December 31, 2014, respectively, were based upon income (loss) before provision for income taxes using an estimated annual effective income tax rate of 69% for the fiscal year ending June 30, 2015 and the effect of a change in estimated state income tax rates, the effect of which is treated discretely.</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provision for income taxes of $6,912 and $13,823 (all income deferred taxes) was recorded for the three and six months ended December 31, 2013, respectively. This provision for income taxes was not a function of nor related to income before income taxes because the Company had significant operating loss carryforwards available to negate any taxable income that would create current liabilities for income taxes. The provision for income taxes related to the amortization of indefinite life intangible assets and goodwill that were being amortized for income tax purposes but not for financial reporting purposes giving rise to a basis difference in such assets between financial and income tax reporting. The resulting deferred tax liabilities related to the amortization of indefinite life assets were not subject to offset against deferred tax assets with finite lives.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 COMMON STOCK OPTIONS AND WARRANTS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2011 Stock Incentive Plan, the Company recorded no stock compensation expense and no shares of Common Stock vested during the three months ended December 31, 2014; and, the Company recorded $604 of stock compensation expense and 10,002 shares of Common Stock vested during the six months ended December 31, 2014 related to shares granted to Directors of the Company in July 2012.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2012 Stock Incentive Plan, the Company recorded stock compensation expense of $5,205 and $14,478 and 2,500 and 60,182 shares of Common Stock vested during the three and six months ended December 31, 2014, respectively. All of the expense and 5,000 of the shares vested in the six months ended December 31, 2014 related to a grant in 2014 to a non-executive employee. Additionally, 23,698 and 31,484 of the shares were issued in the six months ended December 31, 2014 related to payment to Directors for services on the Board of Directors in the fourth quarter of fiscal 2014 and to certain non-executive employees for fiscal 2014 performance,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 COMMON STOCK OPTIONS AND WARRANTS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2013 Stock Incentive Plan, the Company recorded stock compensation expense of $78,581 and $155,262 and 20,139 and 107,375 shares of Common stock were issued during the three and six months ended December 31, 2014. These amounts include expenses and issuances to Directors and non-executive employees, as well as expenses and issuances to the Company’s executives under the 2014 and expenses under the 2015 Long Term Stock Incentive Plans (“LTI Stock Plans”) as more fully described below. Stock compensation expense of $46,250 and $82,501 related to the vesting of shares for Directors in lieu of cash payment for services on the Board of Directors and 20,139 shares of Common Stock were issued during the three and six months ended December 31, 2014. No expense and 68,633 of shares were issued during the six months ended December 31, 2014 to certain non-executive employees for fiscal 2014 performance.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2014, the Company recorded stock compensation expense of $8,587 and $17,174 for shares vesting June 30, 2015 and 2016 and issued 0 and 18,603 shares of Common Stock for shares vested on June 30, 2014, respectively, on account of the 2014 LTI Stock Plan under the 2013 Stock Incentive Plan.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28, 2014, the Board of Directors approved the 2015 LTI Stock Plan covering Stephen P. Herbert, Chairman and Chief Executive Officer, and David M. DeMedio, Chief Financial Officer. The 2015 LTI Stock Plan provides that each executive officer would be awarded shares of common stock of the Company in the event that certain metrics relating to the Company’s 2015 fiscal year would result in specified ranges of year-over-year percentage growth. The metrics are total number of connections as of June 30, 2015 as compared to total number of connections as of June 30, 2014 and adjusted EBITDA earned during the 2015 fiscal year as compared to adjusted EBITDA earned during the 2014 fiscal year.</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$341,227 (100% of base salary); and David M. DeMedio – $178,406 (75% of base salary). If all of the maximum distinguished year-over-year percentage target goals are achieved, the executive officers would be awarded shares having the following value: Mr. Herbert – $682,454 (200% of base salary); and Mr. DeMedio – $356,812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2015 LTI Stock Plan would vest as follows: one-third at the time of issuance (June 30, 2015); one-third on the first anniversary of issuance; and one-third on the second anniversary of issuance. The Company recorded stock compensation expense of $23,744 and $55,587 during the three and six months ended December 31, 2014, respectively, on account of the 2015 LTI Stock Plan.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2014, non-executive employees of the Company cancelled shares of Common Stock for the payment of payroll taxes, including 16,849 and 31,899 shares of the Company’s Common Stock to satisfy $30,834 and $61,987 of related payroll obligations,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December 31, 2013, the Company recorded stock compensation expense of $104,464 and $188,856 and 70,013 and 132,696 shares of Common Stock were issued, respectively; $60,064 and $121,336 of expenses related to compensation for Directors of the Company; $44,401 and $64,140 of expense related to compensation of Company executives; and, a reversal of compensation expense of $0 and $5,527 for non-executive employees of the Company for the three and six months ended December 31, 2013,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2013, executive officers exercised their rights to cancel shares of Common Stock awarded to them under prior employment agreements and the Special Equity Plan granted to an executive officer in September 2012 for the payment of payroll taxes, including 21,179 and 28,558 shares of the Company’s Common Stock to satisfy $33,429 and $47,375 of related payroll obligations,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OPTIONS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28, 2014, the Board of Directors awarded options to purchase common stock under the Company’s 2014 Stock Option Incentive Plan to each of Messrs. Herbert and DeMedio.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 COMMON STOCK OPTIONS AND WARRANTS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Herbert was awarded incentive stock options intended to qualify under Section 422 of the Internal Revenue Code of 1986, as amended (the “Code), to purchase up to 55,555 shares at an exercise price of $1.80 per share. The options vest on September 1, 2015, and expire if not exercised prior to September 1, 2021. Mr. Herbert was also awarded non-qualified stock options to purchase up to 150,000 shares at an exercise price of $1.80 per share. The options vest as follows: one-third on September 1, 2015; one-third on September 1, 2016; and one-third on September 1, 2017. The options expire if not exercised prior to September 1, 2021.</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DeMedio was awarded incentive stock options intended to qualify under Section 422 of the Code to purchase up to 33,333 shares at an exercise price of $1.80 per share. The options vest on September 1, 2015, and expire if not exercised prior to September 1, 2021. Mr. DeMedio was also awarded non-qualified stock options to purchase up to 90,000 shares at an exercise price of $1.80 per share. The options vest as follows: one-third on September 1, 2015; one-third on September 1, 2016; and one-third on September 1, 2017. The options expire if not exercised prior to September 1, 2021.</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September 2014 was estimated at the grant date using the following weighted average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2014</w:t>
            </w:r>
          </w:p>
        </w:tc>
      </w:tr>
      <w:tr>
        <w:trPr>
          <w:trHeight w:val="216"/>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5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December 31, 2014 or the three and six months ended December 31, 2013. During the three and six months ended December 31, 2014, the Company recorded compensation expense of $74,789 and $99,719, respectively, related to the stock options granted to the executive officers of the company in August 2014 under the 2014 Stock Option Incentive Plan.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December 31, 2014, the Company recorded compensation expense of $27,316 and $54,632, respectively, for stock options granted in the fiscal year ended June 30, 2014 to its non-employee Directors under the 2014 Stock Option Incentive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warrants were issued, exercised or expired during the three and six months ended December 31, 2014. Warrants were exercised during the three and six months ended December 31, 2013, resulting in the issuance of 1,972,085 and 2,090,226, respectively, shares of Common Stock at $1.13 per share. On December 31, 2013, warrants to purchase 58,527 shares of Common stock, exercisable at $1.13 per share, expired unexercised. On September 14, 2013 warrants to purchase 903,955 shares of Common Stock, exercisable at $5.90 per share, expired unexercised.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2014, the Company and Varilease Finance, Inc. (“Varilease”), entered into six Sale Leaseback Agreements (the “Sale Leaseback Agreements” or a “Sale Leaseback Agreement”) pursuant to which Varilease purchased ePort equipment owned by the Company and used by the Company in its JumpStart Program. As of June 30, 2014, Varilease completed the purchase from the Company, the ePort equipment under the first two of the Sale Leaseback Agreements as described in our Annual Report on Form 10-K for the year ended June 30,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2014, Varilease completed the purchase from the Company of the ePort equipment described in the last four of the Sale Leaseback Agreements.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completion of the sale under these agreements, the Company computed a gain on the sale of its ePort equipment, which is deferred and will be amortized in proportion to the related gross rental charged to expense over the lease terms in accordance with the FASB topic ASC 840-40, “Sale Leaseback Transactions”. The computed gain on the sale will be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Varilease a base monthly rental for this equipment during the 36-month lease 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completion of the sale, the Company computed a gain on the sale of its ePort equipment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Year ended</w:t>
            </w:r>
          </w:p>
        </w:tc>
        <w:tc>
          <w:tcPr>
            <w:tcW w:w="1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Six months ended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June 30, 2014</w:t>
            </w:r>
          </w:p>
        </w:tc>
        <w:tc>
          <w:tcPr>
            <w:tcW w:w="12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31, 2014</w:t>
            </w:r>
          </w:p>
        </w:tc>
        <w:tc>
          <w:tcPr>
            <w:tcW w:w="30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Rental equipment sold, cost</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1,918,920</w:t>
            </w: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3,873,275</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5,792,195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Rental equipment sold, accumulated depreciation upon sale</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(76,032)</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(331,069)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Rental equipment sold, net book value</w:t>
            </w:r>
          </w:p>
        </w:tc>
        <w:tc>
          <w:tcPr>
            <w:tcW w:w="14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1,842,888</w:t>
            </w: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3,542,206</w:t>
            </w:r>
          </w:p>
        </w:tc>
        <w:tc>
          <w:tcPr>
            <w:tcW w:w="3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5,385,094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4,993,879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7,988,974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 on sale of rental equipment</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1,152,207</w:t>
            </w:r>
          </w:p>
        </w:tc>
        <w:tc>
          <w:tcPr>
            <w:tcW w:w="26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1,451,673</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2,603,880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deferred gain for the six months ended December 31, 2014 from the sale leaseback transactions: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Beginning balance, June 30, 2014</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1,142,685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rental equipment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Recognition of deferred gain</w:t>
            </w:r>
          </w:p>
        </w:tc>
        <w:tc>
          <w:tcPr>
            <w:tcW w:w="100" w:type="dxa"/>
            <w:vAlign w:val="bottom"/>
            <w:shd w:val="clear" w:color="auto" w:fill="F0FFFF"/>
          </w:tcPr>
          <w:p>
            <w:pPr>
              <w:spacing w:after="0"/>
              <w:rPr>
                <w:sz w:val="19"/>
                <w:szCs w:val="19"/>
                <w:color w:val="auto"/>
              </w:rPr>
            </w:pPr>
          </w:p>
        </w:tc>
        <w:tc>
          <w:tcPr>
            <w:tcW w:w="150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(403,424)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Ending balance, December 31, 2014</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2,190,934</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auto"/>
            </w:tcBorders>
            <w:shd w:val="clear" w:color="auto" w:fill="F0FFFF"/>
          </w:tcPr>
          <w:p>
            <w:pPr>
              <w:spacing w:after="0"/>
              <w:rPr>
                <w:sz w:val="19"/>
                <w:szCs w:val="19"/>
                <w:color w:val="auto"/>
              </w:rPr>
            </w:pPr>
          </w:p>
        </w:tc>
        <w:tc>
          <w:tcPr>
            <w:tcW w:w="14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860,390</w:t>
            </w:r>
          </w:p>
        </w:tc>
        <w:tc>
          <w:tcPr>
            <w:tcW w:w="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deferred gain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1,330,544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obligated to pay Varilease a base monthly rental of approximately $220,000 for this equipment during the 36-month lease term. Future minimum lease payments subsequent to December 31, 2014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Operating Leases</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from Sale</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Leaseback</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2015 (remaining six months)</w:t>
            </w:r>
          </w:p>
        </w:tc>
        <w:tc>
          <w:tcPr>
            <w:tcW w:w="25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1,320,578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2,641,155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2017</w:t>
            </w:r>
          </w:p>
        </w:tc>
        <w:tc>
          <w:tcPr>
            <w:tcW w:w="24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2,641,155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40" w:type="dxa"/>
            <w:vAlign w:val="bottom"/>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6,740,619</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920" w:type="dxa"/>
            <w:vAlign w:val="bottom"/>
            <w:tcBorders>
              <w:top w:val="single" w:sz="8" w:color="F0FFFF"/>
              <w:bottom w:val="single" w:sz="8" w:color="DCDCDC"/>
            </w:tcBorders>
          </w:tcPr>
          <w:p>
            <w:pPr>
              <w:spacing w:after="0"/>
              <w:rPr>
                <w:sz w:val="24"/>
                <w:szCs w:val="24"/>
                <w:color w:val="auto"/>
              </w:rPr>
            </w:pPr>
          </w:p>
        </w:tc>
        <w:tc>
          <w:tcPr>
            <w:tcW w:w="2440" w:type="dxa"/>
            <w:vAlign w:val="bottom"/>
            <w:tcBorders>
              <w:top w:val="single" w:sz="8" w:color="F0FFFF"/>
              <w:bottom w:val="single" w:sz="8" w:color="DCDCDC"/>
            </w:tcBorders>
          </w:tcPr>
          <w:p>
            <w:pPr>
              <w:jc w:val="right"/>
              <w:ind w:right="4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bottom w:val="single" w:sz="8" w:color="DCDCDC"/>
            </w:tcBorders>
          </w:tcPr>
          <w:p>
            <w:pPr>
              <w:spacing w:after="0"/>
              <w:rPr>
                <w:sz w:val="24"/>
                <w:szCs w:val="24"/>
                <w:color w:val="auto"/>
              </w:rPr>
            </w:pPr>
          </w:p>
        </w:tc>
        <w:tc>
          <w:tcPr>
            <w:tcW w:w="14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34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STI PLAN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28, 2014, the Board of Directors approved the Fiscal Year 2015 Short-Term Incentive Plan (the “2015 STI Plan”) covering Stephen P. Herbert, Chairman and Chief Executive Officer, and David M. DeMedio, Chief Financial Officer.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2015 STI Plan provides that each executive officer would earn a cash bonus in the event that the Company achieved during the 2015 fiscal year certain annual financial goals and certain annual specific performance goals relating to the executive officer which are to be established by the Compensation Committee.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none of the minimum threshold target goals are achieved, the executive officers would not earn a cash bonus. If all of the target goals are achieved, the executive officers would earn a cash bonus as follows: Mr. Herbert – $136,500 (40% of base salary); and Mr. DeMedio – $59,469 (25% of base salary). If all of the maximum distinguished target goals are achieved, the executive officers would earn a cash bonus as follows: Mr. Herbert – $273,000 (80% of base salary); and Mr. DeMedio – $118,938 (50%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2014, the Company recorded expense of $19,737 and $46,198 and a corresponding liability, respectively, for the 2015 STI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2014, the Company settled a legal action brought in connection with a customer billing dispute. Under the settlement, the Company agreed to pay approximately $690,000. Approximately $280,000 of this amount was recorded in fiscal 2014 and $410,000 of this amount was recorded in the three months ended September 30, 2014 and was reflected in Cost of Services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Purchase and Sale Agreement (the “QS Sale Agreement”) with an equipment leasing company related to the Company’s QuickStart Program (Notes 1 and 2). Under the QS Sale Agreement, the Company received $1,752,717 in exchange for assigning to the leasing company its rights to all of the future lease payments under certain existing QuickStart leases between the Company and its customers. Under a separate Vendor Agreement between the Company and the same equipment leasing company, and subject to the terms and conditions thereof, the Company may in the future sell its ePort equipment to the leasing company, and the leasing company would enter into a QuickStart lease directly with the customer.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1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raise funds in the future through sales of securities or debt financing in order to sustain its operations if an unexpected or unusual event would occur;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compete with its competitors to obtain market share;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current or future customers purchase, lease, rent or utilize ePort devices or our other products in the future at levels currently anticipated by our Company, including appropriate diversification resulting from sources other than our JumpStart Program;</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its trade obligations included in accounts payable and accrued expenses;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would require us to divert our cash resources from achieving our business plan;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predict or estimate its future quarterly or annual revenues and expenses given the developing and unpredictable market for its products;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retain key customers from whom a significant portion of its revenues are derived;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the Company;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obtain widespread commercial acceptance of its products and service offerings such as ePort QuickConnect, mobile payment and loyalty and prepaid programs;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unauthorized hacking or credit card fraud;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operate without infringing the proprietary rights of others.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2014 compared to the three months ended December 31, 2013</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Results for the quarter ended December 31, 2014 continued to demonstrate growth in the Company’s revenues and connections to its service as compared to the quarter ended December 31, 2013. Highlights of year over year improvements include:</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license and transaction fee revenue up 21% to $10.5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connections to its ePort Connect service base as of December 31, 2014 up 29% as compared to December 31, 2013.</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quarter ended December 31, 2014 were $12,820,937, consisting of $10,479,496 of license and transaction fees and $2,341,441 of equipment sales, compared to $10,570,514 for the quarter ended December 31, 2013, consisting of $8,671,085 of license and transaction fees and $1,899,429 of equipment sales. The increase in total revenue of $2,250,423, or 21%, was primarily due to an increase in license and transaction fees of $1,808,411, or 21%, and an increase in equipment sales of $442,012 or 23%, from the same period in the prior fiscal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revenues from license and transaction fees resulting from connections to, as well as services provided by, our ePort Connect service.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 Connections to our service stem from our POS electronic payment devices or certified payment software or the servicing of similar third-party installed POS electronic payment devices. Customers can obtain POS electronic payment devices from us in the following ways:</w:t>
      </w:r>
    </w:p>
    <w:p>
      <w:pPr>
        <w:spacing w:after="0" w:line="211" w:lineRule="exact"/>
        <w:rPr>
          <w:sz w:val="20"/>
          <w:szCs w:val="20"/>
          <w:color w:val="auto"/>
        </w:rPr>
      </w:pPr>
    </w:p>
    <w:p>
      <w:pPr>
        <w:ind w:left="1060" w:hanging="485"/>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27"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devices under the Company’s QuickStart Program, which are non-cancellable sixty month sales-type leases; and</w:t>
      </w:r>
    </w:p>
    <w:p>
      <w:pPr>
        <w:spacing w:after="0" w:line="9"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in accordance with the terms of the customer’s contract with the Company.</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license and transaction fees, which represented 82% of total revenue for each of the quarters ended December 31, 2014 and 2013, is primarily attributable to monthly ePort Connect® service fees and transaction processing fees. Highlights for the quarter ended December 31, 2014 include:</w:t>
      </w:r>
    </w:p>
    <w:p>
      <w:pPr>
        <w:spacing w:after="0" w:line="189" w:lineRule="exact"/>
        <w:rPr>
          <w:sz w:val="20"/>
          <w:szCs w:val="20"/>
          <w:color w:val="auto"/>
        </w:rPr>
      </w:pPr>
    </w:p>
    <w:p>
      <w:pPr>
        <w:ind w:left="1060" w:hanging="485"/>
        <w:spacing w:after="0" w:line="261"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12,000 net connections to our service, consisting of 14,000 new connections to our ePort Connect service in the quarter, offset by 2,000 deactivations, compared to 7,000 net connections added in the same quarter of fiscal 2014;</w:t>
      </w:r>
    </w:p>
    <w:p>
      <w:pPr>
        <w:ind w:left="1060" w:hanging="485"/>
        <w:spacing w:after="0" w:line="250"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the Company had approximately 288,000 connections to the ePort Connect service compared to approximately 224,000 connections to the ePort Connect service as of December 31, 2013, an increase of 64,000 connections, or 29%;</w:t>
      </w:r>
    </w:p>
    <w:p>
      <w:pPr>
        <w:ind w:left="1060" w:right="20" w:hanging="485"/>
        <w:spacing w:after="0" w:line="250"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number of small-ticket, credit/debit transactions and dollars handled for the quarter ended December 31, 2014 of 27% and 29%, respectively, compared to the same period a year ago; and</w:t>
      </w:r>
    </w:p>
    <w:p>
      <w:pPr>
        <w:ind w:left="1060" w:hanging="4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Connect customer base grew 39% from December 31, 2013.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license and transaction fees was due to the growth in ePort Connect service fees and transaction dollars that stems from the increased number of connections to our ePort Connect service. As of December 31, 2014, the Company had approximately 288,000 connections to the ePort Connect service as compared to approximately 224,000 connections to the ePort Connect service as of December 31, 2013. During the quarter ended December 31, 2014, the Company added approximately 12,000 net connections to its network compared to approximately 7,000 net connections added during the quarter ended December 31, 2013.</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its agreements with customers, in addition to ePort Connect service fees, the Company earns transaction processing fees equal to a percentage of the dollar volume processed by the Company. During the quarter ended December 31, 2014, the Company processed approximately 51.0 million transactions totaling approximately $89.3 million compared to approximately 40.2 million transactions totaling approximately $69.1 million during the quarter ended December 31, 2013, an increase of approximately 27% in the number of transactions and approximately 29% in the value of transactions processed.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New customers added to our ePort® Connect service during the quarter ended December 31, 2014 totaled 550, bringing the total number of customers to approximately 8,450 as of December 31, 2014. The Company added approximately 475 new customers in the quarter ended December 31, 2013. By comparison, the Company had approximately 6,075 customers as of December 31, 2013, representing 2,375 customers added, or a 39% increase during the past twelve months. The Company views the total installed base of machines managed by its customers that have yet to transition to cashless payment, as a key strategic opportunity for future growth in connections. In addition, we believe our growing customer base is indicative of a broadening adoption and acceptance of cashless payments in the industries we serve. We count a customer as a new customer upon the signing of their ePort Connect service agreement. When a reseller sells our ePort, we count a customer as a new customer upon the signing of the applicable services agreement with the customer.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$442,012 increase in equipment revenue was a result of an increase of approximately $523,000 in sales of ePort® products, offset by a decrease of approximately $83,000 in sales of Energy Misers. The $523,000 increase in ePort products was directly attributable to selling more units during the period due to the reintroduction of the Company’s QuickStart Program in September 2014. The QuickStart Program qualifies for sales-type lease accounting where equipment revenue and a corresponding finance receivable is recognized upon shipment.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consisted of license and transaction fee related costs of $7,157,840 and $5,495,385 and equipment costs of $1,929,841 and $1,244,996 for the quarters ended December 31, 2014 and 2013, respectively. The increase in total cost of sales of $2,347,300, or 35%, was primarily due to an increase in cost of services of $1,662,455 that stemmed from the greater number of connections to the Company’s ePort Connect service and increases in transaction dollars processed by those connections. In addition, the increase in cost of equipment sales of $684,845 was primarily due to selling more ePort devices due to the reintroduction of the Company’s QuickStart Program.</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(“GP”) for the quarter ended December 31, 2014 was $3,733,256 compared to GP of $3,830,133 from the same quarter in the prior fiscal year, a decrease of $96,877, or 3%, of which $242,833 is attributable to a decrease in equipment sales GP, offset by an increase of $145,956 attributable to license and transaction fees GP. Overall gross profit margins decreased from 36% to 29% due to a decrease in license and transaction fee margins to 32%, from 37% in the prior corresponding fiscal quarter, and by a decrease in equipment sales margins to 18% from 34% in the prior corresponding fiscal quarter. License and transaction fees margins decreased due to the impact of certain JumpStart connections added during the 2014 fiscal year with fee grace periods under sales incentives, as well as approximately $445,000 of quarterly net rent expense related to the Sale Leaseback transactions, which is approximately $155,000 higher than the quarterly depreciation the Company would have recorded on the ePorts, had the Sale Leaseback transactions not occurred. The decrease in equipment revenue margins is attributable to sales incentives offered with the QuickStart Program as well as having approximately $295,000 less in activation fees, which are a higher margin revenue source and which to date are not part of the QuickStart Program.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of $3,530,064 for the quarter ended December 31, 2014, increased by $336,496, or 11%, from the same quarter in the prior fiscal year; approximately $172,000, or 51% of the increase, were non-cash expenses. The overall increase in SG&amp;A is attributable to increases of approximately $198,000 in employee compensation and benefits expenses, $89,000 in bad debt estimates, and $75,000 in research and development expenses, offset by a net decrease of $26,000 for various other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and expense for the quarter ended December 31, 2014, primarily consisted of $135,402 of non-cash gain for the change in the fair value of the Company’s warrant liabilities. The primary factor affecting the change in fair value is the decrease in the Black-Scholes value of the warrants from September 30, 2014 to December 31, 2014, which factored in the decrease in the Company’s stock price during that period.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 ended December 31, 2014 resulted in a net loss of $260,915 compared to net income of $409,191 for the quarter ended December 31, 2013. Included in the net loss for the quarter ended December 31, 2014 is a non-cash charge of $395,605 as a component of our tax provision for the effect on our deferred tax assets for a state income tax law change.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December 31, 2014, net loss per common share (basic and diluted) was $0.01, compared to net earnings per common share (basic and diluted) of $0.01, for the prior corresponding fiscal quarter.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Non-GAAP net loss for the quarter ended December 31, 2014 was $712, essentially breakeven, compared to non-GAAP net income of $447,087 for the quarter ended December 31, 2013. Non-GAAP net earnings (loss) per common share, basic and diluted, was $(0.00) and $0.01 for the quarters ended December 31, 2014 and 2013, respectively. Management believes that non-GAAP net income (loss) and non-GAAP net income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reconciliation of GAAP net income (loss) to Non-GAAP net income (loss) for the quarters ended December 31, 2014 and 2013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409,191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of warrant adjustment</w:t>
            </w: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(135,402)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charge from state tax law changes</w:t>
            </w: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447,087</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409,191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409,191</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top w:val="single" w:sz="8" w:color="F0FFFF"/>
            </w:tcBorders>
            <w:shd w:val="clear" w:color="auto" w:fill="F0FFFF"/>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applicable to common shares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160" w:type="dxa"/>
            <w:vAlign w:val="bottom"/>
            <w:shd w:val="clear" w:color="auto" w:fill="F0FFFF"/>
          </w:tcPr>
          <w:p>
            <w:pPr>
              <w:spacing w:after="0"/>
              <w:rPr>
                <w:sz w:val="21"/>
                <w:szCs w:val="21"/>
                <w:color w:val="auto"/>
              </w:rPr>
            </w:pPr>
          </w:p>
        </w:tc>
        <w:tc>
          <w:tcPr>
            <w:tcW w:w="14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 - basic</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Non-GAAP net earnings (loss) per common share - basic</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F0FFFF"/>
          </w:tcPr>
          <w:p>
            <w:pPr>
              <w:spacing w:after="0"/>
              <w:rPr>
                <w:sz w:val="21"/>
                <w:szCs w:val="21"/>
                <w:color w:val="auto"/>
              </w:rPr>
            </w:pP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160" w:type="dxa"/>
            <w:vAlign w:val="bottom"/>
            <w:tcBorders>
              <w:top w:val="single" w:sz="8" w:color="F0FFFF"/>
            </w:tcBorders>
          </w:tcPr>
          <w:p>
            <w:pPr>
              <w:spacing w:after="0"/>
              <w:rPr>
                <w:sz w:val="21"/>
                <w:szCs w:val="21"/>
                <w:color w:val="auto"/>
              </w:rPr>
            </w:pPr>
          </w:p>
        </w:tc>
        <w:tc>
          <w:tcPr>
            <w:tcW w:w="1480" w:type="dxa"/>
            <w:vAlign w:val="bottom"/>
            <w:tcBorders>
              <w:top w:val="single" w:sz="8" w:color="F0FF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35,657,519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34,136,884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earnings (loss) per common share - diluted</w:t>
            </w:r>
          </w:p>
        </w:tc>
        <w:tc>
          <w:tcPr>
            <w:tcW w:w="16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top w:val="single" w:sz="8" w:color="F0FFFF"/>
            </w:tcBorders>
            <w:shd w:val="clear" w:color="auto" w:fill="F0FFFF"/>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earnings (loss) per common share - diluted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common shares outstanding</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35,657,519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34,222,731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used herein, non-GAAP net income (loss) represents GAAP net income (loss) excluding costs or benefits relating to any adjustment for fair value of warrant liabilities and a state income tax law change. As used herein, non-GAAP net income (loss) per common share is calculated by dividing non-GAAP net income (loss) applicable to common shares by the weighted average number of shares outstanding.</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quarter ended December 31, 2014, the Company had Adjusted EBITDA of $1,681,056, compared to $1,892,672 for the quarter ended December 31, 2013. Reconciliation of GAAP net income (loss) to Adjusted EBITDA for the quarters ended December 31, 2014 and 2013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(260,915)</w:t>
            </w:r>
          </w:p>
        </w:tc>
        <w:tc>
          <w:tcPr>
            <w:tcW w:w="3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(4,015)</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49,429</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60,405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402,358</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depreciation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1,443,710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1,278,518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change in fair value of warrant liabilities</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(135,402)</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43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185,891</w:t>
            </w: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104,464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F0FFFF"/>
            </w:tcBorders>
          </w:tcPr>
          <w:p>
            <w:pPr>
              <w:spacing w:after="0"/>
              <w:rPr>
                <w:sz w:val="18"/>
                <w:szCs w:val="18"/>
                <w:color w:val="auto"/>
              </w:rPr>
            </w:pPr>
          </w:p>
        </w:tc>
        <w:tc>
          <w:tcPr>
            <w:tcW w:w="43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6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1,681,056</w:t>
            </w:r>
          </w:p>
        </w:tc>
        <w:tc>
          <w:tcPr>
            <w:tcW w:w="3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1,892,672</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440" w:type="dxa"/>
            <w:vAlign w:val="bottom"/>
            <w:tcBorders>
              <w:top w:val="single" w:sz="8" w:color="F0FFFF"/>
              <w:bottom w:val="single" w:sz="8" w:color="DCDCDC"/>
            </w:tcBorders>
          </w:tcPr>
          <w:p>
            <w:pPr>
              <w:spacing w:after="0"/>
              <w:rPr>
                <w:sz w:val="24"/>
                <w:szCs w:val="24"/>
                <w:color w:val="auto"/>
              </w:rPr>
            </w:pPr>
          </w:p>
        </w:tc>
        <w:tc>
          <w:tcPr>
            <w:tcW w:w="4360" w:type="dxa"/>
            <w:vAlign w:val="bottom"/>
            <w:tcBorders>
              <w:top w:val="single" w:sz="8" w:color="F0FFFF"/>
              <w:bottom w:val="single" w:sz="8" w:color="DCDCDC"/>
            </w:tcBorders>
          </w:tcPr>
          <w:p>
            <w:pPr>
              <w:jc w:val="right"/>
              <w:ind w:right="293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As used herein, Adjusted EBITDA represents net income (loss) before interest income, interest expense, income taxes, depreciation,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non-cash charges for changes in fair value of warrant liabilities and stock-based compensation expense.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2014 compared to the six months ended December 31, 2013</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for the six months ended December 31, 2014 continued to demonstrate growth in the Company’s revenues and connections to its service as compared to the six months ended December 31, 2013. Highlights of year over year improvements include:</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license and transaction fee revenue up 20% to $20.6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connections to its ePort Connect service base as of December 31, 2014 up 29% as compared to December 31, 2013.</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six months ended December 31, 2014 were $25,073,539, consisting of $20,635,718 of license and transaction fees and $4,437,821 of equipment sales, compared to $20,693,572 for the six months ended December 31, 2013, consisting of $17,178,129 of license and transaction fees and $3,515,443 of equipment sales. The increase in total revenue of $4,379,967, or 21%, was primarily due to an increase in license and transaction fees of $3,457,589, or 20%, and an increase in equipment sales of $922,378 or 26%, from the same period in the prior fiscal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revenues from license and transaction fees resulting from connections to, as well as services provided by, our ePort Connect service.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 Connections to our service stem from our POS electronic payment devices or certified payment software or the servicing of similar third-party installed POS electronic payment devices. Customers can obtain POS electronic payment devices from us in the following ways:</w:t>
      </w:r>
    </w:p>
    <w:p>
      <w:pPr>
        <w:spacing w:after="0" w:line="211" w:lineRule="exact"/>
        <w:rPr>
          <w:sz w:val="20"/>
          <w:szCs w:val="20"/>
          <w:color w:val="auto"/>
        </w:rPr>
      </w:pPr>
    </w:p>
    <w:p>
      <w:pPr>
        <w:ind w:left="1060" w:hanging="4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27"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devices under the Company’s QuickStart Program, which are non-cancellable sixty month sales-type leases; and</w:t>
      </w:r>
    </w:p>
    <w:p>
      <w:pPr>
        <w:spacing w:after="0" w:line="9"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in accordance with the terms of the customer’s contract with the Company.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license and transaction fees, which represented 82% and 83% of total revenue for the six months ended December 31, 2014 and 2013, respectively, is primarily attributable to monthly ePort Connect® service fees and transaction processing fees. Highlights for the six months ended December 31, 2014 include:</w:t>
      </w:r>
    </w:p>
    <w:p>
      <w:pPr>
        <w:spacing w:after="0" w:line="203" w:lineRule="exact"/>
        <w:rPr>
          <w:sz w:val="20"/>
          <w:szCs w:val="20"/>
          <w:color w:val="auto"/>
        </w:rPr>
      </w:pPr>
    </w:p>
    <w:p>
      <w:pPr>
        <w:ind w:left="1060" w:hanging="485"/>
        <w:spacing w:after="0" w:line="261"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22,000 net connections to our service, consisting of 27,000 new connections to our ePort Connect service in the six month period, offset by 5,000 deactivations, compared to 10,000 net connections added in the same six month period of fiscal 2014;</w:t>
      </w:r>
    </w:p>
    <w:p>
      <w:pPr>
        <w:ind w:left="1060" w:hanging="485"/>
        <w:spacing w:after="0" w:line="250"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the Company had approximately 288,000 connections to the ePort Connect service compared to approximately 224,000 connections to the ePort Connect service as of December 31, 2013, an increase of 64,000 connections, or 29%;</w:t>
      </w:r>
    </w:p>
    <w:p>
      <w:pPr>
        <w:ind w:left="1060" w:hanging="485"/>
        <w:spacing w:after="0" w:line="250"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number of small-ticket, credit/debit transactions and dollars handled for the six months ended December 31, 2014 of 27% and 30%, respectively, compared to the same period a year ago; and</w:t>
      </w:r>
    </w:p>
    <w:p>
      <w:pPr>
        <w:ind w:left="1060" w:hanging="485"/>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Connect customer base grew 39% from December 31, 2013.</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license and transaction fees was due to the growth in ePort Connect service fees and transaction dollars that stems from the increased number of connections to our ePort Connect service. As of December 31, 2014, the Company had approximately 288,000 connections to the ePort Connect service as compared to approximately 224,000 connections to the ePort Connect service as of December 31, 2013. During the six months ended December 31, 2014, the Company added approximately 22,000 net connections to its network compared to approximately 10,000 net connections added during the six months ended December 31, 2013.</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its agreements with customers, in addition to ePort Connect service fees, the Company earns transaction processing fees equal to a percentage of the dollar volume processed by the Company. During the six months ended December 31, 2014, the Company processed approximately 99.7 million transactions totaling approximately $178.4 million compared to approximately 78.7 million transactions totaling approximately $137.0 million during the six months ended December 31, 2013, an increase of approximately 27% in the number of transactions and approximately 30% in the value of transactions processed.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New customers added to our ePort® Connect service during the six months ended December 31, 2014 totaled 1,150, bringing the total number of customers to approximately 8,450 as of December 31, 2014. The Company added approximately 1,025 new customers in the six months ended December 31, 2013. By comparison, the Company had approximately 6,075 customers as of December 31, 2013, representing 2,375 customers added, or a 39% increase during the past twelve months. The Company views the total installed base of machines managed by its customers that have yet to transition to cashless payment, as a key strategic opportunity for future growth in connections. In addition, we believe our growing customer base is indicative of a broadening adoption and acceptance of cashless payments in the industries we serve. We count a customer as a new customer upon the signing of their ePort Connect service agreement. When a reseller sells our ePort, we count a customer as a new customer upon the signing of the applicable services agreement with the customer.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$922,378 increase in equipment revenue was a result of an increase of approximately $1,142,000 in sales of ePort® products, offset by a decrease of approximately $229,000 in sales of Energy Misers. The $1,142,000 increase in ePort products was directly attributable to selling more units during the period due to the reintroduction of the Company’s QuickStart Program in September 2014. The QuickStart Program qualifies for sales-type lease accounting where equipment revenue and a corresponding finance receivable is recognized upon shipment.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consisted of license and transaction fee related costs of $14,408,947 and $10,904,848 and equipment costs of $3,796,098 and $2,375,820 for the six months ended December 31, 2014 and 2013, respectively. The increase in total cost of sales of $4,924,377, or 37%, was primarily due to an increase in cost of services of $3,504,099 that stemmed from the greater number of connections to the Company’s ePort Connect service, increases in transaction dollars processed by those connections and a charge to settle a customer billing dispute. In addition, the increase in cost of equipment sales of $1,420,278 was primarily due to selling more ePort devices due to the reintroduction of the QuickStart Program.</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profit (“GP”) for the six months ended December 31, 2014 was $6,868,494 compared to GP of $7,412,904 from the same six month period in the prior fiscal year, a decrease of $544,410, or 7%, of which $497,900 is attributable to license and transaction fees GP, and $46,510 of which is attributable to equipment sales GP. Overall gross profit margins decreased from 36% to 27% due to a decrease in license and transaction fee margins to 30%, from 37% in the prior corresponding fiscal six month period, and by a decrease in equipment sales margins to 14% from 32% in the prior corresponding fiscal six month period. License and transaction fees margins decreased due to the impact of certain JumpStart connections added during the 2014 fiscal year with fee grace periods under sales incentives, as well as approximately $825,000 of six months of net rent expense related to the Sale Leaseback transactions, which is approximately $246,000 higher than the depreciation the Company would have recorded on the ePorts during the six month period, had the Sale Leaseback transactions not occurred. Also contributing to the decrease of license and transaction fee margins was the recognition of approximately $410,000 in connection with a customer billing dispute as more fully described in Note 9 to our consolidated financial statements. The decrease in equipment revenue margins is attributable to sales incentives offered with the QuickStart Program as well as having approximately $275,000 less in activation fees, which are a higher margin revenue source which to date are not part of the QuickStart Program.</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of $7,162,551 for the six months ended December 31, 2014, increased by $673,639, or 10%, from the same six months in the prior fiscal year; approximately $341,000, or 51% of the increase, were non-cash expenses. The overall increase in SG&amp;A is attributable to increases of approximately $363,000 in employee compensation and benefits expenses, $205,000 in bad debt estimates, $67,000 in utility and insurance expenses, and by a net increase of $39,000 for various other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and expense for the six months ended December 31, 2014, primarily consisted of $445,454 of non-cash gain for the change in the fair value of the Company’s warrant liabilities. The primary factor affecting the change in fair value is the decrease in the Black-Scholes value of the warrants from June 30, 2014 to December 31, 2014, which factored in the decrease in the Company’s stock price during that period.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six months ended December 31, 2014 resulted in a net loss of $321,871 compared to net income of $702,845 for the six months ended December 31, 2013. Included in the net loss for the six months ended December 31, 2014 is a non-cash charge of $395,605 as a component of our tax provision for the effect on our deferred tax assets for a state income tax law change. After preferred dividends of $332,226 in each six month period, net income (loss) applicable to common shareholders was $(654,097) and $370,619 for the six months ended December 31, 2014 and 2013, respectively. For the six months ended December 31, 2014, net loss per common share (basic and diluted) was $0.02, compared to net earnings per common share (basic and diluted) of $0.01, for the prior corresponding six month period.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Non-GAAP net loss for the six months ended December 31, 2014 was $371,720, compared to non-GAAP net income of $521,644 for the six months ended December 31, 2013. Non-GAAP net earnings (loss) per common share was $(0.02) and $0.01 for the six months ended December 31, 2014 and 2013, respectively. Management believes that non-GAAP net income (loss) and non-GAAP net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 reconciliation of GAAP net income (loss) to Non-GAAP net income (loss) for the six months ended December 31, 2014 and 2013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(321,871)</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702,845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of warrant adjustment</w:t>
            </w: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(445,454)</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(181,201)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charge from state tax law changes</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395,605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(371,720)</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521,644</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(321,871)</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702,845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(371,720)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dividends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(332,226)</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(654,097)</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370,619</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applicable to common shares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(703,946)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 - basic and diluted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Non-GAAP net earnings (loss) per common share - basic and diluted</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35,625,199</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33,730,590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used herein, non-GAAP net income (loss) represents GAAP net income (loss) excluding costs or benefits relating to any adjustment for fair value of warrant liabilities and a state income tax law change. As used herein, non-GAAP net income (loss) per common share is calculated by dividing non-GAAP net income (loss) applicable to common shares by the weighted average number of shares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2014, the Company had Adjusted EBITDA of $2,626,620, compared to $3,346,006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Reconciliation of GAAP net income (loss) to Adjusted EBITDA for the six months ended December 31, 2014 and 2013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(321,871)</w:t>
            </w:r>
          </w:p>
        </w:tc>
        <w:tc>
          <w:tcPr>
            <w:tcW w:w="3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702,845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(14,097)</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124,340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41,885</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depreciation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2,917,122</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2,496,589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amortization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change in fair value of warrant liabilities</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(445,454)</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(181,201)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324,695</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188,856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6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2,626,620</w:t>
            </w:r>
          </w:p>
        </w:tc>
        <w:tc>
          <w:tcPr>
            <w:tcW w:w="3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3,346,006</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440" w:type="dxa"/>
            <w:vAlign w:val="bottom"/>
            <w:tcBorders>
              <w:top w:val="single" w:sz="8" w:color="F0FFFF"/>
              <w:bottom w:val="single" w:sz="8" w:color="DCDCDC"/>
            </w:tcBorders>
          </w:tcPr>
          <w:p>
            <w:pPr>
              <w:spacing w:after="0"/>
              <w:rPr>
                <w:sz w:val="24"/>
                <w:szCs w:val="24"/>
                <w:color w:val="auto"/>
              </w:rPr>
            </w:pPr>
          </w:p>
        </w:tc>
        <w:tc>
          <w:tcPr>
            <w:tcW w:w="4360" w:type="dxa"/>
            <w:vAlign w:val="bottom"/>
            <w:tcBorders>
              <w:top w:val="single" w:sz="8" w:color="F0FFFF"/>
              <w:bottom w:val="single" w:sz="8" w:color="DCDCDC"/>
            </w:tcBorders>
          </w:tcPr>
          <w:p>
            <w:pPr>
              <w:jc w:val="right"/>
              <w:ind w:right="293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December 31, 2014, net cash used in operating activities was $4,444,217 as a result of a net loss of $321,871 and net cash used in the change in operating assets and liabilities of $6,870,825, offset by net non-cash charges of $2,748,479. Of the $2,748,479 of net non-cash items, the most significant during the six month period were charges related to depreciation of assets, the vesting and issuance of common stock and options for employee and director compensation, and bad debt expenses, offset by the decrease in the fair value of warrant liabilities and the benefit related to the recognition of deferred gain from sale-leaseback transactions. The cash used in the $6,870,825 change in the Company’s operating assets and liabilities was primarily the result of increases in inventory and finance receivables and decreases in accounts payable. The increase in finance receivables was directly related to the reintroduction of the QuickStart Program in September 2014.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December 31, 2014, the cash provided by investing activities was $3,336,428, of which $4,993,879 related to the proceeds from the sale of rental equipment under the Sale Leaseback transactions, offset by $1,641,993 for the purchase of equipment for the JumpStart Program, net of approximately $378,000 for the decrease in JumpStart equipment on hand at December 31, 2014 when compared to June 30, 2014. Approximately 18% of gross new connections added during the six months ended December 31, 2014 were from our JumpStart Program, which was lower than anticipated due to increased connections added through our QuickStart Program which constituted 36% of gross connections added during the six months ended December 31, 2014.</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2014, the Company used cash of $1,230,454 through financing activities, of which $1,000,000 was for the repayment of a portion of its outstanding balance on its Line of Credit, $168,467 was for the repayment of debt, and $61,987 was used in the retirement of Common Stock for payroll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losses from inception through June 30, 2012, with net income for the years ended June 30, 2013 and 2014. Our accumulated deficit through December 31, 2014 is composed of cumulative losses amounting to approximately $171,100,000, preferred dividends converted to common stock of approximately $2,690,000, and charges incurred for the open-market purchases of preferred stock of approximately $150,000.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December 31, 2014 was $2,626,620. The Company reports Adjusted EBITDA to reflect the liquidity of operations and a measure of operational cash flow. Adjusted EBITDA excludes significant non-cash charges such as income tax, depreciation, fair value warrant liability changes and stock and equity-based compensation from net income (loss). We believe that, provided there are no unusual or unanticipated material non-operational expenses, achieving positive Adjusted EBITDA is sustainable, and will increase, as our connection base increases.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anticipates using the JumpStart and QuickStart Programs for up to approximately 60% to 65% of its anticipated gross connections for the remainder of the fiscal year. Cash used for the JumpStart and QuickStart Programs is classified as investing and operating activities on the Company’s Consolidated Statements of Cash Flows, respectively. Accordingly, depending upon the composition of connections added under each of the JumpStart and QuickStart Programs as well as the success of the QuickStart third party leasing program referred to in the next sentence, the Company may generate positive cash flow from operations during the remainder of the 2015 fiscal year. In February 2015, the Company signed a Vendor Agreement with an equipment leasing company pursuant to which, and subject to the terms and conditions thereof, the Company may sell its cashless hardware to the leasing company, who in turn, would then lease the equipment directly to our customers. We believe this third party leasing program, if successful, would allow us to reduce, and perhaps even eliminate, the use of the Company’s cash flows from operations for the QuickStart Program. In addition, the Company has efforts under way in sales, marketing, development and partnering efforts to secure connections from sources other than JumpStart and QuickStart, such as QuickConnect Web service, ePort Mobile, and direct sales of its ePort hardware device.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Company had two sources of cash available to fund and grow the business as of December 31, 2014: (1) cash on hand of approximately $6.7 million; and</w:t>
      </w:r>
    </w:p>
    <w:p>
      <w:pPr>
        <w:spacing w:after="0" w:line="27" w:lineRule="exact"/>
        <w:rPr>
          <w:sz w:val="20"/>
          <w:szCs w:val="20"/>
          <w:color w:val="auto"/>
        </w:rPr>
      </w:pPr>
    </w:p>
    <w:p>
      <w:pPr>
        <w:jc w:val="both"/>
        <w:ind w:firstLine="8"/>
        <w:spacing w:after="0" w:line="254"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available on the line of credit with Avidbank, provided we continue to satisfy the various covenants set forth in the loan agreement. In addition, during February 2015, we entered into a Purchase and Sale Agreement with the same equipment leasing company referred to above pursuant to which the leasing company paid us approximately $1.7 million in exchange for assigning our rights to all of the future lease payments on certain existing finance receivables. Lastly, the Company believes the capital markets, debt and equity, would be available to provide additional sources of cash, if required.</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the Company believes its existing cash and available cash resources as of December 31, 2014, would provide sufficient funds through at least July 1, 2015 in order to meet its cash requirements, including payment of its accrued expenses and payables, any cash resources to be utilized for the JumpStart Program, QuickStart Program, other anticipated capital expenditures, and the repayment of long-term debt.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our market risk since June 30, 2014. For a discussion of our exposure to market risk, refer to Part II, Item 7A.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 contained in our Annual Report on Form 10-K for the year ended June 30, 2014.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have evaluated the Company’s disclosure controls and procedures as of December 31, 2014.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quarter ended December 31, 2014 in the Company’s internal controls over financial reporting that have materially affected, or are reasonably likely to materially affect,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5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10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VISA Incentive Agreement dated as of November 1, 2014 between the Company and VISA U.S.A., Inc. (Portions of this exhibit were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redacted pursuant to a confidentiality treatment request)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Certifications of Chief Executive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Certifications of Chief Financial Officer pursuant to Rule 13a-14(a) under the Securities Exchange Act of 1934.</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920" w:type="dxa"/>
            <w:vAlign w:val="bottom"/>
            <w:tcBorders>
              <w:bottom w:val="single" w:sz="8" w:color="DCDCDC"/>
            </w:tcBorders>
          </w:tcPr>
          <w:p>
            <w:pPr>
              <w:spacing w:after="0"/>
              <w:rPr>
                <w:sz w:val="24"/>
                <w:szCs w:val="24"/>
                <w:color w:val="auto"/>
              </w:rPr>
            </w:pPr>
          </w:p>
        </w:tc>
        <w:tc>
          <w:tcPr>
            <w:tcW w:w="10500" w:type="dxa"/>
            <w:vAlign w:val="bottom"/>
            <w:tcBorders>
              <w:bottom w:val="single" w:sz="8" w:color="DCDCDC"/>
            </w:tcBorders>
            <w:gridSpan w:val="2"/>
          </w:tcPr>
          <w:p>
            <w:pPr>
              <w:ind w:left="47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USA TECHNOLOGIES, INC.</w:t>
            </w:r>
          </w:p>
        </w:tc>
        <w:tc>
          <w:tcPr>
            <w:tcW w:w="28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Herbert</w:t>
            </w:r>
          </w:p>
        </w:tc>
        <w:tc>
          <w:tcPr>
            <w:tcW w:w="284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c>
          <w:tcPr>
            <w:tcW w:w="284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8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DeMedio</w:t>
            </w:r>
          </w:p>
        </w:tc>
        <w:tc>
          <w:tcPr>
            <w:tcW w:w="284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DeMedio</w:t>
            </w:r>
          </w:p>
        </w:tc>
        <w:tc>
          <w:tcPr>
            <w:tcW w:w="284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40" w:type="dxa"/>
            <w:vAlign w:val="bottom"/>
          </w:tcPr>
          <w:p>
            <w:pPr>
              <w:spacing w:after="0"/>
              <w:rPr>
                <w:sz w:val="20"/>
                <w:szCs w:val="20"/>
                <w:color w:val="auto"/>
              </w:rPr>
            </w:pPr>
          </w:p>
        </w:tc>
      </w:tr>
      <w:tr>
        <w:trPr>
          <w:trHeight w:val="675"/>
        </w:trPr>
        <w:tc>
          <w:tcPr>
            <w:tcW w:w="370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391" w:right="239" w:bottom="1440" w:gutter="0" w:footer="0" w:header="0"/>
        </w:sectPr>
      </w:pPr>
    </w:p>
    <w:bookmarkStart w:id="28" w:name="page29"/>
    <w:bookmarkEnd w:id="28"/>
    <w:p>
      <w:pPr>
        <w:ind w:left="10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10.1</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VISA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VISA INCENTIVE AGREEMENT</w:t>
      </w:r>
    </w:p>
    <w:p>
      <w:pPr>
        <w:sectPr>
          <w:pgSz w:w="11900" w:h="16838" w:orient="portrait"/>
          <w:cols w:equalWidth="0" w:num="1">
            <w:col w:w="11420"/>
          </w:cols>
          <w:pgMar w:left="240" w:top="239" w:right="2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Visa incentive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November 1, 2014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but only if Visa has received from USAT an executed counterpart of this agreement on or before November 30, 2014. Otherwise, this agreement will not become effective.</w:t>
      </w:r>
    </w:p>
    <w:p>
      <w:pPr>
        <w:spacing w:after="0" w:line="171" w:lineRule="exact"/>
        <w:rPr>
          <w:sz w:val="20"/>
          <w:szCs w:val="20"/>
          <w:color w:val="auto"/>
        </w:rPr>
      </w:pPr>
    </w:p>
    <w:p>
      <w:pPr>
        <w:sectPr>
          <w:pgSz w:w="11900" w:h="16838" w:orient="portrait"/>
          <w:cols w:equalWidth="0" w:num="2">
            <w:col w:w="2720" w:space="720"/>
            <w:col w:w="7980"/>
          </w:cols>
          <w:pgMar w:left="240" w:top="23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Term of Agreement: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Times New Roman" w:cs="Times New Roman" w:eastAsia="Times New Roman" w:hAnsi="Times New Roman"/>
          <w:sz w:val="18"/>
          <w:szCs w:val="18"/>
          <w:color w:val="auto"/>
        </w:rPr>
        <w:t>The term of this agreement begins on the Effective Date and will expire on October 31, 2017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unless terminated earlier in accordance with section 5 of schedule A.</w:t>
      </w:r>
    </w:p>
    <w:p>
      <w:pPr>
        <w:spacing w:after="0" w:line="155" w:lineRule="exact"/>
        <w:rPr>
          <w:sz w:val="20"/>
          <w:szCs w:val="20"/>
          <w:color w:val="auto"/>
        </w:rPr>
      </w:pPr>
    </w:p>
    <w:p>
      <w:pPr>
        <w:sectPr>
          <w:pgSz w:w="11900" w:h="16838" w:orient="portrait"/>
          <w:cols w:equalWidth="0" w:num="2">
            <w:col w:w="2720" w:space="720"/>
            <w:col w:w="7980"/>
          </w:cols>
          <w:pgMar w:left="240" w:top="23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Visa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Visa 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Visa Facsimile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720" w:space="720"/>
            <w:col w:w="7980"/>
          </w:cols>
          <w:pgMar w:left="240" w:top="239"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USAT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USAT 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USAT Facsimile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Stephen P. Herbert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610-989-0340</w:t>
      </w:r>
    </w:p>
    <w:p>
      <w:pPr>
        <w:spacing w:after="0" w:line="404" w:lineRule="exact"/>
        <w:rPr>
          <w:sz w:val="20"/>
          <w:szCs w:val="20"/>
          <w:color w:val="auto"/>
        </w:rPr>
      </w:pPr>
    </w:p>
    <w:p>
      <w:pPr>
        <w:sectPr>
          <w:pgSz w:w="11900" w:h="16838" w:orient="portrait"/>
          <w:cols w:equalWidth="0" w:num="2">
            <w:col w:w="2720" w:space="720"/>
            <w:col w:w="7980"/>
          </w:cols>
          <w:pgMar w:left="240" w:top="239" w:right="239" w:bottom="1440" w:gutter="0" w:footer="0" w:header="0"/>
          <w:type w:val="continuous"/>
        </w:sectPr>
      </w:pPr>
    </w:p>
    <w:p>
      <w:pPr>
        <w:spacing w:after="0" w:line="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agreement is between </w:t>
      </w:r>
      <w:r>
        <w:rPr>
          <w:rFonts w:ascii="Times New Roman" w:cs="Times New Roman" w:eastAsia="Times New Roman" w:hAnsi="Times New Roman"/>
          <w:sz w:val="18"/>
          <w:szCs w:val="18"/>
          <w:b w:val="1"/>
          <w:bCs w:val="1"/>
          <w:color w:val="auto"/>
        </w:rPr>
        <w:t>VISA U.S.A. INC.,</w:t>
      </w:r>
      <w:r>
        <w:rPr>
          <w:rFonts w:ascii="Times New Roman" w:cs="Times New Roman" w:eastAsia="Times New Roman" w:hAnsi="Times New Roman"/>
          <w:sz w:val="18"/>
          <w:szCs w:val="18"/>
          <w:color w:val="auto"/>
        </w:rPr>
        <w:t xml:space="preserve"> a Delaware corporation, with its principal place of business at 900 Metro Center Boulevard, Foster City, California 94404 (mailing address P.O. Box 8999, San Francisco, CA 94128-8999) (“</w:t>
      </w:r>
      <w:r>
        <w:rPr>
          <w:rFonts w:ascii="Times New Roman" w:cs="Times New Roman" w:eastAsia="Times New Roman" w:hAnsi="Times New Roman"/>
          <w:sz w:val="18"/>
          <w:szCs w:val="18"/>
          <w:b w:val="1"/>
          <w:bCs w:val="1"/>
          <w:color w:val="auto"/>
        </w:rPr>
        <w:t>Visa</w:t>
      </w:r>
      <w:r>
        <w:rPr>
          <w:rFonts w:ascii="Times New Roman" w:cs="Times New Roman" w:eastAsia="Times New Roman" w:hAnsi="Times New Roman"/>
          <w:sz w:val="18"/>
          <w:szCs w:val="18"/>
          <w:color w:val="auto"/>
        </w:rPr>
        <w:t>”) and USA Technologies, Inc., a Pennsylvania corporation, with its principal place of business at 100 Deerfield Lane, Suite 140, Malvern, PA 19355 (“</w:t>
      </w:r>
      <w:r>
        <w:rPr>
          <w:rFonts w:ascii="Times New Roman" w:cs="Times New Roman" w:eastAsia="Times New Roman" w:hAnsi="Times New Roman"/>
          <w:sz w:val="18"/>
          <w:szCs w:val="18"/>
          <w:b w:val="1"/>
          <w:bCs w:val="1"/>
          <w:color w:val="auto"/>
        </w:rPr>
        <w:t>USAT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USAT has entered into agreements with various merchants (each a “</w:t>
      </w:r>
      <w:r>
        <w:rPr>
          <w:rFonts w:ascii="Times New Roman" w:cs="Times New Roman" w:eastAsia="Times New Roman" w:hAnsi="Times New Roman"/>
          <w:sz w:val="18"/>
          <w:szCs w:val="18"/>
          <w:b w:val="1"/>
          <w:bCs w:val="1"/>
          <w:color w:val="auto"/>
        </w:rPr>
        <w:t>USAT Customer</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USAT Customers</w:t>
      </w:r>
      <w:r>
        <w:rPr>
          <w:rFonts w:ascii="Times New Roman" w:cs="Times New Roman" w:eastAsia="Times New Roman" w:hAnsi="Times New Roman"/>
          <w:sz w:val="18"/>
          <w:szCs w:val="18"/>
          <w:color w:val="auto"/>
        </w:rPr>
        <w:t>”), whereby USAT provides to each USAT Customer gateway transaction processing services and related hardware and software solutions for the acceptance of Visa Cards, which are used for payment at vending machines owned and operated by a USAT Customer, and USAT has an agreement with an Acquirer, and desires to receive the incentives offered by Visa.</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Visa operates a retail electronic payments network and desires to provide USAT with incentives to encourage and reward USAT for the growth of its acceptance of payment devices featuring a Visa-owned brand.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USAT desires to avail itself of the opportunity to receive the incentives offered by Visa.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The parties agree as set forth in this cover page and in all of the schedules and riders attached hereto, and all such schedules and riders are part of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AGREED:</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VISA U.S.A. INC.</w:t>
            </w:r>
          </w:p>
        </w:tc>
        <w:tc>
          <w:tcPr>
            <w:tcW w:w="38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USA Technologies, Inc.</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(“Visa”)</w:t>
            </w:r>
          </w:p>
        </w:tc>
        <w:tc>
          <w:tcPr>
            <w:tcW w:w="38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(“USAT”)</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By:/s/ ***</w:t>
            </w:r>
          </w:p>
        </w:tc>
        <w:tc>
          <w:tcPr>
            <w:tcW w:w="38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By: /s/David M. DeMedio</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Name: ***</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Name: David M. DeMedio</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Title: CFO</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28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2"/>
            <w:vMerge w:val="continue"/>
          </w:tcPr>
          <w:p>
            <w:pPr>
              <w:spacing w:after="0"/>
              <w:rPr>
                <w:sz w:val="18"/>
                <w:szCs w:val="18"/>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11/14/14</w:t>
            </w:r>
          </w:p>
        </w:tc>
        <w:tc>
          <w:tcPr>
            <w:tcW w:w="20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11/12/14</w:t>
            </w:r>
          </w:p>
        </w:tc>
        <w:tc>
          <w:tcPr>
            <w:tcW w:w="960" w:type="dxa"/>
            <w:vAlign w:val="bottom"/>
            <w:gridSpan w:val="2"/>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3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20" w:type="dxa"/>
            <w:vAlign w:val="bottom"/>
            <w:tcBorders>
              <w:bottom w:val="single" w:sz="8" w:color="DCDCDC"/>
            </w:tcBorders>
          </w:tcPr>
          <w:p>
            <w:pPr>
              <w:spacing w:after="0"/>
              <w:rPr>
                <w:sz w:val="24"/>
                <w:szCs w:val="24"/>
                <w:color w:val="auto"/>
              </w:rPr>
            </w:pPr>
          </w:p>
        </w:tc>
        <w:tc>
          <w:tcPr>
            <w:tcW w:w="2080" w:type="dxa"/>
            <w:vAlign w:val="bottom"/>
            <w:tcBorders>
              <w:bottom w:val="single" w:sz="8" w:color="DCDCDC"/>
            </w:tcBorders>
          </w:tcPr>
          <w:p>
            <w:pPr>
              <w:spacing w:after="0"/>
              <w:rPr>
                <w:sz w:val="24"/>
                <w:szCs w:val="24"/>
                <w:color w:val="auto"/>
              </w:rPr>
            </w:pPr>
          </w:p>
        </w:tc>
        <w:tc>
          <w:tcPr>
            <w:tcW w:w="1780" w:type="dxa"/>
            <w:vAlign w:val="bottom"/>
            <w:tcBorders>
              <w:bottom w:val="single" w:sz="8" w:color="DCDCDC"/>
            </w:tcBorders>
            <w:gridSpan w:val="6"/>
          </w:tcPr>
          <w:p>
            <w:pPr>
              <w:ind w:left="40"/>
              <w:spacing w:after="0"/>
              <w:rPr>
                <w:sz w:val="20"/>
                <w:szCs w:val="20"/>
                <w:color w:val="auto"/>
              </w:rPr>
            </w:pPr>
            <w:r>
              <w:rPr>
                <w:rFonts w:ascii="Times New Roman" w:cs="Times New Roman" w:eastAsia="Times New Roman" w:hAnsi="Times New Roman"/>
                <w:sz w:val="18"/>
                <w:szCs w:val="18"/>
                <w:color w:val="auto"/>
              </w:rPr>
              <w:t>Page 2 of 26</w:t>
            </w:r>
          </w:p>
        </w:tc>
        <w:tc>
          <w:tcPr>
            <w:tcW w:w="44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w:t>
      </w:r>
    </w:p>
    <w:p>
      <w:pPr>
        <w:spacing w:after="0" w:line="252" w:lineRule="exact"/>
        <w:rPr>
          <w:sz w:val="20"/>
          <w:szCs w:val="20"/>
          <w:color w:val="auto"/>
        </w:rPr>
      </w:pPr>
    </w:p>
    <w:p>
      <w:pPr>
        <w:ind w:firstLine="8"/>
        <w:spacing w:after="0" w:line="286" w:lineRule="auto"/>
        <w:tabs>
          <w:tab w:leader="none" w:pos="51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addition to any terms defined elsewhere in this agreement, the terms below have the following meanings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Acquirer</w:t>
      </w:r>
      <w:r>
        <w:rPr>
          <w:rFonts w:ascii="Times New Roman" w:cs="Times New Roman" w:eastAsia="Times New Roman" w:hAnsi="Times New Roman"/>
          <w:sz w:val="18"/>
          <w:szCs w:val="18"/>
          <w:color w:val="auto"/>
        </w:rPr>
        <w:t>” refers to a Visa Member that affiliates merchants for the acceptance of Cards bearing Visa-owned brands and acquires and interchanges, with issuers of Cards bearing Visa-owned brands, transactions generated at those merchants with the use of those Cards.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refers to entities that during the Term, directly or indirectly, own or control a party, are owned or controlled by a party or are under common ownership or control with a party.</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w:t>
      </w:r>
      <w:r>
        <w:rPr>
          <w:rFonts w:ascii="Times New Roman" w:cs="Times New Roman" w:eastAsia="Times New Roman" w:hAnsi="Times New Roman"/>
          <w:sz w:val="18"/>
          <w:szCs w:val="18"/>
          <w:color w:val="auto"/>
        </w:rPr>
        <w:t>” refers to a card and any other device, technology, or medium (including without limitation, key fobs, micro tags, and mobile phones) through which branded payment services are delivered.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Transactions</w:t>
      </w:r>
      <w:r>
        <w:rPr>
          <w:rFonts w:ascii="Times New Roman" w:cs="Times New Roman" w:eastAsia="Times New Roman" w:hAnsi="Times New Roman"/>
          <w:sz w:val="18"/>
          <w:szCs w:val="18"/>
          <w:color w:val="auto"/>
        </w:rPr>
        <w:t>” means convenience checks, balance transfers, and cash disbursements, including automatic teller machine and manual cash disbursements, point-of-sale cash back transactions and prepaid Card funding transactions.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refers to the consummation by USAT of a transaction or series of related transactions in which any one or more of the following occurs: (i) any person becomes the beneficial owner, directly or indirectly, of 25% or more of USAT’s then outstanding common stock or then outstanding voting securities entitled to vote generally in the election of directors (or comparable governing body if such party is not a corporation); (ii) the sale, lease, exchange or other disposition of 50% or more of all of USAT’s consolidated assets or of USAT’s then outstanding common stock or then outstanding voting securities entitled to vote generally in the election of directors (or comparable governing body if such party is not a corporation); or (iii) consummation, or approval by the shareholders of USAT of a complete liquidation or dissolution or a plan of complete liquidation or dissolution of USAT.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refers to personal injury, property losses, damages (including lost profits or savings and indirect, incidental, consequential, exemplary, punitive, and special damages), losses, penalties, fines, suits, expenses, and costs (including attorney’s fees and investigation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CPS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Custom Payment Services</w:t>
      </w:r>
      <w:r>
        <w:rPr>
          <w:rFonts w:ascii="Times New Roman" w:cs="Times New Roman" w:eastAsia="Times New Roman" w:hAnsi="Times New Roman"/>
          <w:sz w:val="18"/>
          <w:szCs w:val="18"/>
          <w:color w:val="auto"/>
        </w:rPr>
        <w:t>” means a Visa payment service that accommodates specific payment environments with an identifier that remains with the transaction throughout its life cycle.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Card</w:t>
      </w:r>
      <w:r>
        <w:rPr>
          <w:rFonts w:ascii="Times New Roman" w:cs="Times New Roman" w:eastAsia="Times New Roman" w:hAnsi="Times New Roman"/>
          <w:sz w:val="18"/>
          <w:szCs w:val="18"/>
          <w:color w:val="auto"/>
        </w:rPr>
        <w:t>” refers to a general purpose revolving or non-revolving consumer, business, or commercial payment card issued in the Territory that may be used to secure credit by accessing an unsecured or secured open-end credit account pursuant to which the cardholder may make purchases, obtain cash advances or convenience checks, or transfer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Debit Card</w:t>
      </w:r>
      <w:r>
        <w:rPr>
          <w:rFonts w:ascii="Times New Roman" w:cs="Times New Roman" w:eastAsia="Times New Roman" w:hAnsi="Times New Roman"/>
          <w:sz w:val="18"/>
          <w:szCs w:val="18"/>
          <w:color w:val="auto"/>
        </w:rPr>
        <w:t>” means a Card issued or approved for use to debit an asset account, such as a demand deposit account or savings account, whether authorization is based on a signature or PIN, and including prepaid Cards.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EFTA</w:t>
      </w:r>
      <w:r>
        <w:rPr>
          <w:rFonts w:ascii="Times New Roman" w:cs="Times New Roman" w:eastAsia="Times New Roman" w:hAnsi="Times New Roman"/>
          <w:sz w:val="18"/>
          <w:szCs w:val="18"/>
          <w:color w:val="auto"/>
        </w:rPr>
        <w:t>” refers to The Electronic Fund Transfer Act, as amended.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Merchant Category Code</w:t>
      </w:r>
      <w:r>
        <w:rPr>
          <w:rFonts w:ascii="Times New Roman" w:cs="Times New Roman" w:eastAsia="Times New Roman" w:hAnsi="Times New Roman"/>
          <w:sz w:val="18"/>
          <w:szCs w:val="18"/>
          <w:color w:val="auto"/>
        </w:rPr>
        <w:t>” refers to any one of the MCC’s listed or named in schedule D of this agreement.</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Fraud-Prevention Adjustment</w:t>
      </w:r>
      <w:r>
        <w:rPr>
          <w:rFonts w:ascii="Times New Roman" w:cs="Times New Roman" w:eastAsia="Times New Roman" w:hAnsi="Times New Roman"/>
          <w:sz w:val="18"/>
          <w:szCs w:val="18"/>
          <w:color w:val="auto"/>
        </w:rPr>
        <w:t>” refers to the additional amount that, pursuant to Section 235.4 of Part III of the Regulations, may be added to any Interchange Transaction Fee that an issuer may receive in accordance with Section 235.3 of Part II of the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Quarter</w:t>
      </w:r>
      <w:r>
        <w:rPr>
          <w:rFonts w:ascii="Times New Roman" w:cs="Times New Roman" w:eastAsia="Times New Roman" w:hAnsi="Times New Roman"/>
          <w:sz w:val="18"/>
          <w:szCs w:val="18"/>
          <w:color w:val="auto"/>
        </w:rPr>
        <w:t>” refers to each three-month period during the Term, starting with the three-month period that begins on the Effective Date.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Included Merchant Location</w:t>
      </w:r>
      <w:r>
        <w:rPr>
          <w:rFonts w:ascii="Times New Roman" w:cs="Times New Roman" w:eastAsia="Times New Roman" w:hAnsi="Times New Roman"/>
          <w:sz w:val="18"/>
          <w:szCs w:val="18"/>
          <w:color w:val="auto"/>
        </w:rPr>
        <w:t>” refers to any stand-alone unattended vending or self-serve retail machine physically located in the Territory that is: owned and/or operated by a USAT Customer and for which USAT facilitates Card payment functionality or gateway services. For the purposes of this agreement, unattended DVD rental machines owned or operated by USAT or a USAT Customer are not included as an Included Merchant Location.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IRF</w:t>
      </w:r>
      <w:r>
        <w:rPr>
          <w:rFonts w:ascii="Times New Roman" w:cs="Times New Roman" w:eastAsia="Times New Roman" w:hAnsi="Times New Roman"/>
          <w:sz w:val="18"/>
          <w:szCs w:val="18"/>
          <w:color w:val="auto"/>
        </w:rPr>
        <w:t>” refers to the Interchange Reimbursement Fee, as such term is defined in the Visa Operating Regulations.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refers to any liability under any theory or form of action whatsoever, in law or in equity, including, without limitation, contract or tort, including negligence, even if the party in question has been notified of the possibility of such damages, including, without limitation, liability for infringement of others’ intellectual property rights or any liability for Claims of third parties.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Merchant Category Code</w:t>
      </w:r>
      <w:r>
        <w:rPr>
          <w:rFonts w:ascii="Times New Roman" w:cs="Times New Roman" w:eastAsia="Times New Roman" w:hAnsi="Times New Roman"/>
          <w:sz w:val="18"/>
          <w:szCs w:val="18"/>
          <w:color w:val="auto"/>
        </w:rPr>
        <w:t>” refers to a code designating the principal trade, profession, or line of business in which a merchant is engaged, as specified in the Visa Operating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MVV</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Merchant Verification Value</w:t>
      </w:r>
      <w:r>
        <w:rPr>
          <w:rFonts w:ascii="Times New Roman" w:cs="Times New Roman" w:eastAsia="Times New Roman" w:hAnsi="Times New Roman"/>
          <w:sz w:val="18"/>
          <w:szCs w:val="18"/>
          <w:color w:val="auto"/>
        </w:rPr>
        <w:t>” refers to a value assigned by Visa used to identify participation in select merchant programs.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Non-Regulated Visa Debit Transaction</w:t>
      </w:r>
      <w:r>
        <w:rPr>
          <w:rFonts w:ascii="Times New Roman" w:cs="Times New Roman" w:eastAsia="Times New Roman" w:hAnsi="Times New Roman"/>
          <w:sz w:val="18"/>
          <w:szCs w:val="18"/>
          <w:color w:val="auto"/>
        </w:rPr>
        <w:t>” refers to a transaction originated on a Visa Debit Card, excluding Regulated Debit Card Transactions, that are routed for authorization, clearing and settlement through ***, or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Credit Cards</w:t>
      </w:r>
      <w:r>
        <w:rPr>
          <w:rFonts w:ascii="Times New Roman" w:cs="Times New Roman" w:eastAsia="Times New Roman" w:hAnsi="Times New Roman"/>
          <w:sz w:val="18"/>
          <w:szCs w:val="18"/>
          <w:color w:val="auto"/>
        </w:rPr>
        <w:t>” refers to a Credit Card that is branded with a name or trademark not owned by Visa.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Credit Card Transaction</w:t>
      </w:r>
      <w:r>
        <w:rPr>
          <w:rFonts w:ascii="Times New Roman" w:cs="Times New Roman" w:eastAsia="Times New Roman" w:hAnsi="Times New Roman"/>
          <w:sz w:val="18"/>
          <w:szCs w:val="18"/>
          <w:color w:val="auto"/>
        </w:rPr>
        <w:t>” refers to a transaction that originated on an Other Credit Card.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Debit Cards</w:t>
      </w:r>
      <w:r>
        <w:rPr>
          <w:rFonts w:ascii="Times New Roman" w:cs="Times New Roman" w:eastAsia="Times New Roman" w:hAnsi="Times New Roman"/>
          <w:sz w:val="18"/>
          <w:szCs w:val="18"/>
          <w:color w:val="auto"/>
        </w:rPr>
        <w:t>” refers to a Debit Card that is branded with a name or trademark not owned by Visa.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Non-Regulated Debit Card Transaction</w:t>
      </w:r>
      <w:r>
        <w:rPr>
          <w:rFonts w:ascii="Times New Roman" w:cs="Times New Roman" w:eastAsia="Times New Roman" w:hAnsi="Times New Roman"/>
          <w:sz w:val="18"/>
          <w:szCs w:val="18"/>
          <w:color w:val="auto"/>
        </w:rPr>
        <w:t>” refers to a transaction that originated on an Other Debit Card, excluding Regulated Debit Card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Regulated Debit Card Transaction</w:t>
      </w:r>
      <w:r>
        <w:rPr>
          <w:rFonts w:ascii="Times New Roman" w:cs="Times New Roman" w:eastAsia="Times New Roman" w:hAnsi="Times New Roman"/>
          <w:sz w:val="18"/>
          <w:szCs w:val="18"/>
          <w:color w:val="auto"/>
        </w:rPr>
        <w:t>” refers to a Regulated Debit Card Transactions originated on an Other Debit Card.</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Debit Card</w:t>
      </w:r>
      <w:r>
        <w:rPr>
          <w:rFonts w:ascii="Times New Roman" w:cs="Times New Roman" w:eastAsia="Times New Roman" w:hAnsi="Times New Roman"/>
          <w:sz w:val="18"/>
          <w:szCs w:val="18"/>
          <w:color w:val="auto"/>
        </w:rPr>
        <w:t>” is a ‘Debit Card’ (as such term is defined in Section 920(c)(2) of EFTA) transactions, including transactions originated on the types of Cards listed in 920(a)(7)(B) of EFTA, but excluding transactions originated on the types of Cards listed in Sections 920(a)(6) and 920(a)(7)(A) of EFTA.</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Debit Card Transactions</w:t>
      </w:r>
      <w:r>
        <w:rPr>
          <w:rFonts w:ascii="Times New Roman" w:cs="Times New Roman" w:eastAsia="Times New Roman" w:hAnsi="Times New Roman"/>
          <w:sz w:val="18"/>
          <w:szCs w:val="18"/>
          <w:color w:val="auto"/>
        </w:rPr>
        <w:t>” refers to a transaction initiated on a ‘Debit Card’ (as such term is defined in Section 920(c)(2) of EFTA), including transactions originated on the types of Cards listed in 920(a)(7)(B) of EFTA, but excluding transactions originated on the types of Cards listed in Sections 920(a)(6) and 920(a)(7)(A) of EFTA.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Visa Debit Transaction</w:t>
      </w:r>
      <w:r>
        <w:rPr>
          <w:rFonts w:ascii="Times New Roman" w:cs="Times New Roman" w:eastAsia="Times New Roman" w:hAnsi="Times New Roman"/>
          <w:sz w:val="18"/>
          <w:szCs w:val="18"/>
          <w:color w:val="auto"/>
        </w:rPr>
        <w:t>” refers to a Regulated Debit Card Transaction that originated on Visa Debit Card that is routed for authorization, clearing, and settlement through ***, and net of credits and chargebacks and excluding Cash Transactions.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refers to the ‘Debit Card Interchange Fees and Routing; Final Rule,’ as amended from time to time, published as 12 CFR Part 235 on Wednesday, July 20, 2011 in Vol. 76, No. 139 of the Federal Register of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refers to all of the 50 States of the United States of America and the District of Columbia.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Unattended Visa Debit Transactions”</w:t>
      </w:r>
      <w:r>
        <w:rPr>
          <w:rFonts w:ascii="Times New Roman" w:cs="Times New Roman" w:eastAsia="Times New Roman" w:hAnsi="Times New Roman"/>
          <w:sz w:val="18"/>
          <w:szCs w:val="18"/>
          <w:color w:val="auto"/>
        </w:rPr>
        <w:t xml:space="preserve"> refers to a Regulated Debit Card Transaction that originated on Visa Debit Card and assigned Category Code excluding ***, that is routed for authorization, clearing, and settlement through *** or ***, and net of credits and chargebacks and excluding Cash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Cards</w:t>
      </w:r>
      <w:r>
        <w:rPr>
          <w:rFonts w:ascii="Times New Roman" w:cs="Times New Roman" w:eastAsia="Times New Roman" w:hAnsi="Times New Roman"/>
          <w:sz w:val="18"/>
          <w:szCs w:val="18"/>
          <w:color w:val="auto"/>
        </w:rPr>
        <w:t>” refers to Visa Debit Cards and Visa Credit Cards.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Credit Card</w:t>
      </w:r>
      <w:r>
        <w:rPr>
          <w:rFonts w:ascii="Times New Roman" w:cs="Times New Roman" w:eastAsia="Times New Roman" w:hAnsi="Times New Roman"/>
          <w:sz w:val="18"/>
          <w:szCs w:val="18"/>
          <w:color w:val="auto"/>
        </w:rPr>
        <w:t>” refers to a Visa-branded consumer or commercial credit Card.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Credit Transaction</w:t>
      </w:r>
      <w:r>
        <w:rPr>
          <w:rFonts w:ascii="Times New Roman" w:cs="Times New Roman" w:eastAsia="Times New Roman" w:hAnsi="Times New Roman"/>
          <w:sz w:val="18"/>
          <w:szCs w:val="18"/>
          <w:color w:val="auto"/>
        </w:rPr>
        <w:t>” refers to a transaction originated on a Visa Credit Card, that contains the appropriate MVV, and that is routed for authorization, clearing, and settlement through *** or ***, and that is net of credits, chargebacks, and excluding Cash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Debit Card</w:t>
      </w:r>
      <w:r>
        <w:rPr>
          <w:rFonts w:ascii="Times New Roman" w:cs="Times New Roman" w:eastAsia="Times New Roman" w:hAnsi="Times New Roman"/>
          <w:sz w:val="18"/>
          <w:szCs w:val="18"/>
          <w:color w:val="auto"/>
        </w:rPr>
        <w:t>” refers to a Visa-branded consumer Debit Card.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Debit Transaction</w:t>
      </w:r>
      <w:r>
        <w:rPr>
          <w:rFonts w:ascii="Times New Roman" w:cs="Times New Roman" w:eastAsia="Times New Roman" w:hAnsi="Times New Roman"/>
          <w:sz w:val="18"/>
          <w:szCs w:val="18"/>
          <w:color w:val="auto"/>
        </w:rPr>
        <w:t>” refers to a transaction originated on a Visa Debit Card that is routed for authorization, clearing, and settlement through ***and that is net of credits, chargebacks, and excluding Cash Transactions.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Member</w:t>
      </w:r>
      <w:r>
        <w:rPr>
          <w:rFonts w:ascii="Times New Roman" w:cs="Times New Roman" w:eastAsia="Times New Roman" w:hAnsi="Times New Roman"/>
          <w:sz w:val="18"/>
          <w:szCs w:val="18"/>
          <w:color w:val="auto"/>
        </w:rPr>
        <w:t>” refers to an entity that participates in Visa’s payment services as a member of Visa U.S.A. Inc. with rights and obligations defined in the Visa Operating Regulations and is authorized to operate one or more Visa programs subject to specific trademark license agreements and the Visa Operating Regulations.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Visa Operating Regulations</w:t>
      </w:r>
      <w:r>
        <w:rPr>
          <w:rFonts w:ascii="Times New Roman" w:cs="Times New Roman" w:eastAsia="Times New Roman" w:hAnsi="Times New Roman"/>
          <w:sz w:val="18"/>
          <w:szCs w:val="18"/>
          <w:color w:val="auto"/>
        </w:rPr>
        <w:t xml:space="preserve">” refers to the operating regulations of Visa International, as amended from time to time (published at </w:t>
      </w:r>
      <w:r>
        <w:rPr>
          <w:rFonts w:ascii="Times New Roman" w:cs="Times New Roman" w:eastAsia="Times New Roman" w:hAnsi="Times New Roman"/>
          <w:sz w:val="18"/>
          <w:szCs w:val="18"/>
          <w:u w:val="single" w:color="auto"/>
          <w:color w:val="auto"/>
        </w:rPr>
        <w:t>http://usa.visa.com/download/merchants/visa-international-operating-regulations-main.pdf</w:t>
      </w:r>
      <w:r>
        <w:rPr>
          <w:rFonts w:ascii="Times New Roman" w:cs="Times New Roman" w:eastAsia="Times New Roman" w:hAnsi="Times New Roman"/>
          <w:sz w:val="18"/>
          <w:szCs w:val="18"/>
          <w:color w:val="auto"/>
        </w:rPr>
        <w:t>), applicable to operations in the Territory.</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18"/>
          <w:szCs w:val="18"/>
          <w:color w:val="auto"/>
        </w:rPr>
        <w:t>” refers collectively to the *** volume generated from Non-Regulated Visa Debit Transactions, Visa Credit Transactions, Regulated Visa Debit Transactions and Unattended Visa Debit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USAT and Visa each warrants and represents to the other that: (i) it has full corporate power and authority to execute, deliver, and perform this agreement; (ii) the person signing this agreement on its behalf has been properly authorized and empowered to enter into this agreement; and (iii) this agreement is its legal, valid, and binding obligation and is enforceable against it in accordance with the terms contained in this agreement.</w:t>
      </w:r>
    </w:p>
    <w:p>
      <w:pPr>
        <w:spacing w:after="0" w:line="199" w:lineRule="exact"/>
        <w:rPr>
          <w:sz w:val="20"/>
          <w:szCs w:val="20"/>
          <w:color w:val="auto"/>
        </w:rPr>
      </w:pPr>
    </w:p>
    <w:p>
      <w:pPr>
        <w:ind w:firstLine="8"/>
        <w:spacing w:after="0" w:line="286" w:lineRule="auto"/>
        <w:tabs>
          <w:tab w:leader="none" w:pos="4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TRADE AND SERVICE MARKS. </w:t>
      </w:r>
      <w:r>
        <w:rPr>
          <w:rFonts w:ascii="Times New Roman" w:cs="Times New Roman" w:eastAsia="Times New Roman" w:hAnsi="Times New Roman"/>
          <w:sz w:val="18"/>
          <w:szCs w:val="18"/>
          <w:color w:val="auto"/>
        </w:rPr>
        <w:t>Nothing in this agreement gives either party a license or other right to use the trademarks, service 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dress, corporate name, logos, brands, copyrights, or other intellectual property of the other party.</w:t>
      </w:r>
    </w:p>
    <w:p>
      <w:pPr>
        <w:spacing w:after="0" w:line="181"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56" w:lineRule="exact"/>
        <w:rPr>
          <w:rFonts w:ascii="Times New Roman" w:cs="Times New Roman" w:eastAsia="Times New Roman" w:hAnsi="Times New Roman"/>
          <w:sz w:val="18"/>
          <w:szCs w:val="18"/>
          <w:b w:val="1"/>
          <w:bCs w:val="1"/>
          <w:color w:val="auto"/>
        </w:rPr>
      </w:pPr>
    </w:p>
    <w:p>
      <w:pPr>
        <w:ind w:firstLine="422"/>
        <w:spacing w:after="0" w:line="282" w:lineRule="auto"/>
        <w:tabs>
          <w:tab w:leader="none" w:pos="8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subsection (d) of this section 4, for the Term and a period of 7 years after the expiration or termination of this agreement, the party to whom disclosures are made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w:t>
      </w:r>
    </w:p>
    <w:p>
      <w:pPr>
        <w:spacing w:after="0" w:line="188" w:lineRule="exact"/>
        <w:rPr>
          <w:rFonts w:ascii="Times New Roman" w:cs="Times New Roman" w:eastAsia="Times New Roman" w:hAnsi="Times New Roman"/>
          <w:sz w:val="18"/>
          <w:szCs w:val="18"/>
          <w:color w:val="auto"/>
        </w:rPr>
      </w:pPr>
    </w:p>
    <w:p>
      <w:pPr>
        <w:ind w:left="1280" w:hanging="444"/>
        <w:spacing w:after="0"/>
        <w:tabs>
          <w:tab w:leader="none" w:pos="12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Confidential Information only for the purpose this agreement contemplates;</w:t>
      </w:r>
    </w:p>
    <w:p>
      <w:pPr>
        <w:spacing w:after="0" w:line="252" w:lineRule="exact"/>
        <w:rPr>
          <w:rFonts w:ascii="Times New Roman" w:cs="Times New Roman" w:eastAsia="Times New Roman" w:hAnsi="Times New Roman"/>
          <w:sz w:val="18"/>
          <w:szCs w:val="18"/>
          <w:color w:val="auto"/>
        </w:rPr>
      </w:pPr>
    </w:p>
    <w:p>
      <w:pPr>
        <w:ind w:left="1340" w:hanging="474"/>
        <w:spacing w:after="0"/>
        <w:tabs>
          <w:tab w:leader="none" w:pos="134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disclosure of the Confidential Information to: (A) employees, contractors, subcontractors, agents, and consultants of Recipient and</w:t>
      </w:r>
    </w:p>
    <w:p>
      <w:pPr>
        <w:spacing w:after="0" w:line="27"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legal, financial, and tax advisors of the Recipient; and in each case, (I) provided the persons described in subsections (A), (B), and (C) of this section 4(a) (ii) of schedule A are subject to legal obligations to the Recipient restricting disclosure and use of confidential or proprietary information to the degree necessary to comply with the provisions in section 4 of schedule A; and (II) in each case only to the extent each such person has a need to know (each, a “</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firstLine="857"/>
        <w:spacing w:after="0" w:line="282" w:lineRule="auto"/>
        <w:tabs>
          <w:tab w:leader="none" w:pos="1319"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the Confidential Information to any other person or entity apart from those described in paragraph (ii) above without the prior written consent of the party that disclosed the Confidential Information hereunder (“</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260" w:right="1780" w:hanging="4424"/>
        <w:spacing w:after="0" w:line="814" w:lineRule="auto"/>
        <w:tabs>
          <w:tab w:leader="none" w:pos="1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those Permitted Parties who access the Confidential Information of their obligations with respect thereto; and Page 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3" w:name="page34"/>
    <w:bookmarkEnd w:id="33"/>
    <w:p>
      <w:pPr>
        <w:ind w:firstLine="836"/>
        <w:spacing w:after="0" w:line="282" w:lineRule="auto"/>
        <w:tabs>
          <w:tab w:leader="none" w:pos="126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the Confidential Information only as necessary for the purposes this agreement contemplates, and ensure that all confidentiality notices that may appear on the originals are reproduced in full on such copies.</w:t>
      </w:r>
    </w:p>
    <w:p>
      <w:pPr>
        <w:spacing w:after="0" w:line="186" w:lineRule="exact"/>
        <w:rPr>
          <w:rFonts w:ascii="Times New Roman" w:cs="Times New Roman" w:eastAsia="Times New Roman" w:hAnsi="Times New Roman"/>
          <w:sz w:val="18"/>
          <w:szCs w:val="18"/>
          <w:color w:val="auto"/>
        </w:rPr>
      </w:pPr>
    </w:p>
    <w:p>
      <w:pPr>
        <w:jc w:val="both"/>
        <w:ind w:firstLine="422"/>
        <w:spacing w:after="0" w:line="256" w:lineRule="auto"/>
        <w:tabs>
          <w:tab w:leader="none" w:pos="8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Confidential Information</w:t>
      </w:r>
      <w:r>
        <w:rPr>
          <w:rFonts w:ascii="Times New Roman" w:cs="Times New Roman" w:eastAsia="Times New Roman" w:hAnsi="Times New Roman"/>
          <w:sz w:val="18"/>
          <w:szCs w:val="18"/>
          <w:color w:val="auto"/>
        </w:rPr>
        <w:t>. Confidential Information, including permitted copies, shall be deemed the property of the Discloser;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terms of this agreement shall be deemed the joint property of Visa and Merchant. Except as necessary to effect the limited purpose for which its Confidential Information was disclosed under this agreement, the Discloser does not grant to the Recipient any right or license under, in or to any intellectual property or other right of the Discloser that may pertain to such Confidential Information. Promptly upon the written request of Discloser, the Recipient will return to the Discloser, or at Recipient’s option destroy, all physical embodiments of Discloser’s Confidential Information (or any designated portion thereof), including all copies thereof, to the Discloser. The Recipient also shall certify in writing that it has satisfied its obligations under this Paragraph within ten calendar days of a written request by the Discloser.</w:t>
      </w:r>
    </w:p>
    <w:p>
      <w:pPr>
        <w:spacing w:after="0" w:line="210" w:lineRule="exact"/>
        <w:rPr>
          <w:rFonts w:ascii="Times New Roman" w:cs="Times New Roman" w:eastAsia="Times New Roman" w:hAnsi="Times New Roman"/>
          <w:sz w:val="18"/>
          <w:szCs w:val="18"/>
          <w:color w:val="auto"/>
        </w:rPr>
      </w:pPr>
    </w:p>
    <w:p>
      <w:pPr>
        <w:ind w:left="840" w:hanging="418"/>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Confidential Information and Need to Know</w:t>
      </w:r>
      <w:r>
        <w:rPr>
          <w:rFonts w:ascii="Times New Roman" w:cs="Times New Roman" w:eastAsia="Times New Roman" w:hAnsi="Times New Roman"/>
          <w:sz w:val="18"/>
          <w:szCs w:val="18"/>
          <w:color w:val="auto"/>
        </w:rPr>
        <w:t>.</w:t>
      </w:r>
    </w:p>
    <w:p>
      <w:pPr>
        <w:spacing w:after="0" w:line="250" w:lineRule="exact"/>
        <w:rPr>
          <w:rFonts w:ascii="Times New Roman" w:cs="Times New Roman" w:eastAsia="Times New Roman" w:hAnsi="Times New Roman"/>
          <w:sz w:val="18"/>
          <w:szCs w:val="18"/>
          <w:color w:val="auto"/>
        </w:rPr>
      </w:pPr>
    </w:p>
    <w:p>
      <w:pPr>
        <w:jc w:val="both"/>
        <w:ind w:firstLine="836"/>
        <w:spacing w:after="0" w:line="256" w:lineRule="auto"/>
        <w:tabs>
          <w:tab w:leader="none" w:pos="12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(c)(ii) of this section 4,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refers to: (A) the terms of this agreement and (B) any information or data disclosed by the Discloser which: (I) if in tangible form, is marked clearly as proprietary or confidential; (II) if oral, is identified as proprietary, confidential, or private on disclosure; or (III) regardless of the form in which it is embodied or the manner in which it is disclosed, the Recipient should reasonably understand to be confidential; provided, however, that such information or data is provided under or in contemplation of this agreement (including without limitation, the financial terms of the proposal that Visa provided to USAT in order to facilitate USAT’s internal evaluation of such proposal and the negotiations that led to this agreement); and as used in paragraph (a)(ii) above, “</w:t>
      </w:r>
      <w:r>
        <w:rPr>
          <w:rFonts w:ascii="Times New Roman" w:cs="Times New Roman" w:eastAsia="Times New Roman" w:hAnsi="Times New Roman"/>
          <w:sz w:val="18"/>
          <w:szCs w:val="18"/>
          <w:b w:val="1"/>
          <w:bCs w:val="1"/>
          <w:color w:val="auto"/>
        </w:rPr>
        <w:t>need to know</w:t>
      </w:r>
      <w:r>
        <w:rPr>
          <w:rFonts w:ascii="Times New Roman" w:cs="Times New Roman" w:eastAsia="Times New Roman" w:hAnsi="Times New Roman"/>
          <w:sz w:val="18"/>
          <w:szCs w:val="18"/>
          <w:color w:val="auto"/>
        </w:rPr>
        <w:t>” means that the Permitted Party requires the Confidential Information to perform its responsibilities in connection with this agreement.</w:t>
      </w:r>
    </w:p>
    <w:p>
      <w:pPr>
        <w:spacing w:after="0" w:line="214" w:lineRule="exact"/>
        <w:rPr>
          <w:sz w:val="20"/>
          <w:szCs w:val="20"/>
          <w:color w:val="auto"/>
        </w:rPr>
      </w:pPr>
    </w:p>
    <w:p>
      <w:pPr>
        <w:jc w:val="both"/>
        <w:ind w:firstLine="836"/>
        <w:spacing w:after="0" w:line="261" w:lineRule="auto"/>
        <w:tabs>
          <w:tab w:leader="none" w:pos="127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“Confidential Information” excludes information that Recipient can demonstrate: (A) is or becomes available to the public through no breach of this agreement; (B) was previously known by the Recipient without any obligation to hold it in confidence; (C) is received from a third party who Recipient reasonably believes is free to disclose such information without restriction; or (D) is independently developed by the Recipient without the use of Confidential Information of the Discloser.</w:t>
      </w:r>
    </w:p>
    <w:p>
      <w:pPr>
        <w:spacing w:after="0" w:line="205" w:lineRule="exact"/>
        <w:rPr>
          <w:rFonts w:ascii="Times New Roman" w:cs="Times New Roman" w:eastAsia="Times New Roman" w:hAnsi="Times New Roman"/>
          <w:sz w:val="18"/>
          <w:szCs w:val="18"/>
          <w:color w:val="auto"/>
        </w:rPr>
      </w:pPr>
    </w:p>
    <w:p>
      <w:pPr>
        <w:jc w:val="both"/>
        <w:ind w:firstLine="430"/>
        <w:spacing w:after="0" w:line="256" w:lineRule="auto"/>
        <w:tabs>
          <w:tab w:leader="none" w:pos="8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Either party may disclose the other party’s Confidential Information: (i) if the other party provides its prior written approval or (ii)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a court order or a requirement of law, regulation, or a governmental body of the United States or any political subdivisions thereof applicable to the Recipient or its Affiliate (a “</w:t>
      </w:r>
      <w:r>
        <w:rPr>
          <w:rFonts w:ascii="Times New Roman" w:cs="Times New Roman" w:eastAsia="Times New Roman" w:hAnsi="Times New Roman"/>
          <w:sz w:val="18"/>
          <w:szCs w:val="18"/>
          <w:b w:val="1"/>
          <w:bCs w:val="1"/>
          <w:color w:val="auto"/>
        </w:rPr>
        <w:t>Required Disclosure</w:t>
      </w:r>
      <w:r>
        <w:rPr>
          <w:rFonts w:ascii="Times New Roman" w:cs="Times New Roman" w:eastAsia="Times New Roman" w:hAnsi="Times New Roman"/>
          <w:sz w:val="18"/>
          <w:szCs w:val="18"/>
          <w:color w:val="auto"/>
        </w:rPr>
        <w:t>”), but only to the extent of and for the purposes of such Required Disclosure, and only if the Recipient (to the extent legally permitted) first notifies the Discloser of the Required Disclosure and affords the Discloser a reasonable opportunity under the circumstances to seek an appropriate protective order. Notwithstanding the foregoing, either party may disclose this agreement pursuant to a Required Disclosure and may do so without prior notice to the other party provided that this agreement is designated as “Highly Confidential -- Outside Counsel’s Eyes Only” under an applicable protective order or confidentiality agreement or is otherwise protected from disclosure to third parties by operation of law.</w:t>
      </w:r>
    </w:p>
    <w:p>
      <w:pPr>
        <w:spacing w:after="0" w:line="210" w:lineRule="exact"/>
        <w:rPr>
          <w:rFonts w:ascii="Times New Roman" w:cs="Times New Roman" w:eastAsia="Times New Roman" w:hAnsi="Times New Roman"/>
          <w:sz w:val="18"/>
          <w:szCs w:val="18"/>
          <w:color w:val="auto"/>
        </w:rPr>
      </w:pPr>
    </w:p>
    <w:p>
      <w:pPr>
        <w:jc w:val="both"/>
        <w:ind w:firstLine="453"/>
        <w:spacing w:after="0" w:line="253" w:lineRule="auto"/>
        <w:tabs>
          <w:tab w:leader="none" w:pos="9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USAT Communications with its Prospective Merchant Clients</w:t>
      </w:r>
      <w:r>
        <w:rPr>
          <w:rFonts w:ascii="Times New Roman" w:cs="Times New Roman" w:eastAsia="Times New Roman" w:hAnsi="Times New Roman"/>
          <w:sz w:val="18"/>
          <w:szCs w:val="18"/>
          <w:color w:val="auto"/>
        </w:rPr>
        <w:t>. Visa recognizes that in order for USAT to offer to provide the benefits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Promotional IRF Rates to its prospective merchant clients, USAT will need to share with prospective merchant clients: (i) the Merchant Participation Requirements (defined in section B of schedule C) and (ii) the </w:t>
      </w:r>
      <w:r>
        <w:rPr>
          <w:rFonts w:ascii="Times New Roman" w:cs="Times New Roman" w:eastAsia="Times New Roman" w:hAnsi="Times New Roman"/>
          <w:sz w:val="18"/>
          <w:szCs w:val="18"/>
          <w:b w:val="1"/>
          <w:bCs w:val="1"/>
          <w:color w:val="auto"/>
        </w:rPr>
        <w:t>rate of</w:t>
      </w:r>
      <w:r>
        <w:rPr>
          <w:rFonts w:ascii="Times New Roman" w:cs="Times New Roman" w:eastAsia="Times New Roman" w:hAnsi="Times New Roman"/>
          <w:sz w:val="18"/>
          <w:szCs w:val="18"/>
          <w:color w:val="auto"/>
        </w:rPr>
        <w:t xml:space="preserve"> Promotional IRF Rates. To accommodate that, Visa agrees that communications (written or oral) from USAT to its prospective merchant clients that include: (i) the Merchant Participation Requirements and/or (ii) the </w:t>
      </w:r>
      <w:r>
        <w:rPr>
          <w:rFonts w:ascii="Times New Roman" w:cs="Times New Roman" w:eastAsia="Times New Roman" w:hAnsi="Times New Roman"/>
          <w:sz w:val="18"/>
          <w:szCs w:val="18"/>
          <w:b w:val="1"/>
          <w:bCs w:val="1"/>
          <w:color w:val="auto"/>
        </w:rPr>
        <w:t>rate of</w:t>
      </w:r>
      <w:r>
        <w:rPr>
          <w:rFonts w:ascii="Times New Roman" w:cs="Times New Roman" w:eastAsia="Times New Roman" w:hAnsi="Times New Roman"/>
          <w:sz w:val="18"/>
          <w:szCs w:val="18"/>
          <w:color w:val="auto"/>
        </w:rPr>
        <w:t xml:space="preserve"> the Visa Debit Regulated Promotional IRF will not be deemed to be Visa Confidential Information so long as (1) each prospective merchant client is subject to legal obligations to USAT restricting disclosure and use of confidential or proprietary information to the degree necessary to comply with the provisions in this section 4, and (2) those communications (written and oral) do not in any way communicate or imply that Visa is the source of or in any way associated with (except, to the extent that the transactions subject of the communication are identified as Visa Card transactions): (A) the offer that USAT is making to its prospective merchants or (B) the Merchant Participation Requirements and the Promotional IRF Rates. For the avoidance of doubt, apart from the no-attribution to Visa, the foregoing and nothing in this agreement limits or sets requirements on USAT regarding the offers (including without limitation pricing and terms) that USAT may choose to make to its merchant clients, existing or prospective.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4" w:name="page35"/>
    <w:bookmarkEnd w:id="34"/>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TERMINATION.</w:t>
      </w:r>
    </w:p>
    <w:p>
      <w:pPr>
        <w:spacing w:after="0" w:line="254" w:lineRule="exact"/>
        <w:rPr>
          <w:rFonts w:ascii="Times New Roman" w:cs="Times New Roman" w:eastAsia="Times New Roman" w:hAnsi="Times New Roman"/>
          <w:sz w:val="18"/>
          <w:szCs w:val="18"/>
          <w:b w:val="1"/>
          <w:bCs w:val="1"/>
          <w:color w:val="auto"/>
        </w:rPr>
      </w:pPr>
    </w:p>
    <w:p>
      <w:pPr>
        <w:jc w:val="both"/>
        <w:ind w:firstLine="422"/>
        <w:spacing w:after="0" w:line="259" w:lineRule="auto"/>
        <w:tabs>
          <w:tab w:leader="none" w:pos="86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Breach</w:t>
      </w:r>
      <w:r>
        <w:rPr>
          <w:rFonts w:ascii="Times New Roman" w:cs="Times New Roman" w:eastAsia="Times New Roman" w:hAnsi="Times New Roman"/>
          <w:sz w:val="18"/>
          <w:szCs w:val="18"/>
          <w:color w:val="auto"/>
        </w:rPr>
        <w:t>. If either party commits a material breach of its obligations under this agreement, the other party may terminate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giving the breaching party at least thirty calendar days’ written notice prior to the effective date of termination, except that any such notice shall not result in termination if the breaching party cures that breach before the thirty-day notice period elapses. For purposes of this agreement,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means, with respect to a given breach, that a reasonable person in the position of the non-breaching party would wish to terminate this agreement because of that breach.</w:t>
      </w:r>
    </w:p>
    <w:p>
      <w:pPr>
        <w:spacing w:after="0" w:line="206" w:lineRule="exact"/>
        <w:rPr>
          <w:rFonts w:ascii="Times New Roman" w:cs="Times New Roman" w:eastAsia="Times New Roman" w:hAnsi="Times New Roman"/>
          <w:sz w:val="18"/>
          <w:szCs w:val="18"/>
          <w:color w:val="auto"/>
        </w:rPr>
      </w:pPr>
    </w:p>
    <w:p>
      <w:pPr>
        <w:jc w:val="both"/>
        <w:ind w:firstLine="436"/>
        <w:spacing w:after="0" w:line="267" w:lineRule="auto"/>
        <w:tabs>
          <w:tab w:leader="none" w:pos="90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Termination</w:t>
      </w:r>
      <w:r>
        <w:rPr>
          <w:rFonts w:ascii="Times New Roman" w:cs="Times New Roman" w:eastAsia="Times New Roman" w:hAnsi="Times New Roman"/>
          <w:sz w:val="18"/>
          <w:szCs w:val="18"/>
          <w:color w:val="auto"/>
        </w:rPr>
        <w:t>. This agreement will terminate immediately and automatically in the event that USAT is placed into receivership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entity, or a petition is filed by or against USAT under applicable bankruptcy law seeking the liquidation of USAT’s assets (and, in the case of a petition filed against USAT, such petition is not dismissed within thirty calendar days).</w:t>
      </w:r>
    </w:p>
    <w:p>
      <w:pPr>
        <w:spacing w:after="0" w:line="201" w:lineRule="exact"/>
        <w:rPr>
          <w:sz w:val="20"/>
          <w:szCs w:val="20"/>
          <w:color w:val="auto"/>
        </w:rPr>
      </w:pPr>
    </w:p>
    <w:p>
      <w:pPr>
        <w:ind w:left="840" w:hanging="418"/>
        <w:spacing w:after="0"/>
        <w:tabs>
          <w:tab w:leader="none" w:pos="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Visa’s Termination Rights Upon USAT Change of Control; Termination for Convenience.</w:t>
      </w:r>
    </w:p>
    <w:p>
      <w:pPr>
        <w:spacing w:after="0" w:line="254" w:lineRule="exact"/>
        <w:rPr>
          <w:rFonts w:ascii="Times New Roman" w:cs="Times New Roman" w:eastAsia="Times New Roman" w:hAnsi="Times New Roman"/>
          <w:sz w:val="18"/>
          <w:szCs w:val="18"/>
          <w:color w:val="auto"/>
        </w:rPr>
      </w:pPr>
    </w:p>
    <w:p>
      <w:pPr>
        <w:jc w:val="both"/>
        <w:ind w:firstLine="836"/>
        <w:spacing w:after="0" w:line="266" w:lineRule="auto"/>
        <w:tabs>
          <w:tab w:leader="none" w:pos="1223"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Visa may terminate this agreement without liability if USAT is subject to a Change of Control event whereby USAT is controlled or acquired by a direct competitor of Visa. USAT shall give written notice to Visa promptly of the execution of an agreement that will result in such a Change of Control of USAT.</w:t>
      </w:r>
    </w:p>
    <w:p>
      <w:pPr>
        <w:spacing w:after="0" w:line="203" w:lineRule="exact"/>
        <w:rPr>
          <w:rFonts w:ascii="Times New Roman" w:cs="Times New Roman" w:eastAsia="Times New Roman" w:hAnsi="Times New Roman"/>
          <w:sz w:val="18"/>
          <w:szCs w:val="18"/>
          <w:color w:val="auto"/>
        </w:rPr>
      </w:pPr>
    </w:p>
    <w:p>
      <w:pPr>
        <w:ind w:left="1380" w:hanging="503"/>
        <w:spacing w:after="0"/>
        <w:tabs>
          <w:tab w:leader="none" w:pos="1380" w:val="left"/>
        </w:tabs>
        <w:numPr>
          <w:ilvl w:val="5"/>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for no reason at any time by providing ninety calendar days’ prior written notice to the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31" w:lineRule="exact"/>
        <w:rPr>
          <w:rFonts w:ascii="Times New Roman" w:cs="Times New Roman" w:eastAsia="Times New Roman" w:hAnsi="Times New Roman"/>
          <w:sz w:val="18"/>
          <w:szCs w:val="18"/>
          <w:color w:val="auto"/>
        </w:rPr>
      </w:pPr>
    </w:p>
    <w:p>
      <w:pPr>
        <w:ind w:firstLine="422"/>
        <w:spacing w:after="0" w:line="284" w:lineRule="auto"/>
        <w:tabs>
          <w:tab w:leader="none" w:pos="80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Termination Rights. </w:t>
      </w:r>
      <w:r>
        <w:rPr>
          <w:rFonts w:ascii="Times New Roman" w:cs="Times New Roman" w:eastAsia="Times New Roman" w:hAnsi="Times New Roman"/>
          <w:sz w:val="18"/>
          <w:szCs w:val="18"/>
          <w:color w:val="auto"/>
        </w:rPr>
        <w:t>A party may elect to terminate this agreement in accordance with any other termination rights it may have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85" w:lineRule="exact"/>
        <w:rPr>
          <w:rFonts w:ascii="Times New Roman" w:cs="Times New Roman" w:eastAsia="Times New Roman" w:hAnsi="Times New Roman"/>
          <w:sz w:val="18"/>
          <w:szCs w:val="18"/>
          <w:color w:val="auto"/>
        </w:rPr>
      </w:pPr>
    </w:p>
    <w:p>
      <w:pPr>
        <w:jc w:val="both"/>
        <w:ind w:firstLine="422"/>
        <w:spacing w:after="0" w:line="261" w:lineRule="auto"/>
        <w:tabs>
          <w:tab w:leader="none" w:pos="8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 or Expiration</w:t>
      </w:r>
      <w:r>
        <w:rPr>
          <w:rFonts w:ascii="Times New Roman" w:cs="Times New Roman" w:eastAsia="Times New Roman" w:hAnsi="Times New Roman"/>
          <w:sz w:val="18"/>
          <w:szCs w:val="18"/>
          <w:color w:val="auto"/>
        </w:rPr>
        <w:t>. All obligations and rights under this agreement will cease immediately and automatically as of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termination of this agreement or its expiration, and any provision that by its terms expressly survives or needs to survive to give effect to its purpose will also survive the termination or expiration of this agreement. The termination or expiration of this agreement will not have any effect on the VisaNet Agreement or USAT’s participation in the Visa payment system.</w:t>
      </w:r>
    </w:p>
    <w:p>
      <w:pPr>
        <w:spacing w:after="0" w:line="20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TERRITORY; SCOPE; LIMITATION OF LIABILITY.</w:t>
      </w:r>
    </w:p>
    <w:p>
      <w:pPr>
        <w:spacing w:after="0" w:line="256" w:lineRule="exact"/>
        <w:rPr>
          <w:rFonts w:ascii="Times New Roman" w:cs="Times New Roman" w:eastAsia="Times New Roman" w:hAnsi="Times New Roman"/>
          <w:sz w:val="18"/>
          <w:szCs w:val="18"/>
          <w:b w:val="1"/>
          <w:bCs w:val="1"/>
          <w:color w:val="auto"/>
        </w:rPr>
      </w:pPr>
    </w:p>
    <w:p>
      <w:pPr>
        <w:ind w:right="20" w:firstLine="434"/>
        <w:spacing w:after="0" w:line="282" w:lineRule="auto"/>
        <w:tabs>
          <w:tab w:leader="none" w:pos="87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incentives offered under schedule B of this agreement only apply to Visa Card transactions (i) that are referenced in schedule B and (ii) that originate at the Included Merchant Locations.</w:t>
      </w:r>
    </w:p>
    <w:p>
      <w:pPr>
        <w:spacing w:after="0" w:line="188" w:lineRule="exact"/>
        <w:rPr>
          <w:rFonts w:ascii="Times New Roman" w:cs="Times New Roman" w:eastAsia="Times New Roman" w:hAnsi="Times New Roman"/>
          <w:sz w:val="18"/>
          <w:szCs w:val="18"/>
          <w:color w:val="auto"/>
        </w:rPr>
      </w:pPr>
    </w:p>
    <w:p>
      <w:pPr>
        <w:jc w:val="both"/>
        <w:ind w:firstLine="422"/>
        <w:spacing w:after="0" w:line="266" w:lineRule="auto"/>
        <w:tabs>
          <w:tab w:leader="none" w:pos="84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covers any new Included Merchant Locations that USAT creates through the normal course of business during the Term; however, it does not cover any new Included Merchant Locations that USAT or any Affiliate of USAT acquires during the Term from a third party (whether by purchase, merger, acquisition, or otherwise), unless Visa provides its prior written approval.</w:t>
      </w:r>
    </w:p>
    <w:p>
      <w:pPr>
        <w:spacing w:after="0" w:line="203" w:lineRule="exact"/>
        <w:rPr>
          <w:rFonts w:ascii="Times New Roman" w:cs="Times New Roman" w:eastAsia="Times New Roman" w:hAnsi="Times New Roman"/>
          <w:sz w:val="18"/>
          <w:szCs w:val="18"/>
          <w:color w:val="auto"/>
        </w:rPr>
      </w:pPr>
    </w:p>
    <w:p>
      <w:pPr>
        <w:jc w:val="both"/>
        <w:ind w:firstLine="449"/>
        <w:spacing w:after="0" w:line="258" w:lineRule="auto"/>
        <w:tabs>
          <w:tab w:leader="none" w:pos="933"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USAT and Visa expressly acknowledge and agree that: (i) the sole objective of this agreement is for Visa to offer to USAT the benefit of the Promotional IRF Rates, subject to the terms and conditions in schedules B and C and in the rest of this agreement; and (ii) this agreement is not, and is not intended to be, an agreement for Visa to provide USAT or any third party with products, processing, services, programs, specifications, standards, software, hardware, or firmware of any kind, whether in connection with any Card transactions referenced in schedule B of this agreement that originated at an Included Merchant Location or elsewhere or otherwise.</w:t>
      </w:r>
    </w:p>
    <w:p>
      <w:pPr>
        <w:spacing w:after="0" w:line="210" w:lineRule="exact"/>
        <w:rPr>
          <w:rFonts w:ascii="Times New Roman" w:cs="Times New Roman" w:eastAsia="Times New Roman" w:hAnsi="Times New Roman"/>
          <w:sz w:val="18"/>
          <w:szCs w:val="18"/>
          <w:color w:val="auto"/>
        </w:rPr>
      </w:pPr>
    </w:p>
    <w:p>
      <w:pPr>
        <w:jc w:val="both"/>
        <w:ind w:firstLine="445"/>
        <w:spacing w:after="0" w:line="258" w:lineRule="auto"/>
        <w:tabs>
          <w:tab w:leader="none" w:pos="872"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Apart from the express obligations of Visa set forth in this agreement, Visa shall have no other obligation to USAT under or arising out of this agreement. USAT’s sole and exclusive redress and right of recovery for Claims and Liability due to or arising from the Visa products, processing, services, programs, specifications, standards, software, hardware, or firmware in connection with the transactions referenced in schedule B of the agreement that originated at Included Merchant Locations, will be against USAT’s Acquirer or any other Visa Member or non-Visa Affiliate through which USAT participates in the ***. USAT understands and agrees that Visa will bear no risk with respect to USAT’s services and/or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5" w:name="page36"/>
    <w:bookmarkEnd w:id="35"/>
    <w:p>
      <w:pPr>
        <w:jc w:val="both"/>
        <w:ind w:firstLine="507"/>
        <w:spacing w:after="0" w:line="255" w:lineRule="auto"/>
        <w:tabs>
          <w:tab w:leader="none" w:pos="1136"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NOT A SERVICES AGREEMENT. VISA DOES NOT MAKE OR GIVE UNDER THIS AGREEMENT, AND HEREBY EXPRESSLY DISCLAIMS, ALL WARRANTIES, REPRESENTATIONS, OR CONDITIONS, BOTH EXPRESS AND IMPLIED, ARISING BY STATUTE OR OTHERWISE IN LAW, OR FROM COURSE OF DEALING OR USAGE OR TRADE, INCLUDING, BUT NOT LIMITED TO, ANY IMPLIED WARRANTY, REPRESENTATION, OR CONDITION OF MERCHANTABILITY, MERCHANTABLE QUALITY, OR FITNESS FOR ANY PURPOSE, PARTICULAR, SPECIFIC, OR OTHERWISE, OR ANY WARRANTY OF TITLE OR NON-INFRINGEMENT FOR ANY AND ALL PRODUCTS, PROCESSING, SERVICES, PROGRAMS, SPECIFICATIONS, STANDARDS, SOFTWARE, HARDWARE, OR FIRMWARE. EXCEPT FOR THE WARRANTIES AND REPRESENTATIONS MADE IN SECTION 2 OF THIS SCHEDULE A OF THIS AGREEMENT, VISA DOES NOT MAKE OR GIVE ANY OTHER WARRANTIES OR REPRESENTATION UNDER THIS AGREEMENT.</w:t>
      </w:r>
    </w:p>
    <w:p>
      <w:pPr>
        <w:spacing w:after="0" w:line="212" w:lineRule="exact"/>
        <w:rPr>
          <w:rFonts w:ascii="Times New Roman" w:cs="Times New Roman" w:eastAsia="Times New Roman" w:hAnsi="Times New Roman"/>
          <w:sz w:val="18"/>
          <w:szCs w:val="18"/>
          <w:color w:val="auto"/>
        </w:rPr>
      </w:pPr>
    </w:p>
    <w:p>
      <w:pPr>
        <w:jc w:val="both"/>
        <w:ind w:firstLine="430"/>
        <w:spacing w:after="0" w:line="254" w:lineRule="auto"/>
        <w:tabs>
          <w:tab w:leader="none" w:pos="8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EITHER PARTY BE LIABLE TO THE OTHER OR ANY OTHER PERSON OR ENTITY FOR ANY INDIRECT, SPECIAL, CONSEQUENTIAL, INCIDENTAL, EXEMPLARY, OR PUNITIVE DAMAGES EVEN IF IT HAD REASON TO KNOW OF THE POSSIBILITY OF SUCH DAMAGES, INCLUDING, WITHOUT LIMITATION, LOSS OF REVENUE, PROFITS OR BUSINESS. EXCEPT FOR AMOUNTS DUE USAT, IF ANY, IN ACCORDANCE WITH SCHEDULE B, IN NO EVENT WILL EITHER PARTY BE LIABLE IN THE AGGREGATE, FOR ANY CLAIMS, PROCEEDINGS, LIABILITIES, OBLIGATIONS, DAMAGES, LOSSES, OR COSTS RELATED TO OR ARISING OUT OF ANY SUBJECT MATTER OF THIS AGREEMENT, FOR ANY INDIVIDUAL OR RELATED SERIES OF CLAIMS OR LIABILITIES IN AN AMOUNT EXCEEDING TEN-THOUSAND UNITED STATES DOLLARS. THIS LIMITATION OF LIABILITY SECTION APPLIES WHETHER THE ALLEGED LIABILITY IS BASED ON CONTRACT, TORT, NEGLIGENCE, STRICT LIABILITY, OR ANY OTHER BASIS, EVEN IF VISA HAS BEEN ADVISED OF THE POSSIBILITY OF SUCH DAMAGE.</w:t>
      </w:r>
    </w:p>
    <w:p>
      <w:pPr>
        <w:spacing w:after="0" w:line="21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54" w:lineRule="exact"/>
        <w:rPr>
          <w:rFonts w:ascii="Times New Roman" w:cs="Times New Roman" w:eastAsia="Times New Roman" w:hAnsi="Times New Roman"/>
          <w:sz w:val="18"/>
          <w:szCs w:val="18"/>
          <w:color w:val="auto"/>
        </w:rPr>
      </w:pPr>
    </w:p>
    <w:p>
      <w:pPr>
        <w:ind w:right="20" w:firstLine="507"/>
        <w:spacing w:after="0" w:line="284" w:lineRule="auto"/>
        <w:tabs>
          <w:tab w:leader="none" w:pos="1136"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Relationship of the Parties</w:t>
      </w:r>
      <w:r>
        <w:rPr>
          <w:rFonts w:ascii="Times New Roman" w:cs="Times New Roman" w:eastAsia="Times New Roman" w:hAnsi="Times New Roman"/>
          <w:sz w:val="18"/>
          <w:szCs w:val="18"/>
          <w:color w:val="auto"/>
        </w:rPr>
        <w:t>. The parties are independent contractors and this agreement does not create a partnership,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employee/employer or other agency relationship between them.</w:t>
      </w:r>
    </w:p>
    <w:p>
      <w:pPr>
        <w:spacing w:after="0" w:line="185" w:lineRule="exact"/>
        <w:rPr>
          <w:rFonts w:ascii="Times New Roman" w:cs="Times New Roman" w:eastAsia="Times New Roman" w:hAnsi="Times New Roman"/>
          <w:sz w:val="18"/>
          <w:szCs w:val="18"/>
          <w:color w:val="auto"/>
        </w:rPr>
      </w:pPr>
    </w:p>
    <w:p>
      <w:pPr>
        <w:jc w:val="both"/>
        <w:ind w:firstLine="422"/>
        <w:spacing w:after="0" w:line="267" w:lineRule="auto"/>
        <w:tabs>
          <w:tab w:leader="none" w:pos="8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Assignments</w:t>
      </w:r>
      <w:r>
        <w:rPr>
          <w:rFonts w:ascii="Times New Roman" w:cs="Times New Roman" w:eastAsia="Times New Roman" w:hAnsi="Times New Roman"/>
          <w:sz w:val="18"/>
          <w:szCs w:val="18"/>
          <w:color w:val="auto"/>
        </w:rPr>
        <w:t>. This agreement binds and benefits each of the parties and their respective permitted successors and assigns. No party may assign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in whole or in part, any of its rights under this agreement, voluntarily or involuntarily, whether by operation of law or any other manner, except as expressly permitted in this section or with the prior written consent of the other party. No party may delegate any performance under this agreement.</w:t>
      </w:r>
    </w:p>
    <w:p>
      <w:pPr>
        <w:spacing w:after="0" w:line="200" w:lineRule="exact"/>
        <w:rPr>
          <w:rFonts w:ascii="Times New Roman" w:cs="Times New Roman" w:eastAsia="Times New Roman" w:hAnsi="Times New Roman"/>
          <w:sz w:val="18"/>
          <w:szCs w:val="18"/>
          <w:color w:val="auto"/>
        </w:rPr>
      </w:pPr>
    </w:p>
    <w:p>
      <w:pPr>
        <w:ind w:left="920" w:hanging="475"/>
        <w:spacing w:after="0"/>
        <w:tabs>
          <w:tab w:leader="none" w:pos="9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to be given under this agreement will be in writing and will be deemed to have been given and</w:t>
      </w:r>
    </w:p>
    <w:p>
      <w:pPr>
        <w:spacing w:after="0" w:line="29"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 when personally delivered; (ii) three business days after mailing, postage prepaid, by certified mail; (iii) one business day following dispatch by electronic mail to the electronic mail address identified on the cover page of this agreement; (iv) one business day following dispatch by facsimile to the facsimile address identified on the cover page of this agreement; or (v) one business day following dispatch by overnight delivery via a national or international courier service and, in each case, addressed to the party at the addresses set forth on the first page of this agreement (in the case of notices to Visa, a copy of any such notice will also be delivered to the Visa U.S.A. Legal Department, in care of the same Visa address), unless a different address will have been designated in writing.</w:t>
      </w:r>
    </w:p>
    <w:p>
      <w:pPr>
        <w:spacing w:after="0" w:line="215" w:lineRule="exact"/>
        <w:rPr>
          <w:rFonts w:ascii="Times New Roman" w:cs="Times New Roman" w:eastAsia="Times New Roman" w:hAnsi="Times New Roman"/>
          <w:sz w:val="18"/>
          <w:szCs w:val="18"/>
          <w:color w:val="auto"/>
        </w:rPr>
      </w:pPr>
    </w:p>
    <w:p>
      <w:pPr>
        <w:jc w:val="both"/>
        <w:ind w:firstLine="453"/>
        <w:spacing w:after="0" w:line="261" w:lineRule="auto"/>
        <w:tabs>
          <w:tab w:leader="none" w:pos="9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proceedings arising out of or in connection with this agreement will be governed by and interpreted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according to the substantive laws of the State of New York without regard to its choice of law or conflict of laws principles. The parties hereby submit to the sole jurisdiction of the courts in the State of New York and agree that service of process may be effected through the notice procedure set forth in section 7(c) of schedule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6" w:name="page37"/>
    <w:bookmarkEnd w:id="36"/>
    <w:p>
      <w:pPr>
        <w:jc w:val="both"/>
        <w:ind w:right="20" w:firstLine="438"/>
        <w:spacing w:after="0" w:line="290" w:lineRule="auto"/>
        <w:tabs>
          <w:tab w:leader="none" w:pos="893"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Materials with Other Party’s Name and Trademarks</w:t>
      </w:r>
      <w:r>
        <w:rPr>
          <w:rFonts w:ascii="Times New Roman" w:cs="Times New Roman" w:eastAsia="Times New Roman" w:hAnsi="Times New Roman"/>
          <w:sz w:val="17"/>
          <w:szCs w:val="17"/>
          <w:color w:val="auto"/>
        </w:rPr>
        <w:t>. All written and broadcast materials created by or for a party including, without limitation,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advertisements, marketing materials, press releases, point of purchase signage, mailings, and any other signage which relate to the other party or any materials that contain the name or trademark of the other party are subject to the other party’s prior written approval, which may not be unreasonably withheld.</w:t>
      </w:r>
    </w:p>
    <w:p>
      <w:pPr>
        <w:spacing w:after="0" w:line="182" w:lineRule="exact"/>
        <w:rPr>
          <w:rFonts w:ascii="Times New Roman" w:cs="Times New Roman" w:eastAsia="Times New Roman" w:hAnsi="Times New Roman"/>
          <w:sz w:val="17"/>
          <w:szCs w:val="17"/>
          <w:color w:val="auto"/>
        </w:rPr>
      </w:pPr>
    </w:p>
    <w:p>
      <w:pPr>
        <w:jc w:val="both"/>
        <w:ind w:firstLine="434"/>
        <w:spacing w:after="0" w:line="267" w:lineRule="auto"/>
        <w:tabs>
          <w:tab w:leader="none" w:pos="8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Disclosures</w:t>
      </w:r>
      <w:r>
        <w:rPr>
          <w:rFonts w:ascii="Times New Roman" w:cs="Times New Roman" w:eastAsia="Times New Roman" w:hAnsi="Times New Roman"/>
          <w:sz w:val="18"/>
          <w:szCs w:val="18"/>
          <w:color w:val="auto"/>
        </w:rPr>
        <w:t>. Either party may disclose the existence of this agreement, but unless otherwise permitted under section 4(d) of this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neither party may disclose the terms of this agreement. Moreover, neither party may issue an independent press release or make any other public announcement, whether written, oral or otherwise, with respect to this agreement without the prior written consent of the other party.</w:t>
      </w:r>
    </w:p>
    <w:p>
      <w:pPr>
        <w:spacing w:after="0" w:line="200" w:lineRule="exact"/>
        <w:rPr>
          <w:rFonts w:ascii="Times New Roman" w:cs="Times New Roman" w:eastAsia="Times New Roman" w:hAnsi="Times New Roman"/>
          <w:sz w:val="18"/>
          <w:szCs w:val="18"/>
          <w:color w:val="auto"/>
        </w:rPr>
      </w:pPr>
    </w:p>
    <w:p>
      <w:pPr>
        <w:jc w:val="both"/>
        <w:ind w:firstLine="426"/>
        <w:spacing w:after="0" w:line="257" w:lineRule="auto"/>
        <w:tabs>
          <w:tab w:leader="none" w:pos="86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 Agreement</w:t>
      </w:r>
      <w:r>
        <w:rPr>
          <w:rFonts w:ascii="Times New Roman" w:cs="Times New Roman" w:eastAsia="Times New Roman" w:hAnsi="Times New Roman"/>
          <w:sz w:val="18"/>
          <w:szCs w:val="18"/>
          <w:color w:val="auto"/>
        </w:rPr>
        <w:t>. This agreement constitutes the entire agreement and understanding between Visa and USAT with respect to their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set forth herein, and there are no other agreements, representations, warranties, or understandings between Visa and USAT with respect to such subject matter. Any change to this agreement must be in writing and signed by an authorized representative of each party. To the extent that any other agreement, written or verbal, appears to exist between the parties with respect to the subject matter hereof, this agreement supersedes any such agreement. All schedules annexed hereto or referred to herein are hereby incorporated in and made a part of this agreement. This agreement has been fully reviewed and negotiated by the parties and their respective counsel.</w:t>
      </w:r>
    </w:p>
    <w:p>
      <w:pPr>
        <w:spacing w:after="0" w:line="209" w:lineRule="exact"/>
        <w:rPr>
          <w:rFonts w:ascii="Times New Roman" w:cs="Times New Roman" w:eastAsia="Times New Roman" w:hAnsi="Times New Roman"/>
          <w:sz w:val="18"/>
          <w:szCs w:val="18"/>
          <w:color w:val="auto"/>
        </w:rPr>
      </w:pPr>
    </w:p>
    <w:p>
      <w:pPr>
        <w:jc w:val="both"/>
        <w:ind w:firstLine="430"/>
        <w:spacing w:after="0" w:line="267" w:lineRule="auto"/>
        <w:tabs>
          <w:tab w:leader="none" w:pos="8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Neither party will be liable to the other party for any loss, damage, cost, delay, or failure to perform in whole or in part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causes beyond such party’s control, including but not limited to fires, floods, storms, earthquakes, hurricanes, tornadoes, or other severe weather or climatic conditions; act of a public enemy, war, or terrorist attack, blockade, strikes, insurrections, riots, or requirements of any governmental authority.</w:t>
      </w:r>
    </w:p>
    <w:p>
      <w:pPr>
        <w:spacing w:after="0" w:line="200" w:lineRule="exact"/>
        <w:rPr>
          <w:rFonts w:ascii="Times New Roman" w:cs="Times New Roman" w:eastAsia="Times New Roman" w:hAnsi="Times New Roman"/>
          <w:sz w:val="18"/>
          <w:szCs w:val="18"/>
          <w:color w:val="auto"/>
        </w:rPr>
      </w:pPr>
    </w:p>
    <w:p>
      <w:pPr>
        <w:jc w:val="both"/>
        <w:ind w:firstLine="434"/>
        <w:spacing w:after="0" w:line="255" w:lineRule="auto"/>
        <w:tabs>
          <w:tab w:leader="none" w:pos="84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is determined to be invalid, illegal, or unenforceable, the validity, legality, and enforceability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remaining provisions of this agreement will remain in full force and effect; however if the determination of such invalidity, illegality, or unenforceability has a significant effect, in the reasonable judgment of a party (the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on the financial or commercial position of the Affected Party, the parties shall negotiate in good faith so as to replace each invalid, illegal, or unenforceable provision with a valid, legal, and enforceable provision which will, in effect, from an economic viewpoint, most nearly and fairly approach the effect of the invalid, illegal, or unenforceable provision; provided that both parties’ rights and obligations under this agreement will cease thirty calendar days after the date the Affected Party notifies the other party that it wishes to renegotiate such invalid, illegal, or unenforceable provision if the parties are unable to reach a mutually acceptable agreement within those thirty calendar days.</w:t>
      </w:r>
    </w:p>
    <w:p>
      <w:pPr>
        <w:spacing w:after="0" w:line="212" w:lineRule="exact"/>
        <w:rPr>
          <w:rFonts w:ascii="Times New Roman" w:cs="Times New Roman" w:eastAsia="Times New Roman" w:hAnsi="Times New Roman"/>
          <w:sz w:val="18"/>
          <w:szCs w:val="18"/>
          <w:color w:val="auto"/>
        </w:rPr>
      </w:pPr>
    </w:p>
    <w:p>
      <w:pPr>
        <w:ind w:right="20" w:firstLine="434"/>
        <w:spacing w:after="0" w:line="284" w:lineRule="auto"/>
        <w:tabs>
          <w:tab w:leader="none" w:pos="84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Third Party Beneficiaries</w:t>
      </w:r>
      <w:r>
        <w:rPr>
          <w:rFonts w:ascii="Times New Roman" w:cs="Times New Roman" w:eastAsia="Times New Roman" w:hAnsi="Times New Roman"/>
          <w:sz w:val="18"/>
          <w:szCs w:val="18"/>
          <w:color w:val="auto"/>
        </w:rPr>
        <w:t>. This agreement does not confer any rights or remedies upon any person or entity other than the signatories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Only signatories to this agreement have enforceable rights and remedies under this agreement.</w:t>
      </w:r>
    </w:p>
    <w:p>
      <w:pPr>
        <w:spacing w:after="0" w:line="185" w:lineRule="exact"/>
        <w:rPr>
          <w:rFonts w:ascii="Times New Roman" w:cs="Times New Roman" w:eastAsia="Times New Roman" w:hAnsi="Times New Roman"/>
          <w:sz w:val="18"/>
          <w:szCs w:val="18"/>
          <w:color w:val="auto"/>
        </w:rPr>
      </w:pPr>
    </w:p>
    <w:p>
      <w:pPr>
        <w:jc w:val="both"/>
        <w:ind w:firstLine="436"/>
        <w:spacing w:after="0" w:line="261" w:lineRule="auto"/>
        <w:tabs>
          <w:tab w:leader="none" w:pos="9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Modifications and Waivers</w:t>
      </w:r>
      <w:r>
        <w:rPr>
          <w:rFonts w:ascii="Times New Roman" w:cs="Times New Roman" w:eastAsia="Times New Roman" w:hAnsi="Times New Roman"/>
          <w:sz w:val="18"/>
          <w:szCs w:val="18"/>
          <w:color w:val="auto"/>
        </w:rPr>
        <w:t>. Any waiver of the provisions of this agreement or of a party’s rights or remedies under this agreement must be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to be effective. Failure, neglect, or delay by a party to enforce the provisions of this agreement or its rights or remedies at any time may not be construed and will not be deemed to be a waiver of such party’s rights under this agreement and will not in any way affect the validity of the whole or any part of this agreement or prejudice such party’s right to take subsequent action.</w:t>
      </w:r>
    </w:p>
    <w:p>
      <w:pPr>
        <w:spacing w:after="0" w:line="207" w:lineRule="exact"/>
        <w:rPr>
          <w:rFonts w:ascii="Times New Roman" w:cs="Times New Roman" w:eastAsia="Times New Roman" w:hAnsi="Times New Roman"/>
          <w:sz w:val="18"/>
          <w:szCs w:val="18"/>
          <w:color w:val="auto"/>
        </w:rPr>
      </w:pPr>
    </w:p>
    <w:p>
      <w:pPr>
        <w:jc w:val="both"/>
        <w:ind w:firstLine="438"/>
        <w:spacing w:after="0" w:line="261" w:lineRule="auto"/>
        <w:tabs>
          <w:tab w:leader="none" w:pos="86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counterparts, each of which will be deemed an original and all of which will constitute one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instrument. The agreement may also be signed and transmitted by email or facsimile, with such signature to be treated as an original and the document transmitted to be considered to have the same binding effect as an original signature on an original document. At the request of either party, any emailed or facsimiled document shall be re-executed in original form by the parties who signed the emailed or facsimiled document.</w:t>
      </w:r>
    </w:p>
    <w:p>
      <w:pPr>
        <w:spacing w:after="0" w:line="207" w:lineRule="exact"/>
        <w:rPr>
          <w:rFonts w:ascii="Times New Roman" w:cs="Times New Roman" w:eastAsia="Times New Roman" w:hAnsi="Times New Roman"/>
          <w:sz w:val="18"/>
          <w:szCs w:val="18"/>
          <w:color w:val="auto"/>
        </w:rPr>
      </w:pPr>
    </w:p>
    <w:p>
      <w:pPr>
        <w:ind w:firstLine="427"/>
        <w:spacing w:after="0" w:line="284" w:lineRule="auto"/>
        <w:tabs>
          <w:tab w:leader="none" w:pos="8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Signature Dates</w:t>
      </w:r>
      <w:r>
        <w:rPr>
          <w:rFonts w:ascii="Times New Roman" w:cs="Times New Roman" w:eastAsia="Times New Roman" w:hAnsi="Times New Roman"/>
          <w:sz w:val="18"/>
          <w:szCs w:val="18"/>
          <w:color w:val="auto"/>
        </w:rPr>
        <w:t>. In the event that USAT returns an executed but undated copy of this agreement to Visa, USAT authorizes Visa to insert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Visa’s receipt of the executed copy.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37" w:name="page38"/>
    <w:bookmarkEnd w:id="37"/>
    <w:p>
      <w:pPr>
        <w:jc w:val="both"/>
        <w:ind w:left="-20" w:firstLine="422"/>
        <w:spacing w:after="0" w:line="267" w:lineRule="auto"/>
        <w:tabs>
          <w:tab w:leader="none" w:pos="8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Party a Drafter; Titles and Subtitles</w:t>
      </w:r>
      <w:r>
        <w:rPr>
          <w:rFonts w:ascii="Times New Roman" w:cs="Times New Roman" w:eastAsia="Times New Roman" w:hAnsi="Times New Roman"/>
          <w:sz w:val="18"/>
          <w:szCs w:val="18"/>
          <w:color w:val="auto"/>
        </w:rPr>
        <w:t>. No party will be considered to be the drafter of this agreement or any provision hereof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statute, case law, or rule of interpretation or construction that would or might cause any provision to be construed against the drafter hereof. The titles and subtitles used in this agreement are for convenience only and are not to be considered in construing or interpreting this agreement.</w:t>
      </w:r>
    </w:p>
    <w:p>
      <w:pPr>
        <w:spacing w:after="0" w:line="200" w:lineRule="exact"/>
        <w:rPr>
          <w:rFonts w:ascii="Times New Roman" w:cs="Times New Roman" w:eastAsia="Times New Roman" w:hAnsi="Times New Roman"/>
          <w:sz w:val="18"/>
          <w:szCs w:val="18"/>
          <w:color w:val="auto"/>
        </w:rPr>
      </w:pPr>
    </w:p>
    <w:p>
      <w:pPr>
        <w:ind w:left="840" w:hanging="438"/>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USAT is responsible for any and all taxes which may be applicable to benefit of the Promotional IRF Rates.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 of schedule 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16"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5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USAT, or USAT Customers may route any transaction initiated on a Visa Debit Card through any network enabled on such Card and nothing in this agreement requires or incents USAT to undertake any act or omission in violation of applicable law or regulation.</w:t>
      </w:r>
    </w:p>
    <w:p>
      <w:pPr>
        <w:spacing w:after="0" w:line="18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SCOPE OF INCENTIVES</w:t>
      </w:r>
      <w:r>
        <w:rPr>
          <w:rFonts w:ascii="Times New Roman" w:cs="Times New Roman" w:eastAsia="Times New Roman" w:hAnsi="Times New Roman"/>
          <w:sz w:val="18"/>
          <w:szCs w:val="18"/>
          <w:color w:val="auto"/>
        </w:rPr>
        <w:t>. ***</w:t>
      </w:r>
    </w:p>
    <w:p>
      <w:pPr>
        <w:spacing w:after="0" w:line="25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DEBIT REGULATED PROMOTIONAL IRF RATES.</w:t>
      </w:r>
    </w:p>
    <w:p>
      <w:pPr>
        <w:spacing w:after="0" w:line="256"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Incentive Quarter that begins on the Effective Date Visa will make available systematically to USAT’s Acquirer an IRF rate of ***</w:t>
      </w:r>
    </w:p>
    <w:p>
      <w:pPr>
        <w:spacing w:after="0" w:line="27" w:lineRule="exact"/>
        <w:rPr>
          <w:rFonts w:ascii="Times New Roman" w:cs="Times New Roman" w:eastAsia="Times New Roman" w:hAnsi="Times New Roman"/>
          <w:sz w:val="18"/>
          <w:szCs w:val="18"/>
          <w:color w:val="auto"/>
        </w:rPr>
      </w:pPr>
    </w:p>
    <w:p>
      <w:pPr>
        <w:jc w:val="both"/>
        <w:ind w:left="1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(capped at $0.21 plus the then-current Fraud-Prevention Adjustment) (the “</w:t>
      </w:r>
      <w:r>
        <w:rPr>
          <w:rFonts w:ascii="Times New Roman" w:cs="Times New Roman" w:eastAsia="Times New Roman" w:hAnsi="Times New Roman"/>
          <w:sz w:val="18"/>
          <w:szCs w:val="18"/>
          <w:b w:val="1"/>
          <w:bCs w:val="1"/>
          <w:color w:val="auto"/>
        </w:rPr>
        <w:t>Visa Debit Regulated Promotional IRF Rate</w:t>
      </w:r>
      <w:r>
        <w:rPr>
          <w:rFonts w:ascii="Times New Roman" w:cs="Times New Roman" w:eastAsia="Times New Roman" w:hAnsi="Times New Roman"/>
          <w:sz w:val="18"/>
          <w:szCs w:val="18"/>
          <w:color w:val="auto"/>
        </w:rPr>
        <w:t>”) for each CPS-qualified consumer, face-to-face Regulated Visa Debit Transaction originated at a Included Merchant Location, ***, and routed for authorization, clearing, and settlement through *** (the “</w:t>
      </w:r>
      <w:r>
        <w:rPr>
          <w:rFonts w:ascii="Times New Roman" w:cs="Times New Roman" w:eastAsia="Times New Roman" w:hAnsi="Times New Roman"/>
          <w:sz w:val="18"/>
          <w:szCs w:val="18"/>
          <w:b w:val="1"/>
          <w:bCs w:val="1"/>
          <w:color w:val="auto"/>
        </w:rPr>
        <w:t>Eligible Visa Debit Regulated Transactions</w:t>
      </w:r>
      <w:r>
        <w:rPr>
          <w:rFonts w:ascii="Times New Roman" w:cs="Times New Roman" w:eastAsia="Times New Roman" w:hAnsi="Times New Roman"/>
          <w:sz w:val="18"/>
          <w:szCs w:val="18"/>
          <w:color w:val="auto"/>
        </w:rPr>
        <w:t>”).</w:t>
      </w:r>
    </w:p>
    <w:p>
      <w:pPr>
        <w:spacing w:after="0" w:line="209" w:lineRule="exact"/>
        <w:rPr>
          <w:rFonts w:ascii="Times New Roman" w:cs="Times New Roman" w:eastAsia="Times New Roman" w:hAnsi="Times New Roman"/>
          <w:sz w:val="18"/>
          <w:szCs w:val="18"/>
          <w:color w:val="auto"/>
        </w:rPr>
      </w:pPr>
    </w:p>
    <w:p>
      <w:pPr>
        <w:jc w:val="both"/>
        <w:ind w:left="1140" w:hanging="484"/>
        <w:spacing w:after="0" w:line="262" w:lineRule="auto"/>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Furthermore</w:t>
      </w:r>
      <w:r>
        <w:rPr>
          <w:rFonts w:ascii="Times New Roman" w:cs="Times New Roman" w:eastAsia="Times New Roman" w:hAnsi="Times New Roman"/>
          <w:sz w:val="18"/>
          <w:szCs w:val="18"/>
          <w:color w:val="auto"/>
        </w:rPr>
        <w:t>, subject to schedule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ten calendar days of the end of any Incentive Quarter Visa receives from USAT the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Debit Certification in the form attached hereto as Rider 1 (the “</w:t>
      </w:r>
      <w:r>
        <w:rPr>
          <w:rFonts w:ascii="Times New Roman" w:cs="Times New Roman" w:eastAsia="Times New Roman" w:hAnsi="Times New Roman"/>
          <w:sz w:val="18"/>
          <w:szCs w:val="18"/>
          <w:b w:val="1"/>
          <w:bCs w:val="1"/>
          <w:color w:val="auto"/>
        </w:rPr>
        <w:t>Quarterly Regulated Debit Certification</w:t>
      </w:r>
      <w:r>
        <w:rPr>
          <w:rFonts w:ascii="Times New Roman" w:cs="Times New Roman" w:eastAsia="Times New Roman" w:hAnsi="Times New Roman"/>
          <w:sz w:val="18"/>
          <w:szCs w:val="18"/>
          <w:color w:val="auto"/>
        </w:rPr>
        <w:t xml:space="preserve">”) for such Incentive Quarter, </w:t>
      </w:r>
      <w:r>
        <w:rPr>
          <w:rFonts w:ascii="Times New Roman" w:cs="Times New Roman" w:eastAsia="Times New Roman" w:hAnsi="Times New Roman"/>
          <w:sz w:val="18"/>
          <w:szCs w:val="18"/>
          <w:b w:val="1"/>
          <w:bCs w:val="1"/>
          <w:u w:val="single" w:color="auto"/>
          <w:color w:val="auto"/>
        </w:rPr>
        <w:t>then</w:t>
      </w:r>
      <w:r>
        <w:rPr>
          <w:rFonts w:ascii="Times New Roman" w:cs="Times New Roman" w:eastAsia="Times New Roman" w:hAnsi="Times New Roman"/>
          <w:sz w:val="18"/>
          <w:szCs w:val="18"/>
          <w:color w:val="auto"/>
        </w:rPr>
        <w:t xml:space="preserve"> Visa will continue to make available systematically to USAT’s Acquirer the Visa Debit Regulated Promotional IRF Rate for the Eligible Visa Debit Regulated Transactions originated during the immediately following Incentive Quarter.</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56" w:lineRule="auto"/>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However</w:t>
      </w:r>
      <w:r>
        <w:rPr>
          <w:rFonts w:ascii="Times New Roman" w:cs="Times New Roman" w:eastAsia="Times New Roman" w:hAnsi="Times New Roman"/>
          <w:sz w:val="18"/>
          <w:szCs w:val="18"/>
          <w:color w:val="auto"/>
        </w:rPr>
        <w:t>, subject to schedule C, if Visa does not receive a Quarterly Regulated Debit Certification within ten calendar days of the end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Quarter, then Visa may at its sole discretion, upon ten calendar days’ written notice to USAT, stop making available systematically the Visa Debit Regulated Promotional IRF Rate to USAT’s Acquirer for the Eligible Visa Debit Regulated Transactions originated during all of the Incentive Quarters that follow; but if later Visa receives a Quarterly Regulated Debit Certification within ten calendar days of an Incentive Quarter, then Visa may at its sole discretion, within forty-five calendar days of the end of such Incentive Quarter, begin to again make available systematically the Visa Debit Regulated Promotional IRF Rate to USAT’s Acquirer for the Eligible Visa Debit Regulated Transactions.</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DEBIT NON-REGULATED PROMOTIONAL IRF RATES.</w:t>
      </w:r>
    </w:p>
    <w:p>
      <w:pPr>
        <w:spacing w:after="0" w:line="256" w:lineRule="exact"/>
        <w:rPr>
          <w:rFonts w:ascii="Times New Roman" w:cs="Times New Roman" w:eastAsia="Times New Roman" w:hAnsi="Times New Roman"/>
          <w:sz w:val="18"/>
          <w:szCs w:val="18"/>
          <w:b w:val="1"/>
          <w:bCs w:val="1"/>
          <w:color w:val="auto"/>
        </w:rPr>
      </w:pPr>
    </w:p>
    <w:p>
      <w:pPr>
        <w:jc w:val="both"/>
        <w:ind w:left="1140" w:hanging="484"/>
        <w:spacing w:after="0" w:line="261" w:lineRule="auto"/>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Incentive Quarter that begins on the Effective Date, Visa will make available systematically to USAT’s Acquirer a promotional IRF rate of *** (the “</w:t>
      </w:r>
      <w:r>
        <w:rPr>
          <w:rFonts w:ascii="Times New Roman" w:cs="Times New Roman" w:eastAsia="Times New Roman" w:hAnsi="Times New Roman"/>
          <w:sz w:val="18"/>
          <w:szCs w:val="18"/>
          <w:b w:val="1"/>
          <w:bCs w:val="1"/>
          <w:color w:val="auto"/>
        </w:rPr>
        <w:t>Non-Regulated Debit Promotional IRF Rate</w:t>
      </w:r>
      <w:r>
        <w:rPr>
          <w:rFonts w:ascii="Times New Roman" w:cs="Times New Roman" w:eastAsia="Times New Roman" w:hAnsi="Times New Roman"/>
          <w:sz w:val="18"/>
          <w:szCs w:val="18"/>
          <w:color w:val="auto"/>
        </w:rPr>
        <w:t>”) for each CPS-qualified consumer, face-to-face Non-Regulated Visa Debit Transaction originated at the Included Merchant Locations, ***, and routed for authorization, clearing, and settlement through *** (the “</w:t>
      </w:r>
      <w:r>
        <w:rPr>
          <w:rFonts w:ascii="Times New Roman" w:cs="Times New Roman" w:eastAsia="Times New Roman" w:hAnsi="Times New Roman"/>
          <w:sz w:val="18"/>
          <w:szCs w:val="18"/>
          <w:b w:val="1"/>
          <w:bCs w:val="1"/>
          <w:color w:val="auto"/>
        </w:rPr>
        <w:t>Eligible Visa Debit Non-Regulated Transactions</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subject to schedule C, if within ten calendar days of the end of each Incentive Quarter Visa receives from USAT the Quarterly Non-Regulated Debit Certification in the form attached hereto as Rider 2 (the “</w:t>
      </w:r>
      <w:r>
        <w:rPr>
          <w:rFonts w:ascii="Times New Roman" w:cs="Times New Roman" w:eastAsia="Times New Roman" w:hAnsi="Times New Roman"/>
          <w:sz w:val="18"/>
          <w:szCs w:val="18"/>
          <w:b w:val="1"/>
          <w:bCs w:val="1"/>
          <w:color w:val="auto"/>
        </w:rPr>
        <w:t>Quarterly Non-Regulated Debit Certification</w:t>
      </w:r>
      <w:r>
        <w:rPr>
          <w:rFonts w:ascii="Times New Roman" w:cs="Times New Roman" w:eastAsia="Times New Roman" w:hAnsi="Times New Roman"/>
          <w:sz w:val="18"/>
          <w:szCs w:val="18"/>
          <w:color w:val="auto"/>
        </w:rPr>
        <w:t>”) for the just completed Incentive Quarter, then Visa will continue to make available systematically to USAT’s Acquirer the Non-Regulated Debit Promotional IRF Rate for the Eligible Visa Debit Non-Regulated Transactions originated during the immediately following Incentive Quarter.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39" w:name="page40"/>
    <w:bookmarkEnd w:id="39"/>
    <w:p>
      <w:pPr>
        <w:jc w:val="both"/>
        <w:ind w:left="1140" w:hanging="484"/>
        <w:spacing w:after="0" w:line="255" w:lineRule="auto"/>
        <w:tabs>
          <w:tab w:leader="none" w:pos="11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subject to schedule C, if Visa does not receive a Quarterly Non-Regulated Debit Certification within ten calendar days of the end of an Incentive Quarter, then Visa may at its sole discretion, upon ten calendar days’ written notice to USAT, stop making available systematically the Non-Regulated Debit Promotional IRF Rate to USAT’s Acquirer for the Eligible Visa Debit Non-Regulated Transactions originated during all of the Incentive Quarters that follow; but if later Visa receives a Quarterly Non-Regulated Debit Certification within ten calendar days of the end of the applicable Incentive Quarter, then Visa may at its sole discretion, within forty-five calendar days of the end of such Incentive Quarter, begin to again make available systematically the Non-Regulated Debit Promotional IRF Rate to USAT’s Acquirer for the Eligible Visa Debit Non-Regulated Transactions.</w:t>
      </w:r>
    </w:p>
    <w:p>
      <w:pPr>
        <w:spacing w:after="0" w:line="21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PROMOTIONAL IRF RATES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1140" w:hanging="484"/>
        <w:spacing w:after="0" w:line="261"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Incentive Quarter that begins on the Effective Date, Visa will make available systematically to USAT’s Acquirer a promotional IRF rate of *** (the “</w:t>
      </w:r>
      <w:r>
        <w:rPr>
          <w:rFonts w:ascii="Times New Roman" w:cs="Times New Roman" w:eastAsia="Times New Roman" w:hAnsi="Times New Roman"/>
          <w:sz w:val="18"/>
          <w:szCs w:val="18"/>
          <w:b w:val="1"/>
          <w:bCs w:val="1"/>
          <w:color w:val="auto"/>
        </w:rPr>
        <w:t>Credit Promotional IRF Rate</w:t>
      </w:r>
      <w:r>
        <w:rPr>
          <w:rFonts w:ascii="Times New Roman" w:cs="Times New Roman" w:eastAsia="Times New Roman" w:hAnsi="Times New Roman"/>
          <w:sz w:val="18"/>
          <w:szCs w:val="18"/>
          <w:color w:val="auto"/>
        </w:rPr>
        <w:t>”) for each CPS-qualified consumer, face-to-face Visa Credit Transaction originated at the Included Merchant Locations, ***, and routed for authorization, clearing, and settlement through *** (the “</w:t>
      </w:r>
      <w:r>
        <w:rPr>
          <w:rFonts w:ascii="Times New Roman" w:cs="Times New Roman" w:eastAsia="Times New Roman" w:hAnsi="Times New Roman"/>
          <w:sz w:val="18"/>
          <w:szCs w:val="18"/>
          <w:b w:val="1"/>
          <w:bCs w:val="1"/>
          <w:color w:val="auto"/>
        </w:rPr>
        <w:t>Eligible Visa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subject to schedule C, if within ten calendar days of any Incentive Quarter Visa receives from USAT the Quarterly Credit Certification in the form attached hereto as Rider 3 (the “</w:t>
      </w:r>
      <w:r>
        <w:rPr>
          <w:rFonts w:ascii="Times New Roman" w:cs="Times New Roman" w:eastAsia="Times New Roman" w:hAnsi="Times New Roman"/>
          <w:sz w:val="18"/>
          <w:szCs w:val="18"/>
          <w:b w:val="1"/>
          <w:bCs w:val="1"/>
          <w:color w:val="auto"/>
        </w:rPr>
        <w:t>Quarterly Credit Certification</w:t>
      </w:r>
      <w:r>
        <w:rPr>
          <w:rFonts w:ascii="Times New Roman" w:cs="Times New Roman" w:eastAsia="Times New Roman" w:hAnsi="Times New Roman"/>
          <w:sz w:val="18"/>
          <w:szCs w:val="18"/>
          <w:color w:val="auto"/>
        </w:rPr>
        <w:t>”) for such Incentive Quarter, then Visa will continue to make available systematically to USAT’s Acquirer the Credit Promotional IRF Rate for the Eligible Visa Credit Transactions originated during the immediately following Incentive Quarter.</w:t>
      </w:r>
    </w:p>
    <w:p>
      <w:pPr>
        <w:spacing w:after="0" w:line="207" w:lineRule="exact"/>
        <w:rPr>
          <w:rFonts w:ascii="Times New Roman" w:cs="Times New Roman" w:eastAsia="Times New Roman" w:hAnsi="Times New Roman"/>
          <w:sz w:val="18"/>
          <w:szCs w:val="18"/>
          <w:color w:val="auto"/>
        </w:rPr>
      </w:pPr>
    </w:p>
    <w:p>
      <w:pPr>
        <w:jc w:val="both"/>
        <w:ind w:left="1140" w:hanging="484"/>
        <w:spacing w:after="0" w:line="256"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subject to schedule C, if Visa does not receive a Quarterly Credit Certification within ten calendar days of the end of an Incentive Quarter, then Visa may at its sole discretion, upon ten calendar days’ written notice to USAT, stop making available systematically the Visa Credit Promotional IRF Rate to USAT’s Acquirer for the Eligible Visa Credit Transactions originated during all of the Incentive Quarters that follow; but if later Visa receives a Quarterly Credit Certification within ten calendar days of the end of the applicable Incentive Quarter, then Visa may at its sole discretion, within forty-five calendar days of the end of such Incentive Quarter, begin to again make available systematically the Credit Promotional IRF Rate to USAT’s Acquirer for the Eligible Visa Credit Transactions.</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UNATTENDED DEBIT PROMOTIONAL IRF RATES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1140" w:hanging="484"/>
        <w:spacing w:after="0" w:line="256"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Incentive Quarter that begins on the Effective Date, Visa will make available systematically to USAT’s Acquirer a promotional IRF of *** (capped at $0.21 plus the then-current Fraud-Prevention Adjustment) (the “</w:t>
      </w:r>
      <w:r>
        <w:rPr>
          <w:rFonts w:ascii="Times New Roman" w:cs="Times New Roman" w:eastAsia="Times New Roman" w:hAnsi="Times New Roman"/>
          <w:sz w:val="18"/>
          <w:szCs w:val="18"/>
          <w:b w:val="1"/>
          <w:bCs w:val="1"/>
          <w:color w:val="auto"/>
        </w:rPr>
        <w:t>Unattended Debit Promotional IRF Rate</w:t>
      </w:r>
      <w:r>
        <w:rPr>
          <w:rFonts w:ascii="Times New Roman" w:cs="Times New Roman" w:eastAsia="Times New Roman" w:hAnsi="Times New Roman"/>
          <w:sz w:val="18"/>
          <w:szCs w:val="18"/>
          <w:color w:val="auto"/>
        </w:rPr>
        <w:t>”) for each CPS-qualified consumer, face-to-face Regulated Visa Debit Transaction originated at the Included Merchant Locations, excluding any Regulated Visa Debit Transaction that was***, and routed for authorization, clearing, and settlement through *** (the “</w:t>
      </w:r>
      <w:r>
        <w:rPr>
          <w:rFonts w:ascii="Times New Roman" w:cs="Times New Roman" w:eastAsia="Times New Roman" w:hAnsi="Times New Roman"/>
          <w:sz w:val="18"/>
          <w:szCs w:val="18"/>
          <w:b w:val="1"/>
          <w:bCs w:val="1"/>
          <w:color w:val="auto"/>
        </w:rPr>
        <w:t>Eligible Unattended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Visa Debit Transactions</w:t>
      </w:r>
      <w:r>
        <w:rPr>
          <w:rFonts w:ascii="Times New Roman" w:cs="Times New Roman" w:eastAsia="Times New Roman" w:hAnsi="Times New Roman"/>
          <w:sz w:val="18"/>
          <w:szCs w:val="18"/>
          <w:color w:val="auto"/>
        </w:rPr>
        <w:t>” and collectively with the Eligible Visa Debit Regulated Transactions, the Eligible Visa Debit Non-Regulated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and the Eligible Visa Credit Transactions, the “</w:t>
      </w:r>
      <w:r>
        <w:rPr>
          <w:rFonts w:ascii="Times New Roman" w:cs="Times New Roman" w:eastAsia="Times New Roman" w:hAnsi="Times New Roman"/>
          <w:sz w:val="18"/>
          <w:szCs w:val="18"/>
          <w:b w:val="1"/>
          <w:bCs w:val="1"/>
          <w:color w:val="auto"/>
        </w:rPr>
        <w:t>Eligible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jc w:val="both"/>
        <w:ind w:left="1140" w:hanging="484"/>
        <w:spacing w:after="0" w:line="258"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subject to schedule C, if within ten calendar days of the end of each Incentive Quarter Visa receives from USAT the Quarterly Unattended Regulated Debit Certification in the form attached hereto as Rider 4 (the “</w:t>
      </w:r>
      <w:r>
        <w:rPr>
          <w:rFonts w:ascii="Times New Roman" w:cs="Times New Roman" w:eastAsia="Times New Roman" w:hAnsi="Times New Roman"/>
          <w:sz w:val="18"/>
          <w:szCs w:val="18"/>
          <w:b w:val="1"/>
          <w:bCs w:val="1"/>
          <w:color w:val="auto"/>
        </w:rPr>
        <w:t>Quarterly Unattended Regulated Debit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18"/>
          <w:szCs w:val="18"/>
          <w:color w:val="auto"/>
        </w:rPr>
        <w:t>”) for the just completed Incentive Quarter, then Visa will continue to make available systematically to USAT’s Acquirer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Unattended Debit Promotional IRF Rate for the Eligible Unattended Visa Debit Transactions originated during the immediately following Incentive Quarter.</w:t>
      </w:r>
    </w:p>
    <w:p>
      <w:pPr>
        <w:spacing w:after="0" w:line="210" w:lineRule="exact"/>
        <w:rPr>
          <w:rFonts w:ascii="Times New Roman" w:cs="Times New Roman" w:eastAsia="Times New Roman" w:hAnsi="Times New Roman"/>
          <w:sz w:val="18"/>
          <w:szCs w:val="18"/>
          <w:color w:val="auto"/>
        </w:rPr>
      </w:pPr>
    </w:p>
    <w:p>
      <w:pPr>
        <w:jc w:val="both"/>
        <w:ind w:left="1140" w:hanging="484"/>
        <w:spacing w:after="0" w:line="255"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subject to schedule C, if Visa does not receive a Quarterly Unattended Regulated Debit Certification within ten calendar days of the end of an Incentive Quarter, then Visa may at its sole discretion, upon ten calendar days’ written notice to USAT, stop making available systematically the Unattended Debit Promotional IRF Rate to USAT’s Acquirer for the Eligible Unattended Visa Debit Transactions originated during all of the Incentive Quarters that follow; but if later Visa receives a Quarterly Unattended Regulated Debit Certification within ten calendar days of the end of the applicable Incentive Quarter, then Visa may at its sole discretion, within forty-five calendar days of the end of such Incentive Quarter, begin to again make available systematically the Unattended Debit Promotional IRF Rate to USAT’s Acquirer for the Eligible Unattended Visa Debit Transactions.</w:t>
      </w:r>
    </w:p>
    <w:p>
      <w:pPr>
        <w:spacing w:after="0" w:line="21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EXISTING AGREEMENT. </w:t>
      </w:r>
      <w:r>
        <w:rPr>
          <w:rFonts w:ascii="Times New Roman" w:cs="Times New Roman" w:eastAsia="Times New Roman" w:hAnsi="Times New Roman"/>
          <w:sz w:val="18"/>
          <w:szCs w:val="18"/>
          <w:color w:val="auto"/>
        </w:rPr>
        <w:t>Visa and USAT previously entered into a Visa U.S.A. Inc. Visa Promotional Agreement effective as of October 12,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by that First Amendment to the Visa U.S.A. Inc. Visa Promotional Agreement on October 14, 2012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Visa and USAT agree that the Prior Agreement will be terminated in its entirety as of the Effective Date (defined on the cover page of this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 of schedule B]</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1" w:name="page42"/>
    <w:bookmarkEnd w:id="4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52" w:lineRule="exact"/>
        <w:rPr>
          <w:sz w:val="20"/>
          <w:szCs w:val="20"/>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USAT PARTICIPATION REQUIREMENTS.</w:t>
      </w:r>
    </w:p>
    <w:p>
      <w:pPr>
        <w:spacing w:after="0" w:line="252" w:lineRule="exact"/>
        <w:rPr>
          <w:rFonts w:ascii="Times New Roman" w:cs="Times New Roman" w:eastAsia="Times New Roman" w:hAnsi="Times New Roman"/>
          <w:sz w:val="18"/>
          <w:szCs w:val="18"/>
          <w:b w:val="1"/>
          <w:bCs w:val="1"/>
          <w:color w:val="auto"/>
        </w:rPr>
      </w:pPr>
    </w:p>
    <w:p>
      <w:pPr>
        <w:ind w:left="32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Visa will make available systematically to USAT’s Acquirer the Promotional IRF Rates </w:t>
      </w:r>
      <w:r>
        <w:rPr>
          <w:rFonts w:ascii="Times New Roman" w:cs="Times New Roman" w:eastAsia="Times New Roman" w:hAnsi="Times New Roman"/>
          <w:sz w:val="18"/>
          <w:szCs w:val="18"/>
          <w:b w:val="1"/>
          <w:bCs w:val="1"/>
          <w:color w:val="auto"/>
        </w:rPr>
        <w:t>only if</w:t>
      </w:r>
      <w:r>
        <w:rPr>
          <w:rFonts w:ascii="Times New Roman" w:cs="Times New Roman" w:eastAsia="Times New Roman" w:hAnsi="Times New Roman"/>
          <w:sz w:val="18"/>
          <w:szCs w:val="18"/>
          <w:color w:val="auto"/>
        </w:rPr>
        <w:t xml:space="preserve"> USAT complies at all times during the Term with all of the requirements in subsections (i) through (ii) of this section A of schedule C (the “</w:t>
      </w:r>
      <w:r>
        <w:rPr>
          <w:rFonts w:ascii="Times New Roman" w:cs="Times New Roman" w:eastAsia="Times New Roman" w:hAnsi="Times New Roman"/>
          <w:sz w:val="18"/>
          <w:szCs w:val="18"/>
          <w:b w:val="1"/>
          <w:bCs w:val="1"/>
          <w:color w:val="auto"/>
        </w:rPr>
        <w:t>USAT Participation Requirements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jc w:val="both"/>
        <w:ind w:left="648" w:hanging="324"/>
        <w:spacing w:after="0" w:line="268"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calendar days of the end of each Incentive Quarter, USAT shall provide Visa with a written certification (“</w:t>
      </w:r>
      <w:r>
        <w:rPr>
          <w:rFonts w:ascii="Times New Roman" w:cs="Times New Roman" w:eastAsia="Times New Roman" w:hAnsi="Times New Roman"/>
          <w:sz w:val="18"/>
          <w:szCs w:val="18"/>
          <w:b w:val="1"/>
          <w:bCs w:val="1"/>
          <w:color w:val="auto"/>
        </w:rPr>
        <w:t>Quarterly USAT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18"/>
          <w:szCs w:val="18"/>
          <w:color w:val="auto"/>
        </w:rPr>
        <w:t>”) addressed to Visa, signed by an officer of USAT, and on USAT letterhead that must include all of the following certifications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apply to such Incentive Quarter:</w:t>
      </w:r>
    </w:p>
    <w:p>
      <w:pPr>
        <w:spacing w:after="0" w:line="201" w:lineRule="exact"/>
        <w:rPr>
          <w:rFonts w:ascii="Times New Roman" w:cs="Times New Roman" w:eastAsia="Times New Roman" w:hAnsi="Times New Roman"/>
          <w:sz w:val="18"/>
          <w:szCs w:val="18"/>
          <w:color w:val="auto"/>
        </w:rPr>
      </w:pPr>
    </w:p>
    <w:p>
      <w:pPr>
        <w:ind w:left="1288" w:hanging="315"/>
        <w:spacing w:after="0" w:line="282" w:lineRule="auto"/>
        <w:tabs>
          <w:tab w:leader="none" w:pos="1288"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USAT has only passed on, or authorized USAT’s Acquirer to pass on, the benefits of the Promotional IRF Rates during such Incentive Quarter;</w:t>
      </w:r>
    </w:p>
    <w:p>
      <w:pPr>
        <w:spacing w:after="0" w:line="188" w:lineRule="exact"/>
        <w:rPr>
          <w:rFonts w:ascii="Times New Roman" w:cs="Times New Roman" w:eastAsia="Times New Roman" w:hAnsi="Times New Roman"/>
          <w:sz w:val="18"/>
          <w:szCs w:val="18"/>
          <w:color w:val="auto"/>
        </w:rPr>
      </w:pPr>
    </w:p>
    <w:p>
      <w:pPr>
        <w:ind w:left="1288" w:hanging="315"/>
        <w:spacing w:after="0" w:line="282" w:lineRule="auto"/>
        <w:tabs>
          <w:tab w:leader="none" w:pos="1288"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USAT shall include a complete list of all of Included Merchant Locations during the Incentive Quarter and the date in which USAT or USAT’s Acquirer began passing on the benefits of the Promotional IRF Rates;</w:t>
      </w:r>
    </w:p>
    <w:p>
      <w:pPr>
        <w:spacing w:after="0" w:line="188" w:lineRule="exact"/>
        <w:rPr>
          <w:rFonts w:ascii="Times New Roman" w:cs="Times New Roman" w:eastAsia="Times New Roman" w:hAnsi="Times New Roman"/>
          <w:sz w:val="18"/>
          <w:szCs w:val="18"/>
          <w:color w:val="auto"/>
        </w:rPr>
      </w:pPr>
    </w:p>
    <w:p>
      <w:pPr>
        <w:ind w:left="1288" w:right="20" w:hanging="315"/>
        <w:spacing w:after="0" w:line="282" w:lineRule="auto"/>
        <w:tabs>
          <w:tab w:leader="none" w:pos="1288"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that USAT has included the appropriate and unique MVV applicable to each of the Eligible Transactions generated during the Incentive Quarter.</w:t>
      </w:r>
    </w:p>
    <w:p>
      <w:pPr>
        <w:spacing w:after="0" w:line="188" w:lineRule="exact"/>
        <w:rPr>
          <w:rFonts w:ascii="Times New Roman" w:cs="Times New Roman" w:eastAsia="Times New Roman" w:hAnsi="Times New Roman"/>
          <w:sz w:val="18"/>
          <w:szCs w:val="18"/>
          <w:color w:val="auto"/>
        </w:rPr>
      </w:pPr>
    </w:p>
    <w:p>
      <w:pPr>
        <w:ind w:left="1288" w:hanging="315"/>
        <w:spacing w:after="0" w:line="282" w:lineRule="auto"/>
        <w:tabs>
          <w:tab w:leader="none" w:pos="1288"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that at least *** new Included Merchant Locations were created by USAT Customers during the Incentive Quarter and USAT must provide Visa the exact number of new Included Merchant Locations that were created during the Incentive Quarter.</w:t>
      </w:r>
    </w:p>
    <w:p>
      <w:pPr>
        <w:spacing w:after="0" w:line="188" w:lineRule="exact"/>
        <w:rPr>
          <w:rFonts w:ascii="Times New Roman" w:cs="Times New Roman" w:eastAsia="Times New Roman" w:hAnsi="Times New Roman"/>
          <w:sz w:val="18"/>
          <w:szCs w:val="18"/>
          <w:color w:val="auto"/>
        </w:rPr>
      </w:pPr>
    </w:p>
    <w:p>
      <w:pPr>
        <w:jc w:val="both"/>
        <w:ind w:left="648" w:right="20" w:hanging="324"/>
        <w:spacing w:after="0" w:line="26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USAT does not provide Visa a Quarterly USAT Certificate that includes all of the certifications listed above in section A(i) of this schedule C within thirty calendar days of the end of any Incentive Quarter during the Term, then Visa may, at its sole discretion, terminate this agreement by giving USAT at least thirty calendar days’ written notice prior to the effective date of such termination.</w:t>
      </w:r>
    </w:p>
    <w:p>
      <w:pPr>
        <w:spacing w:after="0" w:line="19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AUTHORIZATION TO PASS ON BENEFITS TO USAT CUSTOMERS.</w:t>
      </w:r>
    </w:p>
    <w:p>
      <w:pPr>
        <w:spacing w:after="0" w:line="256" w:lineRule="exact"/>
        <w:rPr>
          <w:rFonts w:ascii="Times New Roman" w:cs="Times New Roman" w:eastAsia="Times New Roman" w:hAnsi="Times New Roman"/>
          <w:sz w:val="18"/>
          <w:szCs w:val="18"/>
          <w:b w:val="1"/>
          <w:bCs w:val="1"/>
          <w:color w:val="auto"/>
        </w:rPr>
      </w:pPr>
    </w:p>
    <w:p>
      <w:pPr>
        <w:ind w:left="648" w:right="20" w:hanging="324"/>
        <w:spacing w:after="0" w:line="282"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Incentive Quarter USAT may pass on, or authorize USAT’s Acquirer to pass on, the benefit of the Promotional IRF Rates only to USAT Customers that meet all of the Merchant Participation Requirements at all times during the applicable Incentive Quarter.</w:t>
      </w:r>
    </w:p>
    <w:p>
      <w:pPr>
        <w:spacing w:after="0" w:line="184" w:lineRule="exact"/>
        <w:rPr>
          <w:rFonts w:ascii="Times New Roman" w:cs="Times New Roman" w:eastAsia="Times New Roman" w:hAnsi="Times New Roman"/>
          <w:sz w:val="18"/>
          <w:szCs w:val="18"/>
          <w:color w:val="auto"/>
        </w:rPr>
      </w:pPr>
    </w:p>
    <w:p>
      <w:pPr>
        <w:ind w:left="648" w:hanging="324"/>
        <w:spacing w:after="0" w:line="286"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during each Incentive Quarter during the Term, “</w:t>
      </w:r>
      <w:r>
        <w:rPr>
          <w:rFonts w:ascii="Times New Roman" w:cs="Times New Roman" w:eastAsia="Times New Roman" w:hAnsi="Times New Roman"/>
          <w:sz w:val="18"/>
          <w:szCs w:val="18"/>
          <w:b w:val="1"/>
          <w:bCs w:val="1"/>
          <w:color w:val="auto"/>
        </w:rPr>
        <w:t>Merchant Participation Requirements</w:t>
      </w:r>
      <w:r>
        <w:rPr>
          <w:rFonts w:ascii="Times New Roman" w:cs="Times New Roman" w:eastAsia="Times New Roman" w:hAnsi="Times New Roman"/>
          <w:sz w:val="18"/>
          <w:szCs w:val="18"/>
          <w:color w:val="auto"/>
        </w:rPr>
        <w:t>” means collectively all of the following conditions:</w:t>
      </w:r>
    </w:p>
    <w:p>
      <w:pPr>
        <w:spacing w:after="0" w:line="18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applicable Incentive Quarter all of the Included Merchant Locations must accept any and all Visa Cards.</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not be *** at any time during the applicable Incentive Quarter in respect of any of the Included Merchant Locations.</w:t>
      </w: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157" w:right="239" w:bottom="1440" w:gutter="0" w:footer="0" w:header="0"/>
        </w:sectPr>
      </w:pPr>
    </w:p>
    <w:bookmarkStart w:id="42" w:name="page43"/>
    <w:bookmarkEnd w:id="42"/>
    <w:p>
      <w:pPr>
        <w:ind w:left="968" w:hanging="320"/>
        <w:spacing w:after="0" w:line="282" w:lineRule="auto"/>
        <w:tabs>
          <w:tab w:leader="none" w:pos="96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applicable Incentive Quarter, the dollar amount of of the Transactions that originated at each of the Included Merchant Locations during such Incentive Quarter was $***.</w:t>
      </w:r>
    </w:p>
    <w:p>
      <w:pPr>
        <w:spacing w:after="0" w:line="188"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applicable Incentive Quarter, the result of *** the aggregate amount of the Volume generated at all of the Included Merchant Locations during such Incentive Quarter *** the total number of Transactions generated during that same period at each of the Included Merchant Locations must be ***.</w:t>
      </w:r>
    </w:p>
    <w:p>
      <w:pPr>
        <w:spacing w:after="0" w:line="203"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USAT Customer ceases to be in compliance with any of the Merchant Participation Requirements, USAT shall (1) notify Visa, within ten calendar days of such non-compliance, in a writing signed by an officer of USAT and on USAT letterhead and (2) immediately stop passing on the benefit of the Promotional IRF Rates to such USAT Customer.</w:t>
      </w:r>
    </w:p>
    <w:p>
      <w:pPr>
        <w:spacing w:after="0" w:line="19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AND ACKNOWLEDGEMENT REGARDING***.</w:t>
      </w:r>
    </w:p>
    <w:p>
      <w:pPr>
        <w:spacing w:after="0" w:line="252" w:lineRule="exact"/>
        <w:rPr>
          <w:rFonts w:ascii="Times New Roman" w:cs="Times New Roman" w:eastAsia="Times New Roman" w:hAnsi="Times New Roman"/>
          <w:sz w:val="18"/>
          <w:szCs w:val="18"/>
          <w:b w:val="1"/>
          <w:bCs w:val="1"/>
          <w:color w:val="auto"/>
        </w:rPr>
      </w:pPr>
    </w:p>
    <w:p>
      <w:pPr>
        <w:jc w:val="both"/>
        <w:ind w:left="648" w:hanging="324"/>
        <w:spacing w:after="0" w:line="259" w:lineRule="auto"/>
        <w:tabs>
          <w:tab w:leader="none" w:pos="6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USAT agrees and acknowledges that ***at all times during the Term is a material inducement to Visa offering and maintaining the Visa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Debit Regulated Promotional IRF Rate, and that Visa may not offer and make available the Visa Debit Regulated Promotional IRF Rate if at any time during the Term***. In the event USAT determines or becomes aware that***, USAT shall, no later than ten (10) calendar days of making such determination or having knowledge of***, cease passing on, or instruct USAT’s Acquirer to cease passing on, as applicable, the benefit of the Visa Debit Regulated Promotional IRF Rate to such USAT Customer.</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USAT agrees and acknowledges that *** at all times during the Term is a material inducement to Visa offering and maintaining the Non-Regulated Debit Promotional IRF Rate, and that Visa may not offer and make available the Non-Regulated Debit Promotional IRF Rate if at any time during the Term***. In the event USAT determines or becomes aware that***, USAT shall, no later than ten (10) calendar days of making such determination or having knowledge of***, cease passing on, or instruct USAT’s Acquirer to cease passing on, as applicable, the benefit of the Non-Regulated Debit Promotional IRF Rate to such Included Merchant Location.</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USAT agrees and acknowledges that ***at all times during the Term is a material inducement to Visa offering and maintaining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Promotional IRF Rate, and that Visa may not offer and make available the Credit Promotional IRF Rate if at any time during the Term***. In the event USAT determines or becomes aware that***, USAT shall, no later than ten (10) calendar days of making such determination or having knowledge of***, cease passing on, or instruct USAT’s Acquirer to cease passing on, as applicable, the benefit of the Credit Promotional IRF Rate to such USAT Customer.</w:t>
      </w:r>
    </w:p>
    <w:p>
      <w:pPr>
        <w:spacing w:after="0" w:line="206" w:lineRule="exact"/>
        <w:rPr>
          <w:rFonts w:ascii="Times New Roman" w:cs="Times New Roman" w:eastAsia="Times New Roman" w:hAnsi="Times New Roman"/>
          <w:sz w:val="18"/>
          <w:szCs w:val="18"/>
          <w:color w:val="auto"/>
        </w:rPr>
      </w:pPr>
    </w:p>
    <w:p>
      <w:pPr>
        <w:jc w:val="both"/>
        <w:ind w:left="648" w:hanging="324"/>
        <w:spacing w:after="0" w:line="259" w:lineRule="auto"/>
        <w:tabs>
          <w:tab w:leader="none" w:pos="6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USAT agrees and acknowledges that *** at all times during the Term is a material inducement to Visa offering and maintaining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Unattended Debit Promotional IRF Rate, and that Visa may not offer and make available the Unattended Debit Promotional IRF Rate if at any time during the Term***. In the event USAT determines or becomes aware that***, USAT shall, no later than ten (10) calendar days of making such determination or having knowledge of***, cease passing on, or instruct USAT’s Acquirer to cease passing on, as applicable, the benefit of the Unattended Debit Promotional IRF Rate to such USAT Customer.</w:t>
      </w: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18" w:right="239" w:bottom="1440" w:gutter="0" w:footer="0" w:header="0"/>
        </w:sectPr>
      </w:pPr>
    </w:p>
    <w:bookmarkStart w:id="43" w:name="page44"/>
    <w:bookmarkEnd w:id="43"/>
    <w:p>
      <w:pPr>
        <w:ind w:left="328" w:hanging="328"/>
        <w:spacing w:after="0"/>
        <w:tabs>
          <w:tab w:leader="none" w:pos="32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AUDIT</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648" w:hanging="324"/>
        <w:spacing w:after="0" w:line="256" w:lineRule="auto"/>
        <w:tabs>
          <w:tab w:leader="none" w:pos="6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Visa has the right to confirm the accuracy of any Quarterly USAT Certification. Upon Visa’s request to USAT, USAT will permit Visa to work with USAT’s external auditor to examine the books and records of USAT in order to confirm the accuracy of any Quarterly USAT Certification, and USAT shall provide to Visa or USAT’s auditor any commercially reasonable information as to permit Visa to verify and confirm the assertions stated in the Quarterly USAT Certification. IF USAT’s auditor does not work with Visa in accordance with this provision, then USAT must engage with its auditor and fulfill Visa’s auditing rights under this provision. Visa’s rights in this section will survive the termination or natural expiration of the Term.</w:t>
      </w:r>
    </w:p>
    <w:p>
      <w:pPr>
        <w:spacing w:after="0" w:line="210" w:lineRule="exact"/>
        <w:rPr>
          <w:rFonts w:ascii="Times New Roman" w:cs="Times New Roman" w:eastAsia="Times New Roman" w:hAnsi="Times New Roman"/>
          <w:sz w:val="18"/>
          <w:szCs w:val="18"/>
          <w:color w:val="auto"/>
        </w:rPr>
      </w:pPr>
    </w:p>
    <w:p>
      <w:pPr>
        <w:jc w:val="both"/>
        <w:ind w:left="8" w:hanging="8"/>
        <w:spacing w:after="0" w:line="253" w:lineRule="auto"/>
        <w:tabs>
          <w:tab w:leader="none" w:pos="54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MERCHANT DISCOUNT RATE; ACQUIRER IMPLEMENTATION</w:t>
      </w:r>
      <w:r>
        <w:rPr>
          <w:rFonts w:ascii="Times New Roman" w:cs="Times New Roman" w:eastAsia="Times New Roman" w:hAnsi="Times New Roman"/>
          <w:sz w:val="18"/>
          <w:szCs w:val="18"/>
          <w:color w:val="auto"/>
        </w:rPr>
        <w:t>. USAT acknowledges and agrees that: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Visa does not set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merchant discount rate charged to USAT or to USAT Customers by the Acquirer for Visa transactions, and that such discount rate is determined entirely through a separate agreement between USAT, USAT Customers, and the Acquirer;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it is USAT’s or USAT Customers’ sole responsibility to engage with the Acquirer and negotiate its merchant discount rate and other fees related to the acceptance of Visa Cards;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it is USAT’s and USAT Customers’ sole responsibility to engage with the Acquirer to ensure the Acquirer’s systems are capable of accepting and processing the systemic application of the promotional IRF rates offered under this agreement for transactions generated at Included Merchant Locations;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in order for USAT and USAT Customers to enjoy the benefits of the promotional IRF rates offered under this agreement the Acquirer’ systems must be adjusted to be capable of accepting and processing the systemic application of the Promotional IRF Rates for transactions generated at Included Merchant Locations; and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Visa is not responsible to USAT or USAT Customers for any expenses or fees the Acquirer may assess to USAT or USAT Customers in connection with the adjustments to the Acquirer’ systems that are required in order for such systems to accept and process the systemic application of the Promotional IRF Rates offered under this agreement for transactions generated at Included Merchant Locations or for any expenses caused by a delay in the Acquirer to make any such adjustments.</w:t>
      </w:r>
    </w:p>
    <w:p>
      <w:pPr>
        <w:spacing w:after="0" w:line="217" w:lineRule="exact"/>
        <w:rPr>
          <w:rFonts w:ascii="Times New Roman" w:cs="Times New Roman" w:eastAsia="Times New Roman" w:hAnsi="Times New Roman"/>
          <w:sz w:val="18"/>
          <w:szCs w:val="18"/>
          <w:b w:val="1"/>
          <w:bCs w:val="1"/>
          <w:color w:val="auto"/>
        </w:rPr>
      </w:pPr>
    </w:p>
    <w:p>
      <w:pPr>
        <w:jc w:val="both"/>
        <w:ind w:left="8" w:hanging="8"/>
        <w:spacing w:after="0" w:line="268" w:lineRule="auto"/>
        <w:tabs>
          <w:tab w:leader="none" w:pos="32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USAT warrants and represents to Visa that USAT and each of the USAT Customers shall comply with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acceptance agreement, as amended from time to time, between itself and its Acquirer (“</w:t>
      </w:r>
      <w:r>
        <w:rPr>
          <w:rFonts w:ascii="Times New Roman" w:cs="Times New Roman" w:eastAsia="Times New Roman" w:hAnsi="Times New Roman"/>
          <w:sz w:val="18"/>
          <w:szCs w:val="18"/>
          <w:b w:val="1"/>
          <w:bCs w:val="1"/>
          <w:color w:val="auto"/>
        </w:rPr>
        <w:t>Acceptance Agreement</w:t>
      </w:r>
      <w:r>
        <w:rPr>
          <w:rFonts w:ascii="Times New Roman" w:cs="Times New Roman" w:eastAsia="Times New Roman" w:hAnsi="Times New Roman"/>
          <w:sz w:val="18"/>
          <w:szCs w:val="18"/>
          <w:color w:val="auto"/>
        </w:rPr>
        <w:t>”) that relate to the adherence to the Visa Operating Regulations.</w:t>
      </w:r>
    </w:p>
    <w:p>
      <w:pPr>
        <w:spacing w:after="0" w:line="197" w:lineRule="exact"/>
        <w:rPr>
          <w:rFonts w:ascii="Times New Roman" w:cs="Times New Roman" w:eastAsia="Times New Roman" w:hAnsi="Times New Roman"/>
          <w:sz w:val="18"/>
          <w:szCs w:val="18"/>
          <w:b w:val="1"/>
          <w:bCs w:val="1"/>
          <w:color w:val="auto"/>
        </w:rPr>
      </w:pPr>
    </w:p>
    <w:p>
      <w:pPr>
        <w:jc w:val="both"/>
        <w:ind w:left="8" w:hanging="8"/>
        <w:spacing w:after="0" w:line="262" w:lineRule="auto"/>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MERCHANT VERIFICATION VALUE</w:t>
      </w:r>
      <w:r>
        <w:rPr>
          <w:rFonts w:ascii="Times New Roman" w:cs="Times New Roman" w:eastAsia="Times New Roman" w:hAnsi="Times New Roman"/>
          <w:sz w:val="18"/>
          <w:szCs w:val="18"/>
          <w:color w:val="auto"/>
        </w:rPr>
        <w:t>. USAT acknowledges and agrees that only Visa Card transactions that: (i) are routed for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clearing, and settlement through the applicable *** at Included Merchant Locations and (ii) contain the assigned MVV and are processed by the Acquirer are eligible for the incentives described in Schedule B. Transactions that do not meet the foregoing criteria are not eligible to any of the incentives described in Schedule B.</w:t>
      </w: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14" w:right="239" w:bottom="1440" w:gutter="0" w:footer="0" w:header="0"/>
        </w:sectPr>
      </w:pPr>
    </w:p>
    <w:bookmarkStart w:id="44" w:name="page45"/>
    <w:bookmarkEnd w:id="44"/>
    <w:p>
      <w:pPr>
        <w:jc w:val="both"/>
        <w:ind w:left="8" w:hanging="8"/>
        <w:spacing w:after="0" w:line="253" w:lineRule="auto"/>
        <w:tabs>
          <w:tab w:leader="none" w:pos="37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CISP/PCI COMPLIANCE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w:t>
      </w:r>
      <w:r>
        <w:rPr>
          <w:rFonts w:ascii="Times New Roman" w:cs="Times New Roman" w:eastAsia="Times New Roman" w:hAnsi="Times New Roman"/>
          <w:sz w:val="18"/>
          <w:szCs w:val="18"/>
          <w:color w:val="auto"/>
        </w:rPr>
        <w:t>at any time during the Term, USAT and/or its service providers involved in processing, storing, transmitting,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handling any cardholder or transaction information (“</w:t>
      </w:r>
      <w:r>
        <w:rPr>
          <w:rFonts w:ascii="Times New Roman" w:cs="Times New Roman" w:eastAsia="Times New Roman" w:hAnsi="Times New Roman"/>
          <w:sz w:val="18"/>
          <w:szCs w:val="18"/>
          <w:b w:val="1"/>
          <w:bCs w:val="1"/>
          <w:color w:val="auto"/>
        </w:rPr>
        <w:t>Service Providers</w:t>
      </w:r>
      <w:r>
        <w:rPr>
          <w:rFonts w:ascii="Times New Roman" w:cs="Times New Roman" w:eastAsia="Times New Roman" w:hAnsi="Times New Roman"/>
          <w:sz w:val="18"/>
          <w:szCs w:val="18"/>
          <w:color w:val="auto"/>
        </w:rPr>
        <w:t>”) or a USAT Customer are not in compliance with the Payment Card Industry Data Security Standard in accordance with the Visa Cardholder Information Security Program (“</w:t>
      </w:r>
      <w:r>
        <w:rPr>
          <w:rFonts w:ascii="Times New Roman" w:cs="Times New Roman" w:eastAsia="Times New Roman" w:hAnsi="Times New Roman"/>
          <w:sz w:val="18"/>
          <w:szCs w:val="18"/>
          <w:b w:val="1"/>
          <w:bCs w:val="1"/>
          <w:color w:val="auto"/>
        </w:rPr>
        <w:t>CISP</w:t>
      </w:r>
      <w:r>
        <w:rPr>
          <w:rFonts w:ascii="Times New Roman" w:cs="Times New Roman" w:eastAsia="Times New Roman" w:hAnsi="Times New Roman"/>
          <w:sz w:val="18"/>
          <w:szCs w:val="18"/>
          <w:color w:val="auto"/>
        </w:rPr>
        <w:t>”) as described at www.visa.com/cisp or at a successor URL, as such standard may be amended from time to time (“</w:t>
      </w:r>
      <w:r>
        <w:rPr>
          <w:rFonts w:ascii="Times New Roman" w:cs="Times New Roman" w:eastAsia="Times New Roman" w:hAnsi="Times New Roman"/>
          <w:sz w:val="18"/>
          <w:szCs w:val="18"/>
          <w:b w:val="1"/>
          <w:bCs w:val="1"/>
          <w:color w:val="auto"/>
        </w:rPr>
        <w:t>PCI Standard</w:t>
      </w:r>
      <w:r>
        <w:rPr>
          <w:rFonts w:ascii="Times New Roman" w:cs="Times New Roman" w:eastAsia="Times New Roman" w:hAnsi="Times New Roman"/>
          <w:sz w:val="18"/>
          <w:szCs w:val="18"/>
          <w:color w:val="auto"/>
        </w:rPr>
        <w:t xml:space="preserve">”) in a material manner, </w:t>
      </w:r>
      <w:r>
        <w:rPr>
          <w:rFonts w:ascii="Times New Roman" w:cs="Times New Roman" w:eastAsia="Times New Roman" w:hAnsi="Times New Roman"/>
          <w:sz w:val="18"/>
          <w:szCs w:val="18"/>
          <w:b w:val="1"/>
          <w:bCs w:val="1"/>
          <w:color w:val="auto"/>
        </w:rPr>
        <w:t>then</w:t>
      </w:r>
      <w:r>
        <w:rPr>
          <w:rFonts w:ascii="Times New Roman" w:cs="Times New Roman" w:eastAsia="Times New Roman" w:hAnsi="Times New Roman"/>
          <w:sz w:val="18"/>
          <w:szCs w:val="18"/>
          <w:color w:val="auto"/>
        </w:rPr>
        <w:t xml:space="preserve"> Visa may at is sole discretion: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upon thirty calendar days’ written notice to USAT, suspend Visa’s obligations under schedule B;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terminate this agreement upon thirty calendar days’ written notice to USAT. In the event Visa chooses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Visa’s obligations under schedule B will be suspended with respect to transactions occurring on and after the date that is thirty calendar days following the date when USAT, a Service Provider, or a USAT Customer first failed to meet the PCI Standard in a material manner, and will not be reinstated unless and until the parties agree otherwise in a written and mutually signed amendment to this agreement. In the event Visa chooses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all of Visa’s obligations under schedule B will cease with respect to transactions occurring on and after the date that is thirty calendar days following the date when USAT, the Service Providers, or a USAT Customer first failed to meet the PCI Standard in a material manner. USAT warrants and represents to Visa that USAT, and, to its knowledge Service Providers and USAT Customers are as of the Effective Date, in compliance with the PCI Standard.</w:t>
      </w:r>
    </w:p>
    <w:p>
      <w:pPr>
        <w:spacing w:after="0" w:line="2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[End of schedule C]</w:t>
      </w:r>
    </w:p>
    <w:p>
      <w:pPr>
        <w:spacing w:after="0" w:line="200" w:lineRule="exact"/>
        <w:rPr>
          <w:sz w:val="20"/>
          <w:szCs w:val="20"/>
          <w:color w:val="auto"/>
        </w:rPr>
      </w:pPr>
    </w:p>
    <w:p>
      <w:pPr>
        <w:spacing w:after="0" w:line="27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14"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ELIGBLE MERCHANT CATEGORY CODES</w:t>
      </w:r>
    </w:p>
    <w:p>
      <w:pPr>
        <w:spacing w:after="0" w:line="2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benefit of the Promotional IRF Rates are available to, and may be passed on, only to the Included Merchant Locations with the MCC’s enumerated below (each an “</w:t>
      </w:r>
      <w:r>
        <w:rPr>
          <w:rFonts w:ascii="Times New Roman" w:cs="Times New Roman" w:eastAsia="Times New Roman" w:hAnsi="Times New Roman"/>
          <w:sz w:val="18"/>
          <w:szCs w:val="18"/>
          <w:b w:val="1"/>
          <w:bCs w:val="1"/>
          <w:color w:val="auto"/>
        </w:rPr>
        <w:t>Eligible Merchant Category Code</w:t>
      </w:r>
      <w:r>
        <w:rPr>
          <w:rFonts w:ascii="Times New Roman" w:cs="Times New Roman" w:eastAsia="Times New Roman" w:hAnsi="Times New Roman"/>
          <w:sz w:val="18"/>
          <w:szCs w:val="18"/>
          <w:color w:val="auto"/>
        </w:rPr>
        <w:t xml:space="preserve">”); and USAT must ensure that such MCC’s are assigned in accordance with the Visa Operating Regulations. At any time during the Term the parties can agree to amend this list of Eligible Merchant Category Codes to include more MCC’s that the parties wish to include under this agreement. </w:t>
      </w:r>
      <w:r>
        <w:rPr>
          <w:rFonts w:ascii="Times New Roman" w:cs="Times New Roman" w:eastAsia="Times New Roman" w:hAnsi="Times New Roman"/>
          <w:sz w:val="18"/>
          <w:szCs w:val="18"/>
          <w:b w:val="1"/>
          <w:bCs w:val="1"/>
          <w:color w:val="auto"/>
        </w:rPr>
        <w:t>In no instances will unattended *** locations with an MCC of *** or any other MCC be eligible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Benefits.</w:t>
      </w:r>
    </w:p>
    <w:p>
      <w:pPr>
        <w:spacing w:after="0" w:line="200" w:lineRule="exact"/>
        <w:rPr>
          <w:sz w:val="20"/>
          <w:szCs w:val="20"/>
          <w:color w:val="auto"/>
        </w:rPr>
      </w:pPr>
    </w:p>
    <w:p>
      <w:pPr>
        <w:spacing w:after="0" w:line="230" w:lineRule="exact"/>
        <w:rPr>
          <w:sz w:val="20"/>
          <w:szCs w:val="20"/>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[End of schedule 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Rider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 Incentive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Visa U.S.A. Inc. and USA Technologies, Inc.</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effective as of [____]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Regulated Debit 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language above in the header of this Rider 1 is only for purposes of identifying this document in the context of the Agreement.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Regulated Debit 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USA Technologies,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USAT</w:t>
      </w:r>
      <w:r>
        <w:rPr>
          <w:rFonts w:ascii="Times New Roman" w:cs="Times New Roman" w:eastAsia="Times New Roman" w:hAnsi="Times New Roman"/>
          <w:sz w:val="18"/>
          <w:szCs w:val="18"/>
          <w:color w:val="auto"/>
        </w:rPr>
        <w:t>”) confirms and certifies to Visa that, in respect of the three month period that started on [date] and concluded 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Quarter</w:t>
      </w:r>
      <w:r>
        <w:rPr>
          <w:rFonts w:ascii="Times New Roman" w:cs="Times New Roman" w:eastAsia="Times New Roman" w:hAnsi="Times New Roman"/>
          <w:sz w:val="18"/>
          <w:szCs w:val="18"/>
          <w:color w:val="auto"/>
        </w:rPr>
        <w:t>”), all of the assertions in (i) through (v) below are true, accurate, and complete for each Eligible Merchant that USAT or USAT’s Acquirer passed along the benefit of the Visa Debit Regulated Debit IRF Rate to during the Relevant Quarter:</w:t>
      </w:r>
    </w:p>
    <w:p>
      <w:pPr>
        <w:spacing w:after="0" w:line="198" w:lineRule="exact"/>
        <w:rPr>
          <w:sz w:val="20"/>
          <w:szCs w:val="20"/>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Relevant Quarter, the rate of the *** was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rate of the Visa Debit Regulated Promotional IRF Rate;</w:t>
      </w:r>
    </w:p>
    <w:p>
      <w:pPr>
        <w:spacing w:after="0" w:line="25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Quarter, all of the Included Merchant Locations accepted any and all Visa Cards;</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Included Merchant Locations are located in the Territory;</w:t>
      </w:r>
    </w:p>
    <w:p>
      <w:pPr>
        <w:spacing w:after="0" w:line="252"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 of the Regulated Visa Debit Transactions that originated at the Included Merchant Locations during the Relevant Quarter was $***; and</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 the aggregate amount of the *** volume from Regulated Visa Debit Transactions originated at all of the Included Merchant Locations during the Relevant Quarter *** the total number of Regulated Visa Debit Transactions originated during the Relevant Quarter at the Included Merchant Locations were *** than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USAT acknowledges and agrees that the*** at all of the Included Merchant Locations at all times during the Term is a material inducement to Visa offering and make systematically available to USAT and USAT’s Acquirer the Visa Debit Regulated Promotional IRF Rate, and that Visa may not offer and stop making systematically available the Visa Debit Regulated Promotional IRF Rate if at any time during the Term there is a *** at any of the Included Merchant Locations.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certify that I am responsible for preparing this certification on behalf of USAT and that USAT used commercially reasonable diligence in determining the information necessary to make the assertions and certifications contained in this document in accordance with USAT’s records and that to the best of my knowledge those assertions and certifications are true, accurate, and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be an officer of USA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8" w:name="page49"/>
    <w:bookmarkEnd w:id="48"/>
    <w:p>
      <w:pPr>
        <w:ind w:left="5440"/>
        <w:spacing w:after="0"/>
        <w:rPr>
          <w:sz w:val="20"/>
          <w:szCs w:val="20"/>
          <w:color w:val="auto"/>
        </w:rPr>
      </w:pPr>
      <w:r>
        <w:rPr>
          <w:rFonts w:ascii="Times New Roman" w:cs="Times New Roman" w:eastAsia="Times New Roman" w:hAnsi="Times New Roman"/>
          <w:sz w:val="18"/>
          <w:szCs w:val="18"/>
          <w:b w:val="1"/>
          <w:bCs w:val="1"/>
          <w:color w:val="auto"/>
        </w:rPr>
        <w:t>Rider 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 Incentive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Visa U.S.A. Inc. and USA Technologies, Inc.</w:t>
      </w:r>
    </w:p>
    <w:p>
      <w:pPr>
        <w:spacing w:after="0" w:line="2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effective as of [_____]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Non-Regulated Debit 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language above in the header of this Rider 2 is only for purposes of identifying this document in the context of the Agreement.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Non-Regulated Debit 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USA Technologies,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USAT</w:t>
      </w:r>
      <w:r>
        <w:rPr>
          <w:rFonts w:ascii="Times New Roman" w:cs="Times New Roman" w:eastAsia="Times New Roman" w:hAnsi="Times New Roman"/>
          <w:sz w:val="18"/>
          <w:szCs w:val="18"/>
          <w:color w:val="auto"/>
        </w:rPr>
        <w:t>”) confirms and certifies to Visa that, in respect of the three month period that started on [date] and concluded 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Quarter</w:t>
      </w:r>
      <w:r>
        <w:rPr>
          <w:rFonts w:ascii="Times New Roman" w:cs="Times New Roman" w:eastAsia="Times New Roman" w:hAnsi="Times New Roman"/>
          <w:sz w:val="18"/>
          <w:szCs w:val="18"/>
          <w:color w:val="auto"/>
        </w:rPr>
        <w:t>”), all of the assertions in (i) through (v) below are true, accurate, and complete for each Eligible Merchant that USAT or USAT’s Acquirer passed along the benefit of the Non-Regulated Debit Promotional IRF Rate to during the Relevant Quarter:</w:t>
      </w:r>
    </w:p>
    <w:p>
      <w:pPr>
        <w:spacing w:after="0" w:line="198" w:lineRule="exact"/>
        <w:rPr>
          <w:sz w:val="20"/>
          <w:szCs w:val="20"/>
          <w:color w:val="auto"/>
        </w:rPr>
      </w:pPr>
    </w:p>
    <w:p>
      <w:pPr>
        <w:ind w:left="820" w:hanging="488"/>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Quarter, the rate of the*** was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rate of the Non-Regulated Debit Promotional IRF Rate;</w:t>
      </w:r>
    </w:p>
    <w:p>
      <w:pPr>
        <w:spacing w:after="0" w:line="25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Quarter, all of the Included Merchant Locations accepted any and all Visa Cards;</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Included Merchant Locations are located in the Territory;</w:t>
      </w:r>
    </w:p>
    <w:p>
      <w:pPr>
        <w:spacing w:after="0" w:line="252"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 of the Non-Regulated Visa Debit Transactions originated at the Included Merchant Locations during the Relevant Quarter was $***; and</w:t>
      </w:r>
    </w:p>
    <w:p>
      <w:pPr>
        <w:spacing w:after="0" w:line="188"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 the aggregate amount of the *** volume from Non-Regulated Visa Debit Transactions generated at all of the Included Merchant Locations during the Relevant Quarter *** the total number of Non-Regulated Visa Debit Transactions generated during the Relevant Quarter at the Included Merchant Locations was *** than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USAT acknowledges and agrees that the *** at each of the Included Merchant Locations throughout the Term, is a material inducement to Visa offering and making systematically available to USAT and USAT’s Acquirer the Non-Regulated Debit Promotional IRF Rate, and that Visa may not offer and stop systematically making available the Non-Regulated Debit Promotional IRF Rate if at any time during the Term there is a*** at any of the Included Merchant Locations.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certify that I am responsible for preparing this certification on behalf of USAT and that USAT used commercially reasonable diligence in determining the information necessary to make the assertions and certifications contained in this document in accordance with USAT’s records and that to the best of my knowledge those assertions and certifications are true, accurate, and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be an officer of USA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Rider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 Incentive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Visa U.S.A. Inc. and USA Technologies, Inc.</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effective as of [____]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Credit 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language above in the header of this Rider 3 is only for purposes of identifying this document in the context of the Agreement.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Credit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USA Technologies,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USAT</w:t>
      </w:r>
      <w:r>
        <w:rPr>
          <w:rFonts w:ascii="Times New Roman" w:cs="Times New Roman" w:eastAsia="Times New Roman" w:hAnsi="Times New Roman"/>
          <w:sz w:val="18"/>
          <w:szCs w:val="18"/>
          <w:color w:val="auto"/>
        </w:rPr>
        <w:t>”) confirms and certifies to Visa in respect of the three month period that started on [date] and concluded 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Quarter</w:t>
      </w:r>
      <w:r>
        <w:rPr>
          <w:rFonts w:ascii="Times New Roman" w:cs="Times New Roman" w:eastAsia="Times New Roman" w:hAnsi="Times New Roman"/>
          <w:sz w:val="18"/>
          <w:szCs w:val="18"/>
          <w:color w:val="auto"/>
        </w:rPr>
        <w:t>”), all of the assertions in (i) through (v) below are true, accurate, and complete for each Included Merchant that USAT or USAT’s Acquirer passed along the benefit of the Credit Promotional IRF Rate to during the Relevant Quarter:</w:t>
      </w:r>
    </w:p>
    <w:p>
      <w:pPr>
        <w:spacing w:after="0" w:line="198" w:lineRule="exact"/>
        <w:rPr>
          <w:sz w:val="20"/>
          <w:szCs w:val="20"/>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Relevant Quarter, the rate of the *** was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rate of the Credit Promotional IRF Rate;</w:t>
      </w:r>
    </w:p>
    <w:p>
      <w:pPr>
        <w:spacing w:after="0" w:line="25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Quarter, all of the Included Merchant Locations accepted any and all Visa Cards;</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Included Merchant Locations are located in the Territory;</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 of the Visa Credit Transactions originated at the Included Merchant Locations during the Relevant Quarter was $***;</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3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 the aggregate amount of the *** volume from Visa Credit Transactions originated at all of the Included Merchant Locations during the Relevant Quarter *** the total number of Visa Credit Transactions originated during the Relevant Quarter at the Included Merchant Locations was *** than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USAT acknowledges and agrees that *** at each of the Included Merchant Locations throughout the Term, is a material inducement to Visa offering and systematically making available to USAT and USAT’s Acquirer the Credit Promotional IRF Rate, and that Visa may not offer and maintain the Credit Promotional IRF Rate if at any time during the Term there is a *** at any of the Included Merchant Locations.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certify that I am responsible for preparing this certification on behalf of USAT and that USAT used commercially reasonable diligence in determining the information necessary to make the assertions and certifications contained in this document in accordance with USAT’s records and that to the best of my knowledge those assertions and certifications are true, accurate, and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be an officer of USA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Rider 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USA Technologies, Inc. Incentive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Visa U.S.A. Inc. and USA Technologies, Inc.</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effective as of [____]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Unattended Regulated Debit Certification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language above in the header of this Rider 4 is only for purposes of identifying this document in the context of the Agreement.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Unattended Regulated Debit Certification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USA Technologies,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USAT</w:t>
      </w:r>
      <w:r>
        <w:rPr>
          <w:rFonts w:ascii="Times New Roman" w:cs="Times New Roman" w:eastAsia="Times New Roman" w:hAnsi="Times New Roman"/>
          <w:sz w:val="18"/>
          <w:szCs w:val="18"/>
          <w:color w:val="auto"/>
        </w:rPr>
        <w:t>”) confirms and certifies to Visa that, in respect of the three month period that started on [date] and concluded 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Quarter</w:t>
      </w:r>
      <w:r>
        <w:rPr>
          <w:rFonts w:ascii="Times New Roman" w:cs="Times New Roman" w:eastAsia="Times New Roman" w:hAnsi="Times New Roman"/>
          <w:sz w:val="18"/>
          <w:szCs w:val="18"/>
          <w:color w:val="auto"/>
        </w:rPr>
        <w:t>”), all of the assertions in (i) through (v) below are true, accurate, and complete for each Included Merchant that USAT or USAT’s Acquirer passed along the benefit of the Unattended Debit Promotional IRF Rate to during the Relevant Quarter:</w:t>
      </w:r>
    </w:p>
    <w:p>
      <w:pPr>
        <w:spacing w:after="0" w:line="198" w:lineRule="exact"/>
        <w:rPr>
          <w:sz w:val="20"/>
          <w:szCs w:val="20"/>
          <w:color w:val="auto"/>
        </w:rPr>
      </w:pPr>
    </w:p>
    <w:p>
      <w:pPr>
        <w:ind w:left="820" w:hanging="488"/>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Relevant Quarter, the rate of the *** was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rate of the Unattended Debit Promotional IRF Rate;</w:t>
      </w:r>
    </w:p>
    <w:p>
      <w:pPr>
        <w:spacing w:after="0" w:line="25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Quarter, all of the Included Merchant Locations accepted any and all Visa Cards;</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Included Merchant Locations are located in the Territory;</w:t>
      </w:r>
    </w:p>
    <w:p>
      <w:pPr>
        <w:spacing w:after="0" w:line="252"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 of the Unattended Visa Debit Transactions originated at the Included Merchant Locations during the Relevant Quarter was $***; and</w:t>
      </w:r>
    </w:p>
    <w:p>
      <w:pPr>
        <w:spacing w:after="0" w:line="188"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 the aggregate amount of the *** volume from Unattended Visa Debit Transactions originated at all of the Included Merchant Locations during the Relevant Quarter *** the total number of Unattended Visa Debit Transactions originated during the Relevant Quarter at the Included Merchant Locations was *** than $***.</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USAT acknowledges and agrees that *** at each of the Included Merchant Locations, as of the Rate Effective Date and continuing throughout the Term, is a material inducement to Visa offering and making systematically available to the Acquirer the Unattended Debit Promotional IRF Rate, and that Visa may not offer and maintain the Unattended Debit Promotional IRF Rate if at any time during the Term there is an *** at any of the Included Merchant Locations.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certify that I am responsible for preparing this certification on behalf of USAT and that USAT used commercially reasonable diligence in determining the information necessary to make the assertions and certifications contained in this document in accordance with USAT’s records and that to the best of my knowledge those assertions and certifications are true, accurate, and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be an officer of USA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24098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USA Technologies,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3" w:lineRule="exact"/>
        <w:rPr>
          <w:sz w:val="20"/>
          <w:szCs w:val="20"/>
          <w:color w:val="auto"/>
        </w:rPr>
      </w:pPr>
    </w:p>
    <w:p>
      <w:pPr>
        <w:ind w:firstLine="8"/>
        <w:spacing w:after="0" w:line="282" w:lineRule="auto"/>
        <w:tabs>
          <w:tab w:leader="none" w:pos="1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issuer’s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Herbert</w:t>
            </w:r>
          </w:p>
        </w:tc>
        <w:tc>
          <w:tcPr>
            <w:tcW w:w="3180" w:type="dxa"/>
            <w:vAlign w:val="bottom"/>
          </w:tcPr>
          <w:p>
            <w:pPr>
              <w:spacing w:after="0"/>
              <w:rPr>
                <w:sz w:val="20"/>
                <w:szCs w:val="20"/>
                <w:color w:val="auto"/>
              </w:rPr>
            </w:pPr>
          </w:p>
        </w:tc>
      </w:tr>
      <w:tr>
        <w:trPr>
          <w:trHeight w:val="191"/>
        </w:trPr>
        <w:tc>
          <w:tcPr>
            <w:tcW w:w="5960" w:type="dxa"/>
            <w:vAlign w:val="bottom"/>
          </w:tcPr>
          <w:p>
            <w:pPr>
              <w:spacing w:after="0"/>
              <w:rPr>
                <w:sz w:val="16"/>
                <w:szCs w:val="16"/>
                <w:color w:val="auto"/>
              </w:rPr>
            </w:pPr>
          </w:p>
        </w:tc>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c>
          <w:tcPr>
            <w:tcW w:w="3180" w:type="dxa"/>
            <w:vAlign w:val="bottom"/>
          </w:tcPr>
          <w:p>
            <w:pPr>
              <w:spacing w:after="0"/>
              <w:rPr>
                <w:sz w:val="16"/>
                <w:szCs w:val="16"/>
                <w:color w:val="auto"/>
              </w:rPr>
            </w:pPr>
          </w:p>
        </w:tc>
      </w:tr>
      <w:tr>
        <w:trPr>
          <w:trHeight w:val="234"/>
        </w:trPr>
        <w:tc>
          <w:tcPr>
            <w:tcW w:w="59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180" w:type="dxa"/>
            <w:vAlign w:val="bottom"/>
          </w:tcPr>
          <w:p>
            <w:pPr>
              <w:spacing w:after="0"/>
              <w:rPr>
                <w:sz w:val="20"/>
                <w:szCs w:val="20"/>
                <w:color w:val="auto"/>
              </w:rPr>
            </w:pPr>
          </w:p>
        </w:tc>
      </w:tr>
      <w:tr>
        <w:trPr>
          <w:trHeight w:val="675"/>
        </w:trPr>
        <w:tc>
          <w:tcPr>
            <w:tcW w:w="59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39"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USA Technologies,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3" w:lineRule="exact"/>
        <w:rPr>
          <w:sz w:val="20"/>
          <w:szCs w:val="20"/>
          <w:color w:val="auto"/>
        </w:rPr>
      </w:pPr>
    </w:p>
    <w:p>
      <w:pPr>
        <w:ind w:firstLine="8"/>
        <w:spacing w:after="0" w:line="282" w:lineRule="auto"/>
        <w:tabs>
          <w:tab w:leader="none" w:pos="1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issuer’s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DeMedio</w:t>
            </w:r>
          </w:p>
        </w:tc>
        <w:tc>
          <w:tcPr>
            <w:tcW w:w="3180" w:type="dxa"/>
            <w:vAlign w:val="bottom"/>
          </w:tcPr>
          <w:p>
            <w:pPr>
              <w:spacing w:after="0"/>
              <w:rPr>
                <w:sz w:val="20"/>
                <w:szCs w:val="20"/>
                <w:color w:val="auto"/>
              </w:rPr>
            </w:pPr>
          </w:p>
        </w:tc>
      </w:tr>
      <w:tr>
        <w:trPr>
          <w:trHeight w:val="191"/>
        </w:trPr>
        <w:tc>
          <w:tcPr>
            <w:tcW w:w="5960" w:type="dxa"/>
            <w:vAlign w:val="bottom"/>
          </w:tcPr>
          <w:p>
            <w:pPr>
              <w:spacing w:after="0"/>
              <w:rPr>
                <w:sz w:val="16"/>
                <w:szCs w:val="16"/>
                <w:color w:val="auto"/>
              </w:rPr>
            </w:pPr>
          </w:p>
        </w:tc>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DeMedio</w:t>
            </w:r>
          </w:p>
        </w:tc>
        <w:tc>
          <w:tcPr>
            <w:tcW w:w="3180" w:type="dxa"/>
            <w:vAlign w:val="bottom"/>
          </w:tcPr>
          <w:p>
            <w:pPr>
              <w:spacing w:after="0"/>
              <w:rPr>
                <w:sz w:val="16"/>
                <w:szCs w:val="16"/>
                <w:color w:val="auto"/>
              </w:rPr>
            </w:pPr>
          </w:p>
        </w:tc>
      </w:tr>
      <w:tr>
        <w:trPr>
          <w:trHeight w:val="234"/>
        </w:trPr>
        <w:tc>
          <w:tcPr>
            <w:tcW w:w="59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spacing w:after="0"/>
              <w:rPr>
                <w:sz w:val="20"/>
                <w:szCs w:val="20"/>
                <w:color w:val="auto"/>
              </w:rPr>
            </w:pPr>
          </w:p>
        </w:tc>
      </w:tr>
      <w:tr>
        <w:trPr>
          <w:trHeight w:val="675"/>
        </w:trPr>
        <w:tc>
          <w:tcPr>
            <w:tcW w:w="59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39"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10-Q for the period ended December 31, 2014 (the “Report”), I, Stephen P. Herbert., Chief Executive Officer of the Company, hereby certify that to my knowledge:</w:t>
      </w:r>
    </w:p>
    <w:p>
      <w:pPr>
        <w:spacing w:after="0" w:line="189"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Herbert</w:t>
            </w:r>
          </w:p>
        </w:tc>
        <w:tc>
          <w:tcPr>
            <w:tcW w:w="3180" w:type="dxa"/>
            <w:vAlign w:val="bottom"/>
          </w:tcPr>
          <w:p>
            <w:pPr>
              <w:spacing w:after="0"/>
              <w:rPr>
                <w:sz w:val="20"/>
                <w:szCs w:val="20"/>
                <w:color w:val="auto"/>
              </w:rPr>
            </w:pPr>
          </w:p>
        </w:tc>
      </w:tr>
      <w:tr>
        <w:trPr>
          <w:trHeight w:val="191"/>
        </w:trPr>
        <w:tc>
          <w:tcPr>
            <w:tcW w:w="5960" w:type="dxa"/>
            <w:vAlign w:val="bottom"/>
          </w:tcPr>
          <w:p>
            <w:pPr>
              <w:spacing w:after="0"/>
              <w:rPr>
                <w:sz w:val="16"/>
                <w:szCs w:val="16"/>
                <w:color w:val="auto"/>
              </w:rPr>
            </w:pPr>
          </w:p>
        </w:tc>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c>
          <w:tcPr>
            <w:tcW w:w="3180" w:type="dxa"/>
            <w:vAlign w:val="bottom"/>
          </w:tcPr>
          <w:p>
            <w:pPr>
              <w:spacing w:after="0"/>
              <w:rPr>
                <w:sz w:val="16"/>
                <w:szCs w:val="16"/>
                <w:color w:val="auto"/>
              </w:rPr>
            </w:pPr>
          </w:p>
        </w:tc>
      </w:tr>
      <w:tr>
        <w:trPr>
          <w:trHeight w:val="234"/>
        </w:trPr>
        <w:tc>
          <w:tcPr>
            <w:tcW w:w="59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180" w:type="dxa"/>
            <w:vAlign w:val="bottom"/>
          </w:tcPr>
          <w:p>
            <w:pPr>
              <w:spacing w:after="0"/>
              <w:rPr>
                <w:sz w:val="20"/>
                <w:szCs w:val="20"/>
                <w:color w:val="auto"/>
              </w:rPr>
            </w:pPr>
          </w:p>
        </w:tc>
      </w:tr>
      <w:tr>
        <w:trPr>
          <w:trHeight w:val="675"/>
        </w:trPr>
        <w:tc>
          <w:tcPr>
            <w:tcW w:w="59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39"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10-Q for the period ended December 31, 2014 (the “Report”), I, David M. DeMedio, Chief Financial Officer of the Company, hereby certify that to my knowledge:</w:t>
      </w:r>
    </w:p>
    <w:p>
      <w:pPr>
        <w:spacing w:after="0" w:line="189"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2015</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DeMedio</w:t>
            </w:r>
          </w:p>
        </w:tc>
        <w:tc>
          <w:tcPr>
            <w:tcW w:w="3180" w:type="dxa"/>
            <w:vAlign w:val="bottom"/>
          </w:tcPr>
          <w:p>
            <w:pPr>
              <w:spacing w:after="0"/>
              <w:rPr>
                <w:sz w:val="20"/>
                <w:szCs w:val="20"/>
                <w:color w:val="auto"/>
              </w:rPr>
            </w:pPr>
          </w:p>
        </w:tc>
      </w:tr>
      <w:tr>
        <w:trPr>
          <w:trHeight w:val="191"/>
        </w:trPr>
        <w:tc>
          <w:tcPr>
            <w:tcW w:w="5960" w:type="dxa"/>
            <w:vAlign w:val="bottom"/>
          </w:tcPr>
          <w:p>
            <w:pPr>
              <w:spacing w:after="0"/>
              <w:rPr>
                <w:sz w:val="16"/>
                <w:szCs w:val="16"/>
                <w:color w:val="auto"/>
              </w:rPr>
            </w:pPr>
          </w:p>
        </w:tc>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DeMedio</w:t>
            </w:r>
          </w:p>
        </w:tc>
        <w:tc>
          <w:tcPr>
            <w:tcW w:w="3180" w:type="dxa"/>
            <w:vAlign w:val="bottom"/>
          </w:tcPr>
          <w:p>
            <w:pPr>
              <w:spacing w:after="0"/>
              <w:rPr>
                <w:sz w:val="16"/>
                <w:szCs w:val="16"/>
                <w:color w:val="auto"/>
              </w:rPr>
            </w:pPr>
          </w:p>
        </w:tc>
      </w:tr>
      <w:tr>
        <w:trPr>
          <w:trHeight w:val="234"/>
        </w:trPr>
        <w:tc>
          <w:tcPr>
            <w:tcW w:w="59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spacing w:after="0"/>
              <w:rPr>
                <w:sz w:val="20"/>
                <w:szCs w:val="20"/>
                <w:color w:val="auto"/>
              </w:rPr>
            </w:pPr>
          </w:p>
        </w:tc>
      </w:tr>
      <w:tr>
        <w:trPr>
          <w:trHeight w:val="675"/>
        </w:trPr>
        <w:tc>
          <w:tcPr>
            <w:tcW w:w="59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2"/>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3">
    <w:nsid w:val="4516DDE9"/>
    <w:multiLevelType w:val="hybridMultilevel"/>
    <w:lvl w:ilvl="0">
      <w:lvlJc w:val="left"/>
      <w:lvlText w:val="(%1)"/>
      <w:numFmt w:val="lowerRoman"/>
      <w:start w:val="4"/>
    </w:lvl>
  </w:abstractNum>
  <w:abstractNum w:abstractNumId="14">
    <w:nsid w:val="3006C83E"/>
    <w:multiLevelType w:val="hybridMultilevel"/>
    <w:lvl w:ilvl="0">
      <w:lvlJc w:val="left"/>
      <w:lvlText w:val="%1"/>
      <w:numFmt w:val="lowerLetter"/>
      <w:start w:val="1"/>
    </w:lvl>
    <w:lvl w:ilvl="1">
      <w:lvlJc w:val="left"/>
      <w:lvlText w:val="(%2)"/>
      <w:numFmt w:val="lowerLetter"/>
      <w:start w:val="22"/>
    </w:lvl>
  </w:abstractNum>
  <w:abstractNum w:abstractNumId="15">
    <w:nsid w:val="614FD4A1"/>
    <w:multiLevelType w:val="hybridMultilevel"/>
    <w:lvl w:ilvl="0">
      <w:lvlJc w:val="left"/>
      <w:lvlText w:val="(%1)"/>
      <w:numFmt w:val="lowerLetter"/>
      <w:start w:val="2"/>
    </w:lvl>
    <w:lvl w:ilvl="1">
      <w:lvlJc w:val="left"/>
      <w:lvlText w:val="(%2)"/>
      <w:numFmt w:val="lowerLetter"/>
      <w:start w:val="9"/>
    </w:lvl>
  </w:abstractNum>
  <w:abstractNum w:abstractNumId="16">
    <w:nsid w:val="419AC24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
    <w:nsid w:val="5577F8E1"/>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1"/>
    </w:lvl>
  </w:abstractNum>
  <w:abstractNum w:abstractNumId="18">
    <w:nsid w:val="440BADF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9">
    <w:nsid w:val="507236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
    </w:lvl>
    <w:lvl w:ilvl="3">
      <w:lvlJc w:val="left"/>
      <w:lvlText w:val="%4"/>
      <w:numFmt w:val="lowerLetter"/>
      <w:start w:val="1"/>
    </w:lvl>
    <w:lvl w:ilvl="4">
      <w:lvlJc w:val="left"/>
      <w:lvlText w:val="(%5)"/>
      <w:numFmt w:val="lowerRoman"/>
      <w:start w:val="1"/>
    </w:lvl>
    <w:lvl w:ilvl="5">
      <w:lvlJc w:val="left"/>
      <w:lvlText w:val="(%6)"/>
      <w:numFmt w:val="lowerLetter"/>
      <w:start w:val="35"/>
    </w:lvl>
  </w:abstractNum>
  <w:abstractNum w:abstractNumId="20">
    <w:nsid w:val="3804823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1"/>
    </w:lvl>
  </w:abstractNum>
  <w:abstractNum w:abstractNumId="21">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Roman"/>
      <w:start w:val="1"/>
    </w:lvl>
    <w:lvl w:ilvl="5">
      <w:lvlJc w:val="left"/>
      <w:lvlText w:val="%6"/>
      <w:numFmt w:val="lowerLetter"/>
      <w:start w:val="1"/>
    </w:lvl>
  </w:abstractNum>
  <w:abstractNum w:abstractNumId="22">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23">
    <w:nsid w:val="5C482A9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24">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25">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26">
    <w:nsid w:val="51EAD36B"/>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2"/>
    </w:lvl>
  </w:abstractNum>
  <w:abstractNum w:abstractNumId="27">
    <w:nsid w:val="2D517796"/>
    <w:multiLevelType w:val="hybridMultilevel"/>
    <w:lvl w:ilvl="0">
      <w:lvlJc w:val="left"/>
      <w:lvlText w:val="%1"/>
      <w:numFmt w:val="lowerLetter"/>
      <w:start w:val="1"/>
    </w:lvl>
    <w:lvl w:ilvl="1">
      <w:lvlJc w:val="left"/>
      <w:lvlText w:val="(%2)"/>
      <w:numFmt w:val="lowerLetter"/>
      <w:start w:val="13"/>
    </w:lvl>
    <w:lvl w:ilvl="2">
      <w:lvlJc w:val="left"/>
      <w:lvlText w:val="%3"/>
      <w:numFmt w:val="lowerLetter"/>
      <w:start w:val="1"/>
    </w:lvl>
  </w:abstractNum>
  <w:abstractNum w:abstractNumId="28">
    <w:nsid w:val="580BD78F"/>
    <w:multiLevelType w:val="hybridMultilevel"/>
    <w:lvl w:ilvl="0">
      <w:lvlJc w:val="left"/>
      <w:lvlText w:val="(%1)"/>
      <w:numFmt w:val="lowerLetter"/>
      <w:start w:val="14"/>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upperLetter"/>
      <w:start w:val="1"/>
    </w:lvl>
    <w:lvl w:ilvl="1">
      <w:lvlJc w:val="left"/>
      <w:lvlText w:val="(%2)"/>
      <w:numFmt w:val="lowerRoman"/>
      <w:start w:val="1"/>
    </w:lvl>
  </w:abstractNum>
  <w:abstractNum w:abstractNumId="31">
    <w:nsid w:val="70A64E2A"/>
    <w:multiLevelType w:val="hybridMultilevel"/>
    <w:lvl w:ilvl="0">
      <w:lvlJc w:val="left"/>
      <w:lvlText w:val="%1"/>
      <w:numFmt w:val="upperLetter"/>
      <w:start w:val="1"/>
    </w:lvl>
    <w:lvl w:ilvl="1">
      <w:lvlJc w:val="left"/>
      <w:lvlText w:val="(%2)"/>
      <w:numFmt w:val="lowerRoman"/>
      <w:start w:val="3"/>
    </w:lvl>
  </w:abstractNum>
  <w:abstractNum w:abstractNumId="32">
    <w:nsid w:val="6A2342EC"/>
    <w:multiLevelType w:val="hybridMultilevel"/>
    <w:lvl w:ilvl="0">
      <w:lvlJc w:val="left"/>
      <w:lvlText w:val="%1."/>
      <w:numFmt w:val="upperLetter"/>
      <w:start w:val="4"/>
    </w:lvl>
    <w:lvl w:ilvl="1">
      <w:lvlJc w:val="left"/>
      <w:lvlText w:val="(%2)"/>
      <w:numFmt w:val="lowerRoman"/>
      <w:start w:val="1"/>
    </w:lvl>
  </w:abstractNum>
  <w:abstractNum w:abstractNumId="33">
    <w:nsid w:val="2A487CB0"/>
    <w:multiLevelType w:val="hybridMultilevel"/>
    <w:lvl w:ilvl="0">
      <w:lvlJc w:val="left"/>
      <w:lvlText w:val="%1"/>
      <w:numFmt w:val="upperLetter"/>
      <w:start w:val="1"/>
    </w:lvl>
    <w:lvl w:ilvl="1">
      <w:lvlJc w:val="left"/>
      <w:lvlText w:val="(%2)"/>
      <w:numFmt w:val="lowerRoman"/>
      <w:start w:val="2"/>
    </w:lvl>
  </w:abstractNum>
  <w:abstractNum w:abstractNumId="34">
    <w:nsid w:val="1D4ED43B"/>
    <w:multiLevelType w:val="hybridMultilevel"/>
    <w:lvl w:ilvl="0">
      <w:lvlJc w:val="left"/>
      <w:lvlText w:val="%1."/>
      <w:numFmt w:val="upperLetter"/>
      <w:start w:val="6"/>
    </w:lvl>
    <w:lvl w:ilvl="1">
      <w:lvlJc w:val="left"/>
      <w:lvlText w:val="%2"/>
      <w:numFmt w:val="lowerRoman"/>
      <w:start w:val="1"/>
    </w:lvl>
  </w:abstractNum>
  <w:abstractNum w:abstractNumId="35">
    <w:nsid w:val="725A06F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decimal"/>
      <w:start w:val="1"/>
    </w:lvl>
  </w:abstractNum>
  <w:abstractNum w:abstractNumId="36">
    <w:nsid w:val="2CD89A3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37">
    <w:nsid w:val="57E4CCAF"/>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38">
    <w:nsid w:val="7A6D8D3C"/>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39">
    <w:nsid w:val="4B588F54"/>
    <w:multiLevelType w:val="hybridMultilevel"/>
    <w:lvl w:ilvl="0">
      <w:lvlJc w:val="left"/>
      <w:lvlText w:val="%1."/>
      <w:numFmt w:val="upperLetter"/>
      <w:start w:val="4"/>
    </w:lvl>
    <w:lvl w:ilvl="1">
      <w:lvlJc w:val="left"/>
      <w:lvlText w:val="(%2)"/>
      <w:numFmt w:val="lowerRoman"/>
      <w:start w:val="1"/>
    </w:lvl>
  </w:abstractNum>
  <w:abstractNum w:abstractNumId="40">
    <w:nsid w:val="542289EC"/>
    <w:multiLevelType w:val="hybridMultilevel"/>
    <w:lvl w:ilvl="0">
      <w:lvlJc w:val="left"/>
      <w:lvlText w:val="%1."/>
      <w:numFmt w:val="upperLetter"/>
      <w:start w:val="8"/>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lowerRoman"/>
      <w:start w:val="1"/>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5"/>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2019-12-29T19:16:44Z</dcterms:created>
  <dcterms:modified xsi:type="dcterms:W3CDTF">2019-12-29T19:16:44Z</dcterms:modified>
</cp:coreProperties>
</file>