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6" w:lineRule="exact"/>
        <w:rPr>
          <w:sz w:val="24"/>
          <w:szCs w:val="24"/>
          <w:color w:val="auto"/>
        </w:rPr>
      </w:pPr>
    </w:p>
    <w:tbl>
      <w:tblPr>
        <w:tblLayout w:type="fixed"/>
        <w:tblInd w:w="2980" w:type="dxa"/>
        <w:tblCellMar>
          <w:top w:w="0" w:type="dxa"/>
          <w:left w:w="0" w:type="dxa"/>
          <w:bottom w:w="0" w:type="dxa"/>
          <w:right w:w="0" w:type="dxa"/>
        </w:tblCellMar>
      </w:tblPr>
      <w:tr>
        <w:trPr>
          <w:trHeight w:val="287"/>
        </w:trPr>
        <w:tc>
          <w:tcPr>
            <w:tcW w:w="5860" w:type="dxa"/>
            <w:vAlign w:val="bottom"/>
          </w:tcPr>
          <w:p>
            <w:pPr>
              <w:jc w:val="center"/>
              <w:ind w:right="308"/>
              <w:spacing w:after="0"/>
              <w:rPr>
                <w:sz w:val="20"/>
                <w:szCs w:val="20"/>
                <w:color w:val="auto"/>
              </w:rPr>
            </w:pPr>
            <w:r>
              <w:rPr>
                <w:rFonts w:ascii="Arial" w:cs="Arial" w:eastAsia="Arial" w:hAnsi="Arial"/>
                <w:sz w:val="25"/>
                <w:szCs w:val="25"/>
                <w:b w:val="1"/>
                <w:bCs w:val="1"/>
                <w:color w:val="auto"/>
              </w:rPr>
              <w:t>SECURITIES AND EXCHANGE COMMISSION</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860" w:type="dxa"/>
            <w:vAlign w:val="bottom"/>
          </w:tcPr>
          <w:p>
            <w:pPr>
              <w:jc w:val="center"/>
              <w:ind w:right="308"/>
              <w:spacing w:after="0"/>
              <w:rPr>
                <w:sz w:val="20"/>
                <w:szCs w:val="20"/>
                <w:color w:val="auto"/>
              </w:rPr>
            </w:pPr>
            <w:r>
              <w:rPr>
                <w:rFonts w:ascii="Arial" w:cs="Arial" w:eastAsia="Arial" w:hAnsi="Arial"/>
                <w:sz w:val="22"/>
                <w:szCs w:val="22"/>
                <w:b w:val="1"/>
                <w:bCs w:val="1"/>
                <w:color w:val="auto"/>
                <w:w w:val="88"/>
              </w:rPr>
              <w:t>Washington, D.C. 20549</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860" w:type="dxa"/>
            <w:vAlign w:val="bottom"/>
          </w:tcPr>
          <w:p>
            <w:pPr>
              <w:jc w:val="center"/>
              <w:ind w:right="288"/>
              <w:spacing w:after="0"/>
              <w:rPr>
                <w:sz w:val="20"/>
                <w:szCs w:val="20"/>
                <w:color w:val="auto"/>
              </w:rPr>
            </w:pPr>
            <w:r>
              <w:rPr>
                <w:rFonts w:ascii="Arial" w:cs="Arial" w:eastAsia="Arial" w:hAnsi="Arial"/>
                <w:sz w:val="32"/>
                <w:szCs w:val="32"/>
                <w:b w:val="1"/>
                <w:bCs w:val="1"/>
                <w:color w:val="auto"/>
                <w:w w:val="97"/>
              </w:rPr>
              <w:t>FORM 12b-25</w:t>
            </w:r>
          </w:p>
        </w:tc>
        <w:tc>
          <w:tcPr>
            <w:tcW w:w="1820" w:type="dxa"/>
            <w:vAlign w:val="bottom"/>
            <w:vMerge w:val="restart"/>
          </w:tcPr>
          <w:p>
            <w:pPr>
              <w:jc w:val="center"/>
              <w:ind w:left="370"/>
              <w:spacing w:after="0"/>
              <w:rPr>
                <w:sz w:val="20"/>
                <w:szCs w:val="20"/>
                <w:color w:val="auto"/>
              </w:rPr>
            </w:pPr>
            <w:r>
              <w:rPr>
                <w:rFonts w:ascii="Arial" w:cs="Arial" w:eastAsia="Arial" w:hAnsi="Arial"/>
                <w:sz w:val="18"/>
                <w:szCs w:val="18"/>
                <w:b w:val="1"/>
                <w:bCs w:val="1"/>
                <w:color w:val="auto"/>
                <w:w w:val="93"/>
              </w:rPr>
              <w:t>SEC File Number</w:t>
            </w:r>
          </w:p>
        </w:tc>
        <w:tc>
          <w:tcPr>
            <w:tcW w:w="0" w:type="dxa"/>
            <w:vAlign w:val="bottom"/>
          </w:tcPr>
          <w:p>
            <w:pPr>
              <w:spacing w:after="0"/>
              <w:rPr>
                <w:sz w:val="1"/>
                <w:szCs w:val="1"/>
                <w:color w:val="auto"/>
              </w:rPr>
            </w:pPr>
          </w:p>
        </w:tc>
      </w:tr>
      <w:tr>
        <w:trPr>
          <w:trHeight w:val="36"/>
        </w:trPr>
        <w:tc>
          <w:tcPr>
            <w:tcW w:w="586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586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rPr>
              <w:t>001-33365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5420995</wp:posOffset>
            </wp:positionH>
            <wp:positionV relativeFrom="paragraph">
              <wp:posOffset>-290830</wp:posOffset>
            </wp:positionV>
            <wp:extent cx="1826895"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308610"/>
                    </a:xfrm>
                    <a:prstGeom prst="rect">
                      <a:avLst/>
                    </a:prstGeom>
                    <a:noFill/>
                  </pic:spPr>
                </pic:pic>
              </a:graphicData>
            </a:graphic>
          </wp:anchor>
        </w:drawing>
      </w:r>
    </w:p>
    <w:p>
      <w:pPr>
        <w:spacing w:after="0" w:line="20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NOTIFICATION OF LATE FILING</w:t>
            </w:r>
          </w:p>
        </w:tc>
        <w:tc>
          <w:tcPr>
            <w:tcW w:w="740" w:type="dxa"/>
            <w:vAlign w:val="bottom"/>
            <w:tcBorders>
              <w:right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jc w:val="center"/>
              <w:ind w:right="690"/>
              <w:spacing w:after="0"/>
              <w:rPr>
                <w:sz w:val="20"/>
                <w:szCs w:val="20"/>
                <w:color w:val="auto"/>
              </w:rPr>
            </w:pPr>
            <w:r>
              <w:rPr>
                <w:rFonts w:ascii="Arial" w:cs="Arial" w:eastAsia="Arial" w:hAnsi="Arial"/>
                <w:sz w:val="18"/>
                <w:szCs w:val="18"/>
                <w:b w:val="1"/>
                <w:bCs w:val="1"/>
                <w:color w:val="auto"/>
                <w:w w:val="95"/>
              </w:rPr>
              <w:t>CUSIP Number</w:t>
            </w:r>
          </w:p>
        </w:tc>
      </w:tr>
      <w:tr>
        <w:trPr>
          <w:trHeight w:val="237"/>
        </w:trPr>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center"/>
              <w:ind w:right="670"/>
              <w:spacing w:after="0"/>
              <w:rPr>
                <w:sz w:val="20"/>
                <w:szCs w:val="20"/>
                <w:color w:val="auto"/>
              </w:rPr>
            </w:pPr>
            <w:r>
              <w:rPr>
                <w:rFonts w:ascii="Arial" w:cs="Arial" w:eastAsia="Arial" w:hAnsi="Arial"/>
                <w:sz w:val="18"/>
                <w:szCs w:val="18"/>
                <w:color w:val="auto"/>
                <w:w w:val="90"/>
              </w:rPr>
              <w:t>90328S</w:t>
            </w:r>
          </w:p>
        </w:tc>
      </w:tr>
      <w:tr>
        <w:trPr>
          <w:trHeight w:val="493"/>
        </w:trPr>
        <w:tc>
          <w:tcPr>
            <w:tcW w:w="110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1660" w:type="dxa"/>
            <w:vAlign w:val="bottom"/>
          </w:tcPr>
          <w:p>
            <w:pPr>
              <w:jc w:val="right"/>
              <w:ind w:right="25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w:t>
            </w:r>
          </w:p>
        </w:tc>
        <w:tc>
          <w:tcPr>
            <w:tcW w:w="14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p>
        </w:tc>
        <w:tc>
          <w:tcPr>
            <w:tcW w:w="1800" w:type="dxa"/>
            <w:vAlign w:val="bottom"/>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w:t>
            </w:r>
          </w:p>
        </w:tc>
        <w:tc>
          <w:tcPr>
            <w:tcW w:w="176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10-Q</w:t>
            </w:r>
          </w:p>
        </w:tc>
        <w:tc>
          <w:tcPr>
            <w:tcW w:w="148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10-D</w:t>
            </w:r>
          </w:p>
        </w:tc>
        <w:tc>
          <w:tcPr>
            <w:tcW w:w="2120" w:type="dxa"/>
            <w:vAlign w:val="bottom"/>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p>
        </w:tc>
      </w:tr>
      <w:tr>
        <w:trPr>
          <w:trHeight w:val="283"/>
        </w:trPr>
        <w:tc>
          <w:tcPr>
            <w:tcW w:w="1100" w:type="dxa"/>
            <w:vAlign w:val="bottom"/>
          </w:tcPr>
          <w:p>
            <w:pPr>
              <w:spacing w:after="0"/>
              <w:rPr>
                <w:sz w:val="24"/>
                <w:szCs w:val="24"/>
                <w:color w:val="auto"/>
              </w:rPr>
            </w:pPr>
          </w:p>
        </w:tc>
        <w:tc>
          <w:tcPr>
            <w:tcW w:w="1660" w:type="dxa"/>
            <w:vAlign w:val="bottom"/>
          </w:tcPr>
          <w:p>
            <w:pPr>
              <w:jc w:val="right"/>
              <w:ind w:right="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0"/>
        </w:trPr>
        <w:tc>
          <w:tcPr>
            <w:tcW w:w="1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w w:val="99"/>
              </w:rPr>
              <w:t>For Period Ended:</w:t>
            </w:r>
          </w:p>
        </w:tc>
        <w:tc>
          <w:tcPr>
            <w:tcW w:w="1480" w:type="dxa"/>
            <w:vAlign w:val="bottom"/>
          </w:tcPr>
          <w:p>
            <w:pPr>
              <w:ind w:left="460"/>
              <w:spacing w:after="0"/>
              <w:rPr>
                <w:sz w:val="20"/>
                <w:szCs w:val="20"/>
                <w:color w:val="auto"/>
              </w:rPr>
            </w:pPr>
            <w:r>
              <w:rPr>
                <w:rFonts w:ascii="Arial" w:cs="Arial" w:eastAsia="Arial" w:hAnsi="Arial"/>
                <w:sz w:val="18"/>
                <w:szCs w:val="18"/>
                <w:color w:val="auto"/>
                <w:w w:val="87"/>
              </w:rPr>
              <w:t>June 30, 2018</w:t>
            </w:r>
          </w:p>
        </w:tc>
        <w:tc>
          <w:tcPr>
            <w:tcW w:w="1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20" w:type="dxa"/>
            <w:vAlign w:val="bottom"/>
          </w:tcPr>
          <w:p>
            <w:pPr>
              <w:spacing w:after="0"/>
              <w:rPr>
                <w:sz w:val="21"/>
                <w:szCs w:val="21"/>
                <w:color w:val="auto"/>
              </w:rPr>
            </w:pPr>
          </w:p>
        </w:tc>
      </w:tr>
    </w:tbl>
    <w:p>
      <w:pPr>
        <w:spacing w:after="0" w:line="53" w:lineRule="exact"/>
        <w:rPr>
          <w:sz w:val="24"/>
          <w:szCs w:val="24"/>
          <w:color w:val="auto"/>
        </w:rPr>
      </w:pPr>
    </w:p>
    <w:p>
      <w:pPr>
        <w:ind w:left="1640" w:hanging="288"/>
        <w:spacing w:after="0"/>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76" w:lineRule="exact"/>
        <w:rPr>
          <w:rFonts w:ascii="MS PGothic" w:cs="MS PGothic" w:eastAsia="MS PGothic" w:hAnsi="MS PGothic"/>
          <w:sz w:val="18"/>
          <w:szCs w:val="18"/>
          <w:color w:val="auto"/>
        </w:rPr>
      </w:pPr>
    </w:p>
    <w:p>
      <w:pPr>
        <w:ind w:left="1640" w:hanging="288"/>
        <w:spacing w:after="0"/>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63" w:lineRule="exact"/>
        <w:rPr>
          <w:rFonts w:ascii="MS PGothic" w:cs="MS PGothic" w:eastAsia="MS PGothic" w:hAnsi="MS PGothic"/>
          <w:sz w:val="18"/>
          <w:szCs w:val="18"/>
          <w:color w:val="auto"/>
        </w:rPr>
      </w:pPr>
    </w:p>
    <w:p>
      <w:pPr>
        <w:ind w:left="1640" w:hanging="288"/>
        <w:spacing w:after="0"/>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63" w:lineRule="exact"/>
        <w:rPr>
          <w:rFonts w:ascii="MS PGothic" w:cs="MS PGothic" w:eastAsia="MS PGothic" w:hAnsi="MS PGothic"/>
          <w:sz w:val="18"/>
          <w:szCs w:val="18"/>
          <w:color w:val="auto"/>
        </w:rPr>
      </w:pPr>
    </w:p>
    <w:p>
      <w:pPr>
        <w:ind w:left="1640" w:hanging="288"/>
        <w:spacing w:after="0"/>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63" w:lineRule="exact"/>
        <w:rPr>
          <w:rFonts w:ascii="MS PGothic" w:cs="MS PGothic" w:eastAsia="MS PGothic" w:hAnsi="MS PGothic"/>
          <w:sz w:val="18"/>
          <w:szCs w:val="18"/>
          <w:color w:val="auto"/>
        </w:rPr>
      </w:pPr>
    </w:p>
    <w:p>
      <w:pPr>
        <w:ind w:left="1280" w:right="7280" w:firstLine="72"/>
        <w:spacing w:after="0" w:line="374" w:lineRule="auto"/>
        <w:tabs>
          <w:tab w:leader="none" w:pos="163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on Form N-SAR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-51435</wp:posOffset>
            </wp:positionV>
            <wp:extent cx="43307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30700" cy="17145"/>
                    </a:xfrm>
                    <a:prstGeom prst="rect">
                      <a:avLst/>
                    </a:prstGeom>
                    <a:noFill/>
                  </pic:spPr>
                </pic:pic>
              </a:graphicData>
            </a:graphic>
          </wp:anchor>
        </w:drawing>
        <w:drawing>
          <wp:anchor simplePos="0" relativeHeight="251657728" behindDoc="1" locked="0" layoutInCell="0" allowOverlap="1">
            <wp:simplePos x="0" y="0"/>
            <wp:positionH relativeFrom="column">
              <wp:posOffset>2042160</wp:posOffset>
            </wp:positionH>
            <wp:positionV relativeFrom="paragraph">
              <wp:posOffset>-1097280</wp:posOffset>
            </wp:positionV>
            <wp:extent cx="30784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848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119380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7"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294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USA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289560</wp:posOffset>
            </wp:positionV>
            <wp:extent cx="72294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100 Deerfield Lane, Suite 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294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Malvern, PA 19355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294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60" w:top="395"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134620</wp:posOffset>
            </wp:positionV>
            <wp:extent cx="17145" cy="926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 cy="926465"/>
                    </a:xfrm>
                    <a:prstGeom prst="rect">
                      <a:avLst/>
                    </a:prstGeom>
                    <a:noFill/>
                  </pic:spPr>
                </pic:pic>
              </a:graphicData>
            </a:graphic>
          </wp:anchor>
        </w:drawing>
      </w:r>
    </w:p>
    <w:p>
      <w:pPr>
        <w:spacing w:after="0" w:line="204" w:lineRule="exact"/>
        <w:rPr>
          <w:sz w:val="20"/>
          <w:szCs w:val="20"/>
          <w:color w:val="auto"/>
        </w:rPr>
      </w:pPr>
    </w:p>
    <w:p>
      <w:pPr>
        <w:ind w:left="940" w:hanging="432"/>
        <w:spacing w:after="0"/>
        <w:tabs>
          <w:tab w:leader="none" w:pos="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63" w:lineRule="exact"/>
        <w:rPr>
          <w:rFonts w:ascii="Arial" w:cs="Arial" w:eastAsia="Arial" w:hAnsi="Arial"/>
          <w:sz w:val="18"/>
          <w:szCs w:val="18"/>
          <w:color w:val="auto"/>
        </w:rPr>
      </w:pPr>
    </w:p>
    <w:p>
      <w:pPr>
        <w:ind w:left="940" w:hanging="432"/>
        <w:spacing w:after="0"/>
        <w:tabs>
          <w:tab w:leader="none" w:pos="94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46" w:lineRule="exact"/>
        <w:rPr>
          <w:rFonts w:ascii="Arial" w:cs="Arial" w:eastAsia="Arial" w:hAnsi="Arial"/>
          <w:sz w:val="16"/>
          <w:szCs w:val="16"/>
          <w:color w:val="auto"/>
        </w:rPr>
      </w:pPr>
    </w:p>
    <w:p>
      <w:pPr>
        <w:jc w:val="both"/>
        <w:ind w:left="940" w:right="20" w:hanging="790"/>
        <w:spacing w:after="0" w:line="201" w:lineRule="auto"/>
        <w:tabs>
          <w:tab w:leader="none" w:pos="94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9" w:lineRule="exact"/>
        <w:rPr>
          <w:rFonts w:ascii="MS PGothic" w:cs="MS PGothic" w:eastAsia="MS PGothic" w:hAnsi="MS PGothic"/>
          <w:sz w:val="36"/>
          <w:szCs w:val="36"/>
          <w:color w:val="auto"/>
          <w:vertAlign w:val="subscript"/>
        </w:rPr>
      </w:pPr>
    </w:p>
    <w:p>
      <w:pPr>
        <w:ind w:left="940" w:hanging="432"/>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 - NARRATIVE</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why Forms 10-K, 20-F, 11-K, 10-Q,10-D, N-SAR, N-CSR, or the transition report or portion thereof, could not be filed within the prescribed time period.</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disclosed in our press release dated September 11, 2018, which was also furnished on Form 8-K on such date, USA Technologies, Inc. (the “Company”) will not be able to file its Annual Report on Form 10-K for the fiscal year ended June 30, 2018 (the “Form 10-K”) by the September 13, 2018 due date. The Audit Committee of the Company’s Board of Directors, with the assistance of independent legal and forensic accounting advisors, is in the process of conducting an internal investigation of current and prior period matters relating to certain of the Company’s contractual arrangements, including the accounting treatment, financial reporting and internal controls related to such arrangements. The Audit Committee is working closely with its advisors to complete its investigation in as timely a manner as possible. The Company will not be in a position to file its Form 10-K until the Audit Committee completes its investigation and the Company and its independent auditor assess the results of that investigation.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5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54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1"/>
              </w:rPr>
              <w:t>Stephen P. Herbert, Chief Executive Officer</w:t>
            </w:r>
          </w:p>
        </w:tc>
        <w:tc>
          <w:tcPr>
            <w:tcW w:w="23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610</w:t>
            </w:r>
          </w:p>
        </w:tc>
        <w:tc>
          <w:tcPr>
            <w:tcW w:w="24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989-0340</w:t>
            </w:r>
          </w:p>
        </w:tc>
      </w:tr>
      <w:tr>
        <w:trPr>
          <w:trHeight w:val="230"/>
        </w:trPr>
        <w:tc>
          <w:tcPr>
            <w:tcW w:w="5460" w:type="dxa"/>
            <w:vAlign w:val="bottom"/>
          </w:tcPr>
          <w:p>
            <w:pPr>
              <w:jc w:val="center"/>
              <w:ind w:left="130"/>
              <w:spacing w:after="0"/>
              <w:rPr>
                <w:sz w:val="20"/>
                <w:szCs w:val="20"/>
                <w:color w:val="auto"/>
              </w:rPr>
            </w:pPr>
            <w:r>
              <w:rPr>
                <w:rFonts w:ascii="Arial" w:cs="Arial" w:eastAsia="Arial" w:hAnsi="Arial"/>
                <w:sz w:val="18"/>
                <w:szCs w:val="18"/>
                <w:color w:val="auto"/>
                <w:w w:val="93"/>
              </w:rPr>
              <w:t>(Name)</w:t>
            </w:r>
          </w:p>
        </w:tc>
        <w:tc>
          <w:tcPr>
            <w:tcW w:w="2360" w:type="dxa"/>
            <w:vAlign w:val="bottom"/>
          </w:tcPr>
          <w:p>
            <w:pPr>
              <w:jc w:val="center"/>
              <w:ind w:left="290"/>
              <w:spacing w:after="0"/>
              <w:rPr>
                <w:sz w:val="20"/>
                <w:szCs w:val="20"/>
                <w:color w:val="auto"/>
              </w:rPr>
            </w:pPr>
            <w:r>
              <w:rPr>
                <w:rFonts w:ascii="Arial" w:cs="Arial" w:eastAsia="Arial" w:hAnsi="Arial"/>
                <w:sz w:val="18"/>
                <w:szCs w:val="18"/>
                <w:color w:val="auto"/>
                <w:w w:val="91"/>
              </w:rPr>
              <w:t>(Area Code)</w:t>
            </w:r>
          </w:p>
        </w:tc>
        <w:tc>
          <w:tcPr>
            <w:tcW w:w="2440" w:type="dxa"/>
            <w:vAlign w:val="bottom"/>
          </w:tcPr>
          <w:p>
            <w:pPr>
              <w:jc w:val="center"/>
              <w:ind w:left="50"/>
              <w:spacing w:after="0"/>
              <w:rPr>
                <w:sz w:val="20"/>
                <w:szCs w:val="20"/>
                <w:color w:val="auto"/>
              </w:rPr>
            </w:pPr>
            <w:r>
              <w:rPr>
                <w:rFonts w:ascii="Arial" w:cs="Arial" w:eastAsia="Arial" w:hAnsi="Arial"/>
                <w:sz w:val="18"/>
                <w:szCs w:val="18"/>
                <w:color w:val="auto"/>
                <w:w w:val="90"/>
              </w:rPr>
              <w:t>(Telephone Number)</w:t>
            </w:r>
          </w:p>
        </w:tc>
      </w:tr>
    </w:tbl>
    <w:p>
      <w:pPr>
        <w:spacing w:after="0" w:line="214" w:lineRule="exact"/>
        <w:rPr>
          <w:sz w:val="20"/>
          <w:szCs w:val="20"/>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w:t>
      </w:r>
    </w:p>
    <w:p>
      <w:pPr>
        <w:spacing w:after="0" w:line="141" w:lineRule="exact"/>
        <w:rPr>
          <w:sz w:val="20"/>
          <w:szCs w:val="20"/>
          <w:color w:val="auto"/>
        </w:rPr>
      </w:pPr>
    </w:p>
    <w:p>
      <w:pPr>
        <w:ind w:left="480"/>
        <w:spacing w:after="0" w:line="207" w:lineRule="exact"/>
        <w:tabs>
          <w:tab w:leader="none" w:pos="960" w:val="left"/>
          <w:tab w:leader="none" w:pos="1400" w:val="left"/>
          <w:tab w:leader="none" w:pos="186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answer is no, identify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221615</wp:posOffset>
            </wp:positionV>
            <wp:extent cx="63373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73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65" w:lineRule="exact"/>
        <w:rPr>
          <w:sz w:val="20"/>
          <w:szCs w:val="20"/>
          <w:color w:val="auto"/>
        </w:rPr>
      </w:pPr>
    </w:p>
    <w:p>
      <w:pPr>
        <w:ind w:left="480"/>
        <w:spacing w:after="0" w:line="207" w:lineRule="exact"/>
        <w:tabs>
          <w:tab w:leader="none" w:pos="960" w:val="left"/>
          <w:tab w:leader="none" w:pos="1400" w:val="left"/>
          <w:tab w:leader="none" w:pos="186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78" w:lineRule="exact"/>
        <w:rPr>
          <w:sz w:val="20"/>
          <w:szCs w:val="20"/>
          <w:color w:val="auto"/>
        </w:rPr>
      </w:pPr>
    </w:p>
    <w:p>
      <w:pPr>
        <w:ind w:left="340" w:right="240"/>
        <w:spacing w:after="0" w:line="251" w:lineRule="auto"/>
        <w:rPr>
          <w:sz w:val="20"/>
          <w:szCs w:val="20"/>
          <w:color w:val="auto"/>
        </w:rPr>
      </w:pPr>
      <w:r>
        <w:rPr>
          <w:rFonts w:ascii="Arial" w:cs="Arial" w:eastAsia="Arial" w:hAnsi="Arial"/>
          <w:sz w:val="22"/>
          <w:szCs w:val="22"/>
          <w:color w:val="auto"/>
        </w:rPr>
        <w:t>If so, attach an explanation of the anticipated change, both narratively and quantitatively, and, if appropriate, state the reasons why a reasonable estimate of the results cannot be made.</w:t>
      </w:r>
    </w:p>
    <w:p>
      <w:pPr>
        <w:spacing w:after="0" w:line="207"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The investigation described in Part III above, which is incorporated by reference herein, precludes the Company, at this time, from providing a reasonable quantitative description of the changes in its results of operations for the fiscal year ended June 30, 2018 from the previously reported results of operations for the fiscal year ended June 30, 2017. The Company currently anticipates a significant increase in revenues during the 2018 fiscal year as compared to the prior fiscal year, primarily as a result of greater license and transaction fees due to the acquisition of Cantaloupe Systems, Inc. (“Cantaloupe”), in November 2017. The Company also currently anticipates a significant increase of its net loss during the 2018 fiscal year as compared to the prior fiscal year, primarily due to the integration and acquisition costs incurred in connection with the Cantaloupe acquisition and increased selling, general and administrative expenses primarily due to the Cantaloupe acquisition as well an increase in sales and marketing costs as the Company continues to increase its market share in the cashless transaction vending industry. The net loss for the 2018 fiscal year will also reflect a provision for income taxes related to the Tax Cuts and Jobs Act. Each of the foregoing increases is consistent with the trends discussed in the Company’s quarterly reports on Form 10-Q for the quarters ended December 31, 2017 and March 31, 2018, filed on February 9, 2018 and May 10,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201930</wp:posOffset>
            </wp:positionV>
            <wp:extent cx="63373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373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r>
        <w:rPr>
          <w:rFonts w:ascii="Arial" w:cs="Arial" w:eastAsia="Arial" w:hAnsi="Arial"/>
          <w:sz w:val="18"/>
          <w:szCs w:val="18"/>
          <w:color w:val="auto"/>
        </w:rPr>
        <w:t>:</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“Safe Harbor” Statement under the Private Securities Litigation Reform Act of 1995: All statements other than statements of historical fact included in this Form 12b-25 are forward-looking statements. When used in this Form 12b-25, words such as “anticipate,” “believe,” “estimate,” “expect,” “intend,” and similar expressions, as they relate to the Company or its management, identify forward looking statements. Such forward-looking statements are based on the beliefs of the Company’s management, as well as assumptions made by and information currently available to the Company’s management. Actual results could differ materially from those contemplated by the forward-looking statements as a result of certain factors, including but not limited to, uncertainty as to the scope, timing and ultimate findings of the internal investigation; the costs and expenses relating thereto; the impact of the internal investigation on the Company, its management and operations, including potential financial impact on the Company; the risk of potential litigation or regulatory action arising from the internal investigation and its findings or from the failure to timely file the Form 10-K; the timing of the review by, and the conclusions of, the Company’s independent auditor regarding the investigation and its impact on the financial statements; depending on the timing of the filing of the Form 10-K, the Company may be in default under the loan agreement with its bank lender; the potential identification of control deficiencies, including potential material weaknesses in internal control over financial reporting and the impact of the same; potential reputational damage that the Company may suffer as a result of the matters under investigation; the possibility that the Company will be unable to file its Form 10-K within the extension period of 15 calendar days provided under Rule 12b-25 of the Securities Exchange Act of 1934; the impact of the pendency of the investigation on the value of the Company’s common and preferred stock; and the risk that the filing of the Form 10-K will take longer than currently anticipated. Readers are cautioned not to place undue reliance on these forward-looking statements. Any forward-looking statement made by us speaks only as of the date of this Form 12b-25. Unless required by law, the Company does not undertake to release publicly any revisions to these forward-looking statements to reflect future events or circumstances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52" w:lineRule="exact"/>
        <w:rPr>
          <w:sz w:val="20"/>
          <w:szCs w:val="20"/>
          <w:color w:val="auto"/>
        </w:rPr>
      </w:pPr>
    </w:p>
    <w:p>
      <w:pPr>
        <w:spacing w:after="0"/>
        <w:tabs>
          <w:tab w:leader="none" w:pos="560" w:val="left"/>
          <w:tab w:leader="none" w:pos="5660" w:val="left"/>
        </w:tabs>
        <w:rPr>
          <w:sz w:val="20"/>
          <w:szCs w:val="20"/>
          <w:color w:val="auto"/>
        </w:rPr>
      </w:pPr>
      <w:r>
        <w:rPr>
          <w:rFonts w:ascii="Arial" w:cs="Arial" w:eastAsia="Arial" w:hAnsi="Arial"/>
          <w:sz w:val="18"/>
          <w:szCs w:val="18"/>
          <w:color w:val="auto"/>
        </w:rPr>
        <w:t>Date:</w:t>
        <w:tab/>
        <w:t>September 13, 2018</w:t>
      </w:r>
      <w:r>
        <w:rPr>
          <w:sz w:val="20"/>
          <w:szCs w:val="20"/>
          <w:color w:val="auto"/>
        </w:rPr>
        <w:tab/>
      </w:r>
      <w:r>
        <w:rPr>
          <w:rFonts w:ascii="Arial" w:cs="Arial" w:eastAsia="Arial" w:hAnsi="Arial"/>
          <w:sz w:val="16"/>
          <w:szCs w:val="16"/>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87768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Chairman and Chief Executive Officer</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2019-12-06T00:16:44Z</dcterms:created>
  <dcterms:modified xsi:type="dcterms:W3CDTF">2019-12-06T00:16:44Z</dcterms:modified>
</cp:coreProperties>
</file>