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344170</wp:posOffset>
            </wp:positionV>
            <wp:extent cx="576326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3260" cy="336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5763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3260"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5" w:lineRule="exact"/>
        <w:rPr>
          <w:sz w:val="24"/>
          <w:szCs w:val="24"/>
          <w:color w:val="auto"/>
        </w:rPr>
      </w:pPr>
    </w:p>
    <w:p>
      <w:pPr>
        <w:ind w:left="260" w:hanging="204"/>
        <w:spacing w:after="0" w:line="233" w:lineRule="exact"/>
        <w:rPr>
          <w:sz w:val="24"/>
          <w:szCs w:val="24"/>
          <w:color w:val="auto"/>
        </w:rPr>
      </w:pP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QUARTERLY REPORT PURSUANT TO SECTION 13 OR 15 (d) OF THE 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1" w:lineRule="exact"/>
        <w:rPr>
          <w:sz w:val="24"/>
          <w:szCs w:val="24"/>
          <w:color w:val="auto"/>
        </w:rPr>
      </w:pPr>
    </w:p>
    <w:p>
      <w:pPr>
        <w:ind w:left="40"/>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TRANSITION REPORT PURSUANT TO SECTION 13 OR 15 (d) OF THE EXCHANGE ACT OF 1934</w:t>
      </w:r>
    </w:p>
    <w:p>
      <w:pPr>
        <w:spacing w:after="0" w:line="206" w:lineRule="exact"/>
        <w:rPr>
          <w:sz w:val="24"/>
          <w:szCs w:val="24"/>
          <w:color w:val="auto"/>
        </w:rPr>
      </w:pPr>
    </w:p>
    <w:p>
      <w:pPr>
        <w:ind w:left="2160"/>
        <w:spacing w:after="0"/>
        <w:tabs>
          <w:tab w:leader="none" w:pos="5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001-33365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USA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91440</wp:posOffset>
            </wp:positionV>
            <wp:extent cx="14363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6370" cy="1651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0"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20" w:type="dxa"/>
            <w:vAlign w:val="bottom"/>
            <w:gridSpan w:val="3"/>
          </w:tcPr>
          <w:p>
            <w:pPr>
              <w:jc w:val="center"/>
              <w:ind w:right="2220"/>
              <w:spacing w:after="0"/>
              <w:rPr>
                <w:sz w:val="20"/>
                <w:szCs w:val="20"/>
                <w:color w:val="auto"/>
              </w:rPr>
            </w:pPr>
            <w:r>
              <w:rPr>
                <w:rFonts w:ascii="Arial" w:cs="Arial" w:eastAsia="Arial" w:hAnsi="Arial"/>
                <w:sz w:val="18"/>
                <w:szCs w:val="18"/>
                <w:b w:val="1"/>
                <w:bCs w:val="1"/>
                <w:color w:val="auto"/>
                <w:w w:val="86"/>
              </w:rPr>
              <w:t>Pennsylvania</w:t>
            </w:r>
          </w:p>
        </w:tc>
        <w:tc>
          <w:tcPr>
            <w:tcW w:w="3180" w:type="dxa"/>
            <w:vAlign w:val="bottom"/>
            <w:gridSpan w:val="5"/>
          </w:tcPr>
          <w:p>
            <w:pPr>
              <w:jc w:val="center"/>
              <w:ind w:left="552"/>
              <w:spacing w:after="0"/>
              <w:rPr>
                <w:sz w:val="20"/>
                <w:szCs w:val="20"/>
                <w:color w:val="auto"/>
              </w:rPr>
            </w:pPr>
            <w:r>
              <w:rPr>
                <w:rFonts w:ascii="Arial" w:cs="Arial" w:eastAsia="Arial" w:hAnsi="Arial"/>
                <w:sz w:val="18"/>
                <w:szCs w:val="18"/>
                <w:b w:val="1"/>
                <w:bCs w:val="1"/>
                <w:color w:val="auto"/>
                <w:w w:val="89"/>
              </w:rPr>
              <w:t>23-2679963</w:t>
            </w:r>
          </w:p>
        </w:tc>
      </w:tr>
      <w:tr>
        <w:trPr>
          <w:trHeight w:val="20"/>
        </w:trPr>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9"/>
        </w:trPr>
        <w:tc>
          <w:tcPr>
            <w:tcW w:w="482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180" w:type="dxa"/>
            <w:vAlign w:val="bottom"/>
            <w:gridSpan w:val="5"/>
          </w:tcPr>
          <w:p>
            <w:pPr>
              <w:jc w:val="center"/>
              <w:ind w:left="552"/>
              <w:spacing w:after="0"/>
              <w:rPr>
                <w:sz w:val="20"/>
                <w:szCs w:val="20"/>
                <w:color w:val="auto"/>
              </w:rPr>
            </w:pPr>
            <w:r>
              <w:rPr>
                <w:rFonts w:ascii="Arial" w:cs="Arial" w:eastAsia="Arial" w:hAnsi="Arial"/>
                <w:sz w:val="18"/>
                <w:szCs w:val="18"/>
                <w:color w:val="auto"/>
                <w:w w:val="91"/>
              </w:rPr>
              <w:t>(I.R.S. Employer Identification No.)</w:t>
            </w:r>
          </w:p>
        </w:tc>
      </w:tr>
      <w:tr>
        <w:trPr>
          <w:trHeight w:val="382"/>
        </w:trPr>
        <w:tc>
          <w:tcPr>
            <w:tcW w:w="100" w:type="dxa"/>
            <w:vAlign w:val="bottom"/>
          </w:tcPr>
          <w:p>
            <w:pPr>
              <w:spacing w:after="0"/>
              <w:rPr>
                <w:sz w:val="24"/>
                <w:szCs w:val="24"/>
                <w:color w:val="auto"/>
              </w:rPr>
            </w:pPr>
          </w:p>
        </w:tc>
        <w:tc>
          <w:tcPr>
            <w:tcW w:w="472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88"/>
              </w:rPr>
              <w:t>100 Deerfield Lane, Suite 300, Malvern, Pennsylvania</w:t>
            </w:r>
          </w:p>
        </w:tc>
        <w:tc>
          <w:tcPr>
            <w:tcW w:w="2340" w:type="dxa"/>
            <w:vAlign w:val="bottom"/>
            <w:gridSpan w:val="4"/>
          </w:tcPr>
          <w:p>
            <w:pPr>
              <w:jc w:val="center"/>
              <w:ind w:left="1372"/>
              <w:spacing w:after="0"/>
              <w:rPr>
                <w:sz w:val="20"/>
                <w:szCs w:val="20"/>
                <w:color w:val="auto"/>
              </w:rPr>
            </w:pPr>
            <w:r>
              <w:rPr>
                <w:rFonts w:ascii="Arial" w:cs="Arial" w:eastAsia="Arial" w:hAnsi="Arial"/>
                <w:sz w:val="18"/>
                <w:szCs w:val="18"/>
                <w:b w:val="1"/>
                <w:bCs w:val="1"/>
                <w:color w:val="auto"/>
                <w:w w:val="87"/>
              </w:rPr>
              <w:t>19355</w:t>
            </w:r>
          </w:p>
        </w:tc>
        <w:tc>
          <w:tcPr>
            <w:tcW w:w="8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4000" w:type="dxa"/>
            <w:vAlign w:val="bottom"/>
            <w:gridSpan w:val="3"/>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40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(Address of principal executive offices)</w:t>
            </w:r>
          </w:p>
        </w:tc>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00" w:type="dxa"/>
            <w:vAlign w:val="bottom"/>
            <w:gridSpan w:val="4"/>
          </w:tcPr>
          <w:p>
            <w:pPr>
              <w:jc w:val="center"/>
              <w:ind w:right="860"/>
              <w:spacing w:after="0"/>
              <w:rPr>
                <w:sz w:val="20"/>
                <w:szCs w:val="20"/>
                <w:color w:val="auto"/>
              </w:rPr>
            </w:pPr>
            <w:r>
              <w:rPr>
                <w:rFonts w:ascii="Arial" w:cs="Arial" w:eastAsia="Arial" w:hAnsi="Arial"/>
                <w:sz w:val="18"/>
                <w:szCs w:val="18"/>
                <w:color w:val="auto"/>
                <w:w w:val="89"/>
              </w:rPr>
              <w:t>(Zip Code)</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(610) 989-0340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80645</wp:posOffset>
            </wp:positionV>
            <wp:extent cx="1436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4" w:lineRule="exact"/>
        <w:rPr>
          <w:sz w:val="24"/>
          <w:szCs w:val="24"/>
          <w:color w:val="auto"/>
        </w:rPr>
      </w:pPr>
    </w:p>
    <w:p>
      <w:pPr>
        <w:jc w:val="both"/>
        <w:spacing w:after="0" w:line="22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79" w:lineRule="exact"/>
        <w:rPr>
          <w:sz w:val="24"/>
          <w:szCs w:val="24"/>
          <w:color w:val="auto"/>
        </w:rPr>
      </w:pPr>
    </w:p>
    <w:p>
      <w:pPr>
        <w:jc w:val="both"/>
        <w:spacing w:after="0" w:line="21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201"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9060"/>
          </w:cols>
          <w:pgMar w:left="1420" w:top="232" w:right="1419" w:bottom="1440" w:gutter="0" w:footer="0" w:header="0"/>
        </w:sectPr>
      </w:pPr>
    </w:p>
    <w:p>
      <w:pPr>
        <w:spacing w:after="0" w:line="15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480"/>
        <w:spacing w:after="0" w:line="242" w:lineRule="exact"/>
        <w:rPr>
          <w:sz w:val="20"/>
          <w:szCs w:val="20"/>
          <w:color w:val="auto"/>
        </w:rPr>
      </w:pPr>
      <w:r>
        <w:rPr>
          <w:rFonts w:ascii="Arial" w:cs="Arial" w:eastAsia="Arial" w:hAnsi="Arial"/>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16"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446" w:lineRule="exact"/>
        <w:rPr>
          <w:sz w:val="24"/>
          <w:szCs w:val="24"/>
          <w:color w:val="auto"/>
        </w:rPr>
      </w:pPr>
    </w:p>
    <w:p>
      <w:pPr>
        <w:sectPr>
          <w:pgSz w:w="11900" w:h="16838" w:orient="portrait"/>
          <w:cols w:equalWidth="0" w:num="3">
            <w:col w:w="2820" w:space="720"/>
            <w:col w:w="2600" w:space="720"/>
            <w:col w:w="2200"/>
          </w:cols>
          <w:pgMar w:left="1420" w:top="232" w:right="1419" w:bottom="1440" w:gutter="0" w:footer="0" w:header="0"/>
          <w:type w:val="continuous"/>
        </w:sectPr>
      </w:pPr>
    </w:p>
    <w:p>
      <w:pPr>
        <w:spacing w:after="0" w:line="242" w:lineRule="exact"/>
        <w:tabs>
          <w:tab w:leader="none" w:pos="77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w:t>
      </w:r>
      <w:r>
        <w:rPr>
          <w:sz w:val="20"/>
          <w:szCs w:val="20"/>
          <w:color w:val="auto"/>
        </w:rPr>
        <w:tab/>
      </w:r>
      <w:r>
        <w:rPr>
          <w:rFonts w:ascii="Arial" w:cs="Arial" w:eastAsia="Arial" w:hAnsi="Arial"/>
          <w:sz w:val="18"/>
          <w:szCs w:val="18"/>
          <w:color w:val="auto"/>
        </w:rPr>
        <w:t xml:space="preserve">No </w:t>
      </w:r>
      <w:r>
        <w:rPr>
          <w:rFonts w:ascii="Arial Unicode MS" w:cs="Arial Unicode MS" w:eastAsia="Arial Unicode MS" w:hAnsi="Arial Unicode MS"/>
          <w:sz w:val="18"/>
          <w:szCs w:val="18"/>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 2017, there were 40,327,675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763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3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wp:posOffset>
            </wp:positionV>
            <wp:extent cx="576326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326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394335</wp:posOffset>
            </wp:positionV>
            <wp:extent cx="576326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232" w:right="1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20"/>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20" w:type="dxa"/>
            <w:vAlign w:val="bottom"/>
          </w:tcPr>
          <w:p>
            <w:pPr>
              <w:spacing w:after="0"/>
              <w:rPr>
                <w:sz w:val="17"/>
                <w:szCs w:val="17"/>
                <w:color w:val="auto"/>
              </w:rPr>
            </w:pPr>
          </w:p>
        </w:tc>
      </w:tr>
      <w:tr>
        <w:trPr>
          <w:trHeight w:val="738"/>
        </w:trPr>
        <w:tc>
          <w:tcPr>
            <w:tcW w:w="50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60" w:type="dxa"/>
            <w:vAlign w:val="bottom"/>
            <w:gridSpan w:val="9"/>
          </w:tcPr>
          <w:p>
            <w:pPr>
              <w:jc w:val="center"/>
              <w:ind w:right="2680"/>
              <w:spacing w:after="0"/>
              <w:rPr>
                <w:sz w:val="20"/>
                <w:szCs w:val="20"/>
                <w:color w:val="auto"/>
              </w:rPr>
            </w:pPr>
            <w:r>
              <w:rPr>
                <w:rFonts w:ascii="Arial" w:cs="Arial" w:eastAsia="Arial" w:hAnsi="Arial"/>
                <w:sz w:val="18"/>
                <w:szCs w:val="18"/>
                <w:b w:val="1"/>
                <w:bCs w:val="1"/>
                <w:color w:val="auto"/>
                <w:w w:val="97"/>
              </w:rPr>
              <w:t>USA TECHNOLOGIES, INC.</w:t>
            </w:r>
          </w:p>
        </w:tc>
        <w:tc>
          <w:tcPr>
            <w:tcW w:w="52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60" w:type="dxa"/>
            <w:vAlign w:val="bottom"/>
            <w:gridSpan w:val="9"/>
          </w:tcPr>
          <w:p>
            <w:pPr>
              <w:jc w:val="center"/>
              <w:ind w:right="2680"/>
              <w:spacing w:after="0"/>
              <w:rPr>
                <w:sz w:val="20"/>
                <w:szCs w:val="20"/>
                <w:color w:val="auto"/>
              </w:rPr>
            </w:pPr>
            <w:r>
              <w:rPr>
                <w:rFonts w:ascii="Arial" w:cs="Arial" w:eastAsia="Arial" w:hAnsi="Arial"/>
                <w:sz w:val="18"/>
                <w:szCs w:val="18"/>
                <w:b w:val="1"/>
                <w:bCs w:val="1"/>
                <w:color w:val="auto"/>
                <w:w w:val="96"/>
              </w:rPr>
              <w:t>TABLE OF CONTENTS</w:t>
            </w:r>
          </w:p>
        </w:tc>
        <w:tc>
          <w:tcPr>
            <w:tcW w:w="520" w:type="dxa"/>
            <w:vAlign w:val="bottom"/>
          </w:tcPr>
          <w:p>
            <w:pPr>
              <w:spacing w:after="0"/>
              <w:rPr>
                <w:sz w:val="19"/>
                <w:szCs w:val="19"/>
                <w:color w:val="auto"/>
              </w:rPr>
            </w:pPr>
          </w:p>
        </w:tc>
      </w:tr>
      <w:tr>
        <w:trPr>
          <w:trHeight w:val="382"/>
        </w:trPr>
        <w:tc>
          <w:tcPr>
            <w:tcW w:w="85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1"/>
        </w:trPr>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260" w:type="dxa"/>
            <w:vAlign w:val="bottom"/>
          </w:tcPr>
          <w:p>
            <w:pPr>
              <w:spacing w:after="0"/>
              <w:rPr>
                <w:sz w:val="24"/>
                <w:szCs w:val="24"/>
                <w:color w:val="auto"/>
              </w:rPr>
            </w:pPr>
          </w:p>
        </w:tc>
        <w:tc>
          <w:tcPr>
            <w:tcW w:w="24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Financial Statements</w:t>
              </w:r>
            </w:hyperlink>
          </w:p>
        </w:tc>
        <w:tc>
          <w:tcPr>
            <w:tcW w:w="536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01"/>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(unaudited) – December 31, 2016 and June 30, 2016 (audited)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1"/>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0" w:type="dxa"/>
            <w:vAlign w:val="bottom"/>
            <w:gridSpan w:val="1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(unaudited) – Three and six months ended December 31, 2016 and</w:t>
              </w:r>
            </w:hyperlink>
          </w:p>
        </w:tc>
        <w:tc>
          <w:tcPr>
            <w:tcW w:w="520" w:type="dxa"/>
            <w:vAlign w:val="bottom"/>
          </w:tcPr>
          <w:p>
            <w:pPr>
              <w:spacing w:after="0"/>
              <w:rPr>
                <w:sz w:val="24"/>
                <w:szCs w:val="24"/>
                <w:color w:val="auto"/>
              </w:rPr>
            </w:pPr>
          </w:p>
        </w:tc>
      </w:tr>
      <w:tr>
        <w:trPr>
          <w:trHeight w:val="190"/>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top w:val="single" w:sz="8" w:color="0000EE"/>
            </w:tcBorders>
            <w:gridSpan w:val="3"/>
          </w:tcPr>
          <w:p>
            <w:pPr>
              <w:ind w:left="160"/>
              <w:spacing w:after="0" w:line="19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2015</w:t>
              </w:r>
            </w:hyperlink>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48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1"/>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 of Shareholders’ Equity (unaudited) – Six months ended December 31, 2016</w:t>
              </w:r>
            </w:hyperlink>
          </w:p>
        </w:tc>
        <w:tc>
          <w:tcPr>
            <w:tcW w:w="70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1"/>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0" w:type="dxa"/>
            <w:vAlign w:val="bottom"/>
            <w:gridSpan w:val="1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(unaudited) – Three and six months ended December 31, 2016 and</w:t>
              </w:r>
            </w:hyperlink>
          </w:p>
        </w:tc>
        <w:tc>
          <w:tcPr>
            <w:tcW w:w="520" w:type="dxa"/>
            <w:vAlign w:val="bottom"/>
          </w:tcPr>
          <w:p>
            <w:pPr>
              <w:spacing w:after="0"/>
              <w:rPr>
                <w:sz w:val="24"/>
                <w:szCs w:val="24"/>
                <w:color w:val="auto"/>
              </w:rPr>
            </w:pPr>
          </w:p>
        </w:tc>
      </w:tr>
      <w:tr>
        <w:trPr>
          <w:trHeight w:val="190"/>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top w:val="single" w:sz="8" w:color="0000EE"/>
            </w:tcBorders>
            <w:gridSpan w:val="3"/>
          </w:tcPr>
          <w:p>
            <w:pPr>
              <w:ind w:left="160"/>
              <w:spacing w:after="0" w:line="190"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2015</w:t>
              </w:r>
            </w:hyperlink>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48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1"/>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1"/>
        </w:trPr>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2.</w:t>
              </w:r>
            </w:hyperlink>
          </w:p>
        </w:tc>
        <w:tc>
          <w:tcPr>
            <w:tcW w:w="260" w:type="dxa"/>
            <w:vAlign w:val="bottom"/>
          </w:tcPr>
          <w:p>
            <w:pPr>
              <w:spacing w:after="0"/>
              <w:rPr>
                <w:sz w:val="24"/>
                <w:szCs w:val="24"/>
                <w:color w:val="auto"/>
              </w:rPr>
            </w:pP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Financial Condition and Results of Operations</w:t>
              </w:r>
            </w:hyperlink>
          </w:p>
        </w:tc>
        <w:tc>
          <w:tcPr>
            <w:tcW w:w="15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01"/>
        </w:trPr>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3.</w:t>
              </w:r>
            </w:hyperlink>
          </w:p>
        </w:tc>
        <w:tc>
          <w:tcPr>
            <w:tcW w:w="260" w:type="dxa"/>
            <w:vAlign w:val="bottom"/>
          </w:tcPr>
          <w:p>
            <w:pPr>
              <w:spacing w:after="0"/>
              <w:rPr>
                <w:sz w:val="24"/>
                <w:szCs w:val="24"/>
                <w:color w:val="auto"/>
              </w:rPr>
            </w:pP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Quantitative and Qualitative Disclosures About Market Risk</w:t>
              </w:r>
            </w:hyperlink>
          </w:p>
        </w:tc>
        <w:tc>
          <w:tcPr>
            <w:tcW w:w="354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01"/>
        </w:trPr>
        <w:tc>
          <w:tcPr>
            <w:tcW w:w="500" w:type="dxa"/>
            <w:vAlign w:val="bottom"/>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4.</w:t>
              </w:r>
            </w:hyperlink>
          </w:p>
        </w:tc>
        <w:tc>
          <w:tcPr>
            <w:tcW w:w="260" w:type="dxa"/>
            <w:vAlign w:val="bottom"/>
          </w:tcPr>
          <w:p>
            <w:pPr>
              <w:spacing w:after="0"/>
              <w:rPr>
                <w:sz w:val="24"/>
                <w:szCs w:val="24"/>
                <w:color w:val="auto"/>
              </w:rPr>
            </w:pPr>
          </w:p>
        </w:tc>
        <w:tc>
          <w:tcPr>
            <w:tcW w:w="78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611"/>
        </w:trPr>
        <w:tc>
          <w:tcPr>
            <w:tcW w:w="856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 Other Information</w:t>
              </w:r>
            </w:hyperlink>
          </w:p>
        </w:tc>
        <w:tc>
          <w:tcPr>
            <w:tcW w:w="5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611"/>
        </w:trPr>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2.</w:t>
              </w:r>
            </w:hyperlink>
          </w:p>
        </w:tc>
        <w:tc>
          <w:tcPr>
            <w:tcW w:w="260" w:type="dxa"/>
            <w:vAlign w:val="bottom"/>
          </w:tcPr>
          <w:p>
            <w:pPr>
              <w:spacing w:after="0"/>
              <w:rPr>
                <w:sz w:val="24"/>
                <w:szCs w:val="24"/>
                <w:color w:val="auto"/>
              </w:rPr>
            </w:pP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8">
              <w:r>
                <w:rPr>
                  <w:rFonts w:ascii="Arial" w:cs="Arial" w:eastAsia="Arial" w:hAnsi="Arial"/>
                  <w:sz w:val="18"/>
                  <w:szCs w:val="18"/>
                  <w:color w:val="0000EE"/>
                  <w:w w:val="86"/>
                </w:rPr>
                <w:t>Unregistered Sales of Equity Securities and Use of Proceeds</w:t>
              </w:r>
            </w:hyperlink>
          </w:p>
        </w:tc>
        <w:tc>
          <w:tcPr>
            <w:tcW w:w="356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01"/>
        </w:trPr>
        <w:tc>
          <w:tcPr>
            <w:tcW w:w="500" w:type="dxa"/>
            <w:vAlign w:val="bottom"/>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5.</w:t>
              </w:r>
            </w:hyperlink>
          </w:p>
        </w:tc>
        <w:tc>
          <w:tcPr>
            <w:tcW w:w="260" w:type="dxa"/>
            <w:vAlign w:val="bottom"/>
          </w:tcPr>
          <w:p>
            <w:pPr>
              <w:spacing w:after="0"/>
              <w:rPr>
                <w:sz w:val="24"/>
                <w:szCs w:val="24"/>
                <w:color w:val="auto"/>
              </w:rPr>
            </w:pPr>
          </w:p>
        </w:tc>
        <w:tc>
          <w:tcPr>
            <w:tcW w:w="78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01"/>
        </w:trPr>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6.</w:t>
              </w:r>
            </w:hyperlink>
          </w:p>
        </w:tc>
        <w:tc>
          <w:tcPr>
            <w:tcW w:w="260" w:type="dxa"/>
            <w:vAlign w:val="bottom"/>
          </w:tcPr>
          <w:p>
            <w:pPr>
              <w:spacing w:after="0"/>
              <w:rPr>
                <w:sz w:val="24"/>
                <w:szCs w:val="24"/>
                <w:color w:val="auto"/>
              </w:rPr>
            </w:pPr>
          </w:p>
        </w:tc>
        <w:tc>
          <w:tcPr>
            <w:tcW w:w="1300" w:type="dxa"/>
            <w:vAlign w:val="bottom"/>
            <w:tcBorders>
              <w:top w:val="single" w:sz="8" w:color="0000EE"/>
            </w:tcBorders>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650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1"/>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66"/>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0000EE"/>
            </w:tcBorders>
            <w:gridSpan w:val="5"/>
          </w:tcPr>
          <w:p>
            <w:pPr>
              <w:spacing w:after="0"/>
              <w:rPr>
                <w:sz w:val="24"/>
                <w:szCs w:val="24"/>
                <w:color w:val="auto"/>
              </w:rPr>
            </w:pPr>
          </w:p>
        </w:tc>
        <w:tc>
          <w:tcPr>
            <w:tcW w:w="3180" w:type="dxa"/>
            <w:vAlign w:val="bottom"/>
            <w:gridSpan w:val="5"/>
          </w:tcPr>
          <w:p>
            <w:pPr>
              <w:jc w:val="center"/>
              <w:ind w:left="2812"/>
              <w:spacing w:after="0"/>
              <w:rPr>
                <w:sz w:val="20"/>
                <w:szCs w:val="20"/>
                <w:color w:val="auto"/>
              </w:rPr>
            </w:pPr>
            <w:r>
              <w:rPr>
                <w:rFonts w:ascii="Arial" w:cs="Arial" w:eastAsia="Arial" w:hAnsi="Arial"/>
                <w:sz w:val="18"/>
                <w:szCs w:val="18"/>
                <w:color w:val="auto"/>
                <w:w w:val="79"/>
              </w:rPr>
              <w:t>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25"/>
        </w:trPr>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04" w:right="139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shares)</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7"/>
        </w:trPr>
        <w:tc>
          <w:tcPr>
            <w:tcW w:w="7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2"/>
              <w:spacing w:after="0" w:line="138" w:lineRule="exact"/>
              <w:rPr>
                <w:sz w:val="20"/>
                <w:szCs w:val="20"/>
                <w:color w:val="auto"/>
              </w:rPr>
            </w:pPr>
            <w:r>
              <w:rPr>
                <w:rFonts w:ascii="Arial" w:cs="Arial" w:eastAsia="Arial" w:hAnsi="Arial"/>
                <w:sz w:val="14"/>
                <w:szCs w:val="14"/>
                <w:b w:val="1"/>
                <w:bCs w:val="1"/>
                <w:i w:val="1"/>
                <w:iCs w:val="1"/>
                <w:color w:val="auto"/>
                <w:w w:val="86"/>
              </w:rPr>
              <w:t>(unaudited)</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42"/>
              <w:spacing w:after="0" w:line="138" w:lineRule="exact"/>
              <w:rPr>
                <w:sz w:val="20"/>
                <w:szCs w:val="20"/>
                <w:color w:val="auto"/>
              </w:rPr>
            </w:pPr>
            <w:r>
              <w:rPr>
                <w:rFonts w:ascii="Arial" w:cs="Arial" w:eastAsia="Arial" w:hAnsi="Arial"/>
                <w:sz w:val="14"/>
                <w:szCs w:val="14"/>
                <w:b w:val="1"/>
                <w:bCs w:val="1"/>
                <w:i w:val="1"/>
                <w:iCs w:val="1"/>
                <w:color w:val="auto"/>
                <w:w w:val="91"/>
              </w:rPr>
              <w:t>(audited)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Accounts receivable, less allowance for doubtful accounts of $2,546 and $2,814, respectively</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Finance receivables, less allowance for credit losses of $29 and $0, respectively</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Inventory, net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4,786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Deferred income taxes</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receivables, less current portion</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25,568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25,453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Intangibles, net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Goodwill</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86,398</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 and shareholders’ equity</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Accrued expenses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Line of credit, net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Current obligations under long-term debt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Income taxes payable</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Warrant liabilities</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Deferred gain from sale-leaseback transactions</w:t>
            </w: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28,177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spacing w:after="0"/>
              <w:rPr>
                <w:sz w:val="20"/>
                <w:szCs w:val="20"/>
                <w:color w:val="auto"/>
              </w:rPr>
            </w:pPr>
            <w:r>
              <w:rPr>
                <w:rFonts w:ascii="Arial" w:cs="Arial" w:eastAsia="Arial" w:hAnsi="Arial"/>
                <w:sz w:val="16"/>
                <w:szCs w:val="16"/>
                <w:color w:val="auto"/>
              </w:rPr>
              <w:t>Long-term liabilities: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Long-term debt, less current portion</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Accrued expenses, less current portion</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Deferred gain from sale-leaseback transactions, less current portion</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160" w:type="dxa"/>
            <w:vAlign w:val="bottom"/>
            <w:gridSpan w:val="2"/>
          </w:tcPr>
          <w:p>
            <w:pPr>
              <w:spacing w:after="0"/>
              <w:rPr>
                <w:sz w:val="20"/>
                <w:szCs w:val="20"/>
                <w:color w:val="auto"/>
              </w:rPr>
            </w:pPr>
            <w:r>
              <w:rPr>
                <w:rFonts w:ascii="Arial" w:cs="Arial" w:eastAsia="Arial" w:hAnsi="Arial"/>
                <w:sz w:val="16"/>
                <w:szCs w:val="16"/>
                <w:color w:val="auto"/>
              </w:rPr>
              <w:t>Total long-term liabilities</w:t>
            </w: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liabilities</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21,768</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spacing w:after="0"/>
              <w:rPr>
                <w:sz w:val="20"/>
                <w:szCs w:val="20"/>
                <w:color w:val="auto"/>
              </w:rPr>
            </w:pPr>
            <w:r>
              <w:rPr>
                <w:rFonts w:ascii="Arial" w:cs="Arial" w:eastAsia="Arial" w:hAnsi="Arial"/>
                <w:sz w:val="16"/>
                <w:szCs w:val="16"/>
                <w:color w:val="auto"/>
              </w:rPr>
              <w:t>Commitments and contingencies (Note 11)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stock, no par value:</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160" w:type="dxa"/>
            <w:vAlign w:val="bottom"/>
            <w:gridSpan w:val="2"/>
          </w:tcPr>
          <w:p>
            <w:pPr>
              <w:spacing w:after="0"/>
              <w:rPr>
                <w:sz w:val="20"/>
                <w:szCs w:val="20"/>
                <w:color w:val="auto"/>
              </w:rPr>
            </w:pPr>
            <w:r>
              <w:rPr>
                <w:rFonts w:ascii="Arial" w:cs="Arial" w:eastAsia="Arial" w:hAnsi="Arial"/>
                <w:sz w:val="16"/>
                <w:szCs w:val="16"/>
                <w:color w:val="auto"/>
                <w:w w:val="99"/>
              </w:rPr>
              <w:t>Authorized shares- 1,800,000 Series A convertible preferred- Authorized shares- 900,000 Issued and</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160" w:type="dxa"/>
            <w:vAlign w:val="bottom"/>
            <w:gridSpan w:val="2"/>
          </w:tcPr>
          <w:p>
            <w:pPr>
              <w:ind w:left="120"/>
              <w:spacing w:after="0"/>
              <w:rPr>
                <w:sz w:val="20"/>
                <w:szCs w:val="20"/>
                <w:color w:val="auto"/>
              </w:rPr>
            </w:pPr>
            <w:r>
              <w:rPr>
                <w:rFonts w:ascii="Arial" w:cs="Arial" w:eastAsia="Arial" w:hAnsi="Arial"/>
                <w:sz w:val="16"/>
                <w:szCs w:val="16"/>
                <w:color w:val="auto"/>
              </w:rPr>
              <w:t>outstanding shares- 445,063 with liquidation preference of $18,442 and $18,108, respectively</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Common stock, no par value: Authorized shares- 640,000,000 Issued and outstanding shares- 40,321,941 and</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37,783,444, respectively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160" w:type="dxa"/>
            <w:vAlign w:val="bottom"/>
            <w:gridSpan w:val="2"/>
          </w:tcPr>
          <w:p>
            <w:pPr>
              <w:spacing w:after="0"/>
              <w:rPr>
                <w:sz w:val="20"/>
                <w:szCs w:val="20"/>
                <w:color w:val="auto"/>
              </w:rPr>
            </w:pPr>
            <w:r>
              <w:rPr>
                <w:rFonts w:ascii="Arial" w:cs="Arial" w:eastAsia="Arial" w:hAnsi="Arial"/>
                <w:sz w:val="16"/>
                <w:szCs w:val="16"/>
                <w:color w:val="auto"/>
              </w:rPr>
              <w:t>Accumulated deficit</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(183,738)</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9"/>
              </w:rPr>
              <w:t>(181,507)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shareholders’ equity</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64,630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160" w:type="dxa"/>
            <w:vAlign w:val="bottom"/>
            <w:gridSpan w:val="2"/>
          </w:tcPr>
          <w:p>
            <w:pPr>
              <w:spacing w:after="0"/>
              <w:rPr>
                <w:sz w:val="20"/>
                <w:szCs w:val="20"/>
                <w:color w:val="auto"/>
              </w:rPr>
            </w:pPr>
            <w:r>
              <w:rPr>
                <w:rFonts w:ascii="Arial" w:cs="Arial" w:eastAsia="Arial" w:hAnsi="Arial"/>
                <w:sz w:val="16"/>
                <w:szCs w:val="16"/>
                <w:color w:val="auto"/>
              </w:rPr>
              <w:t>Total liabilities and shareholders’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86,398</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20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7"/>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shares and per share data)</w:t>
            </w:r>
          </w:p>
        </w:tc>
        <w:tc>
          <w:tcPr>
            <w:tcW w:w="120" w:type="dxa"/>
            <w:vAlign w:val="bottom"/>
          </w:tcPr>
          <w:p>
            <w:pPr>
              <w:spacing w:after="0"/>
              <w:rPr>
                <w:sz w:val="14"/>
                <w:szCs w:val="14"/>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462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4"/>
              <w:spacing w:after="0" w:line="138"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3"/>
              <w:spacing w:after="0" w:line="138"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4"/>
              <w:spacing w:after="0" w:line="138"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3"/>
              <w:spacing w:after="0" w:line="138"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4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100"/>
              <w:spacing w:after="0"/>
              <w:rPr>
                <w:sz w:val="20"/>
                <w:szCs w:val="20"/>
                <w:color w:val="auto"/>
              </w:rPr>
            </w:pPr>
            <w:r>
              <w:rPr>
                <w:rFonts w:ascii="Arial" w:cs="Arial" w:eastAsia="Arial" w:hAnsi="Arial"/>
                <w:sz w:val="18"/>
                <w:szCs w:val="18"/>
                <w:color w:val="auto"/>
              </w:rPr>
              <w:t>License and transaction fees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16,639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13,674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33,004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Equipment sales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20" w:type="dxa"/>
            <w:vAlign w:val="bottom"/>
            <w:gridSpan w:val="2"/>
          </w:tcPr>
          <w:p>
            <w:pPr>
              <w:spacing w:after="0" w:line="203" w:lineRule="exact"/>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7"/>
                <w:szCs w:val="17"/>
                <w:color w:val="auto"/>
              </w:rPr>
            </w:pP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21,756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rPr>
              <w:t>18,503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43,344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35,103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Costs of sales/revenues: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services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Cost of equipment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costs of sales/revenues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15,422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13,020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30,843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24,573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1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2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6,100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4,889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13,217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9,824</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4"/>
        </w:trPr>
        <w:tc>
          <w:tcPr>
            <w:tcW w:w="462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(1,314)</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(1,630)</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(1,039)</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(2,346)</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4"/>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Cumulative preferred dividends</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Net income (loss) applicable to common shares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(2,565)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bottom w:val="single" w:sz="8" w:color="CCEEFF"/>
            </w:tcBorders>
            <w:gridSpan w:val="2"/>
          </w:tcPr>
          <w:p>
            <w:pPr>
              <w:spacing w:after="0" w:line="197" w:lineRule="exact"/>
              <w:rPr>
                <w:sz w:val="20"/>
                <w:szCs w:val="20"/>
                <w:color w:val="auto"/>
              </w:rPr>
            </w:pPr>
            <w:r>
              <w:rPr>
                <w:rFonts w:ascii="Arial" w:cs="Arial" w:eastAsia="Arial" w:hAnsi="Arial"/>
                <w:sz w:val="18"/>
                <w:szCs w:val="18"/>
                <w:color w:val="auto"/>
              </w:rPr>
              <w:t>Net earnings (loss) per common share -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0.01</w:t>
            </w:r>
          </w:p>
        </w:tc>
        <w:tc>
          <w:tcPr>
            <w:tcW w:w="14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(0.02)</w:t>
            </w:r>
          </w:p>
        </w:tc>
        <w:tc>
          <w:tcPr>
            <w:tcW w:w="14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(0.07)</w:t>
            </w:r>
          </w:p>
        </w:tc>
        <w:tc>
          <w:tcPr>
            <w:tcW w:w="14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(0.02)</w:t>
            </w:r>
          </w:p>
        </w:tc>
        <w:tc>
          <w:tcPr>
            <w:tcW w:w="6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w w:val="90"/>
              </w:rPr>
              <w:t>Basic weighted average number of common shares outstanding</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40,308,934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35,909,933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39,398,469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35,879,164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Diluted weighted average number of common shares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40,730,712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35,909,933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39,398,469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35,879,164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Series A</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4"/>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Convertible</w:t>
            </w:r>
          </w:p>
        </w:tc>
        <w:tc>
          <w:tcPr>
            <w:tcW w:w="200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Preferred Stock</w:t>
            </w:r>
          </w:p>
        </w:tc>
        <w:tc>
          <w:tcPr>
            <w:tcW w:w="2000" w:type="dxa"/>
            <w:vAlign w:val="bottom"/>
            <w:gridSpan w:val="4"/>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4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 in thousands, except shares)</w:t>
            </w:r>
          </w:p>
        </w:tc>
        <w:tc>
          <w:tcPr>
            <w:tcW w:w="820" w:type="dxa"/>
            <w:vAlign w:val="bottom"/>
            <w:tcBorders>
              <w:top w:val="single" w:sz="8" w:color="auto"/>
            </w:tcBorders>
            <w:gridSpan w:val="2"/>
          </w:tcPr>
          <w:p>
            <w:pPr>
              <w:jc w:val="center"/>
              <w:ind w:right="140"/>
              <w:spacing w:after="0" w:line="138"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400"/>
              <w:spacing w:after="0" w:line="138" w:lineRule="exact"/>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auto"/>
            </w:tcBorders>
          </w:tcPr>
          <w:p>
            <w:pPr>
              <w:jc w:val="right"/>
              <w:ind w:right="54"/>
              <w:spacing w:after="0" w:line="138"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80"/>
              <w:spacing w:after="0" w:line="138" w:lineRule="exact"/>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1"/>
                <w:szCs w:val="11"/>
                <w:color w:val="auto"/>
              </w:rPr>
            </w:pPr>
          </w:p>
        </w:tc>
        <w:tc>
          <w:tcPr>
            <w:tcW w:w="620" w:type="dxa"/>
            <w:vAlign w:val="bottom"/>
          </w:tcPr>
          <w:p>
            <w:pPr>
              <w:jc w:val="right"/>
              <w:ind w:right="154"/>
              <w:spacing w:after="0" w:line="13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34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Balance, June 30, 2016</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6"/>
              </w:rPr>
              <w:t>445,063</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9"/>
              </w:rPr>
              <w:t>$ 3,138</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37,783,444</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9"/>
              </w:rPr>
              <w:t>$ 233,394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3"/>
              </w:rPr>
              <w:t>(181,507)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55,025</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Reclass of fair value of warranty liability upon</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 of warrants</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2,401,408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2013 Stock Incentive Plan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143,622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2014 Stock Option Incentive Plan</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2015 Equity Incentive Plan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of common stock</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(2,231)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Balance, December 31, 2016</w:t>
            </w:r>
          </w:p>
        </w:tc>
        <w:tc>
          <w:tcPr>
            <w:tcW w:w="680" w:type="dxa"/>
            <w:vAlign w:val="bottom"/>
            <w:tcBorders>
              <w:top w:val="single" w:sz="8" w:color="auto"/>
              <w:bottom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6"/>
              </w:rPr>
              <w:t>445,063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9"/>
              </w:rPr>
              <w:t>$ 3,138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40,321,941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9"/>
              </w:rPr>
              <w:t>$ 245,230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3"/>
              </w:rPr>
              <w:t>(183,738)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64,630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4"/>
                <w:szCs w:val="14"/>
                <w:color w:val="auto"/>
              </w:rPr>
            </w:pPr>
          </w:p>
        </w:tc>
        <w:tc>
          <w:tcPr>
            <w:tcW w:w="14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7"/>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4"/>
                <w:szCs w:val="14"/>
                <w:color w:val="auto"/>
              </w:rPr>
            </w:pPr>
          </w:p>
        </w:tc>
        <w:tc>
          <w:tcPr>
            <w:tcW w:w="15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58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10"/>
              <w:spacing w:after="0" w:line="138"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0"/>
              <w:spacing w:after="0" w:line="138"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0"/>
              <w:spacing w:after="0" w:line="138"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0"/>
              <w:spacing w:after="0" w:line="138"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70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rPr>
              <w:t>OPERATING ACTIVITIES:</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233</w:t>
            </w:r>
          </w:p>
        </w:tc>
        <w:tc>
          <w:tcPr>
            <w:tcW w:w="160" w:type="dxa"/>
            <w:vAlign w:val="bottom"/>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(874)</w:t>
            </w: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(2,231)</w:t>
            </w: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Adjustments to reconcile net income (loss) to net cash provided/(used) by operating activities: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860" w:type="dxa"/>
            <w:vAlign w:val="bottom"/>
            <w:gridSpan w:val="2"/>
          </w:tcPr>
          <w:p>
            <w:pPr>
              <w:spacing w:after="0" w:line="127" w:lineRule="exact"/>
              <w:rPr>
                <w:sz w:val="20"/>
                <w:szCs w:val="20"/>
                <w:color w:val="auto"/>
              </w:rPr>
            </w:pPr>
            <w:r>
              <w:rPr>
                <w:rFonts w:ascii="Arial" w:cs="Arial" w:eastAsia="Arial" w:hAnsi="Arial"/>
                <w:sz w:val="14"/>
                <w:szCs w:val="14"/>
                <w:color w:val="auto"/>
                <w:w w:val="95"/>
              </w:rPr>
              <w:t>Charges incurred in connection with the vesting and issuance of common stock and common stock</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860" w:type="dxa"/>
            <w:vAlign w:val="bottom"/>
            <w:gridSpan w:val="2"/>
          </w:tcPr>
          <w:p>
            <w:pPr>
              <w:spacing w:after="0"/>
              <w:rPr>
                <w:sz w:val="20"/>
                <w:szCs w:val="20"/>
                <w:color w:val="auto"/>
              </w:rPr>
            </w:pPr>
            <w:r>
              <w:rPr>
                <w:rFonts w:ascii="Arial" w:cs="Arial" w:eastAsia="Arial" w:hAnsi="Arial"/>
                <w:sz w:val="14"/>
                <w:szCs w:val="14"/>
                <w:color w:val="auto"/>
              </w:rPr>
              <w:t>options for employee and director compensation</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Gain on disposal of property and equipment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Non-cash interest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Bad debt expense</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352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1,220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1,323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2,477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2,673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Change in fair value of warrant liabilities</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1,230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1,490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887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Deferred income taxes, net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Recognition of deferred gain from sale-leaseback transactions</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(215)</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(215)</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(430)</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(1,309)</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(448)</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(2,347)</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Finance receivables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5"/>
        </w:trPr>
        <w:tc>
          <w:tcPr>
            <w:tcW w:w="58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(467)</w:t>
            </w: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649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(2,689)</w:t>
            </w: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868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(318)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(254)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(542)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5"/>
        </w:trPr>
        <w:tc>
          <w:tcPr>
            <w:tcW w:w="58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397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(1,623)</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(3,266)</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(2,667)</w:t>
            </w: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Accrued expenses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(1,061)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(574)</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5"/>
        </w:trPr>
        <w:tc>
          <w:tcPr>
            <w:tcW w:w="58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Income taxes payable</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8"/>
        </w:trPr>
        <w:tc>
          <w:tcPr>
            <w:tcW w:w="5860" w:type="dxa"/>
            <w:vAlign w:val="bottom"/>
            <w:tcBorders>
              <w:top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Net cash provided/(used) by operating activities</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1,122</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507</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(5,143)</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869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INVESTING ACTIVITIES: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Purchase and additions of property and equipment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(441)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(609)</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Purchase of property for rental program</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(693)</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(1,335)</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Proceeds from sale of property and equipment</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101</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860" w:type="dxa"/>
            <w:vAlign w:val="bottom"/>
            <w:gridSpan w:val="2"/>
          </w:tcPr>
          <w:p>
            <w:pPr>
              <w:spacing w:after="0" w:line="138" w:lineRule="exact"/>
              <w:rPr>
                <w:sz w:val="20"/>
                <w:szCs w:val="20"/>
                <w:color w:val="auto"/>
              </w:rPr>
            </w:pPr>
            <w:r>
              <w:rPr>
                <w:rFonts w:ascii="Arial" w:cs="Arial" w:eastAsia="Arial" w:hAnsi="Arial"/>
                <w:sz w:val="14"/>
                <w:szCs w:val="14"/>
                <w:color w:val="auto"/>
              </w:rPr>
              <w:t>Net cash used by investing activities</w:t>
            </w:r>
          </w:p>
        </w:tc>
        <w:tc>
          <w:tcPr>
            <w:tcW w:w="10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(1,073)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(1,883)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FINANCING ACTIVITIES: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Cash used for the retirement of common stock</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Proceeds from exercise of common stock warrants</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6,193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Proceeds (payments) from line of credit, net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Repayment of long-term debt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(213)</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(233)</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(374)</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38"/>
        </w:trPr>
        <w:tc>
          <w:tcPr>
            <w:tcW w:w="57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Net cash provided/(used) by financing activities</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(213)</w:t>
            </w: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2,727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5,788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7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color w:val="auto"/>
              </w:rPr>
              <w:t>Net increase (decrease) in cash</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(164)</w:t>
            </w: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3,217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(1,238)</w:t>
            </w:r>
          </w:p>
        </w:tc>
        <w:tc>
          <w:tcPr>
            <w:tcW w:w="14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3,435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Cash at beginning of period</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18,198</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11,592</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19,272</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11,374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Borders>
              <w:bottom w:val="single" w:sz="8" w:color="CCEEFF"/>
            </w:tcBorders>
            <w:gridSpan w:val="2"/>
          </w:tcPr>
          <w:p>
            <w:pPr>
              <w:spacing w:after="0" w:line="138" w:lineRule="exact"/>
              <w:rPr>
                <w:sz w:val="20"/>
                <w:szCs w:val="20"/>
                <w:color w:val="auto"/>
              </w:rPr>
            </w:pPr>
            <w:r>
              <w:rPr>
                <w:rFonts w:ascii="Arial" w:cs="Arial" w:eastAsia="Arial" w:hAnsi="Arial"/>
                <w:sz w:val="14"/>
                <w:szCs w:val="14"/>
                <w:color w:val="auto"/>
              </w:rPr>
              <w:t>Cash at end of period</w:t>
            </w:r>
          </w:p>
        </w:tc>
        <w:tc>
          <w:tcPr>
            <w:tcW w:w="1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18,034</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14,809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18,034</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14,809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60" w:type="dxa"/>
            <w:vAlign w:val="bottom"/>
            <w:gridSpan w:val="2"/>
          </w:tcPr>
          <w:p>
            <w:pPr>
              <w:spacing w:after="0" w:line="145" w:lineRule="exact"/>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60" w:type="dxa"/>
            <w:vAlign w:val="bottom"/>
            <w:tcBorders>
              <w:bottom w:val="single" w:sz="8" w:color="CCEEFF"/>
            </w:tcBorders>
            <w:gridSpan w:val="2"/>
            <w:shd w:val="clear" w:color="auto" w:fill="CCEEFF"/>
          </w:tcPr>
          <w:p>
            <w:pPr>
              <w:spacing w:after="0" w:line="145" w:lineRule="exact"/>
              <w:rPr>
                <w:sz w:val="20"/>
                <w:szCs w:val="20"/>
                <w:color w:val="auto"/>
              </w:rPr>
            </w:pPr>
            <w:r>
              <w:rPr>
                <w:rFonts w:ascii="Arial" w:cs="Arial" w:eastAsia="Arial" w:hAnsi="Arial"/>
                <w:sz w:val="14"/>
                <w:szCs w:val="14"/>
                <w:color w:val="auto"/>
              </w:rPr>
              <w:t>Interest paid in cash</w:t>
            </w:r>
          </w:p>
        </w:tc>
        <w:tc>
          <w:tcPr>
            <w:tcW w:w="1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382</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107</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469</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860" w:type="dxa"/>
            <w:vAlign w:val="bottom"/>
            <w:tcBorders>
              <w:bottom w:val="single" w:sz="8" w:color="CCEEFF"/>
            </w:tcBorders>
            <w:gridSpan w:val="2"/>
          </w:tcPr>
          <w:p>
            <w:pPr>
              <w:spacing w:after="0" w:line="131" w:lineRule="exact"/>
              <w:rPr>
                <w:sz w:val="20"/>
                <w:szCs w:val="20"/>
                <w:color w:val="auto"/>
              </w:rPr>
            </w:pPr>
            <w:r>
              <w:rPr>
                <w:rFonts w:ascii="Arial" w:cs="Arial" w:eastAsia="Arial" w:hAnsi="Arial"/>
                <w:sz w:val="14"/>
                <w:szCs w:val="14"/>
                <w:color w:val="auto"/>
              </w:rPr>
              <w:t>Depreciation expense allocated to cost of services</w:t>
            </w:r>
          </w:p>
        </w:tc>
        <w:tc>
          <w:tcPr>
            <w:tcW w:w="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967</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1,186</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2,050</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2,385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860" w:type="dxa"/>
            <w:vAlign w:val="bottom"/>
            <w:tcBorders>
              <w:bottom w:val="single" w:sz="8" w:color="CCEEFF"/>
            </w:tcBorders>
            <w:gridSpan w:val="2"/>
            <w:shd w:val="clear" w:color="auto" w:fill="CCEEFF"/>
          </w:tcPr>
          <w:p>
            <w:pPr>
              <w:spacing w:after="0" w:line="145" w:lineRule="exact"/>
              <w:rPr>
                <w:sz w:val="20"/>
                <w:szCs w:val="20"/>
                <w:color w:val="auto"/>
              </w:rPr>
            </w:pPr>
            <w:r>
              <w:rPr>
                <w:rFonts w:ascii="Arial" w:cs="Arial" w:eastAsia="Arial" w:hAnsi="Arial"/>
                <w:sz w:val="14"/>
                <w:szCs w:val="14"/>
                <w:color w:val="auto"/>
              </w:rPr>
              <w:t>Reclass of rental program property to inventory, net</w:t>
            </w:r>
          </w:p>
        </w:tc>
        <w:tc>
          <w:tcPr>
            <w:tcW w:w="1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(55)</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777</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(66)</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498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860" w:type="dxa"/>
            <w:vAlign w:val="bottom"/>
            <w:tcBorders>
              <w:bottom w:val="single" w:sz="8" w:color="CCEEFF"/>
            </w:tcBorders>
            <w:gridSpan w:val="2"/>
          </w:tcPr>
          <w:p>
            <w:pPr>
              <w:spacing w:after="0" w:line="131" w:lineRule="exact"/>
              <w:rPr>
                <w:sz w:val="20"/>
                <w:szCs w:val="20"/>
                <w:color w:val="auto"/>
              </w:rPr>
            </w:pPr>
            <w:r>
              <w:rPr>
                <w:rFonts w:ascii="Arial" w:cs="Arial" w:eastAsia="Arial" w:hAnsi="Arial"/>
                <w:sz w:val="14"/>
                <w:szCs w:val="14"/>
                <w:color w:val="auto"/>
              </w:rPr>
              <w:t>Prepaid items financed with debt</w:t>
            </w:r>
          </w:p>
        </w:tc>
        <w:tc>
          <w:tcPr>
            <w:tcW w:w="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54</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860" w:type="dxa"/>
            <w:vAlign w:val="bottom"/>
            <w:tcBorders>
              <w:bottom w:val="single" w:sz="8" w:color="CCEEFF"/>
            </w:tcBorders>
            <w:gridSpan w:val="2"/>
            <w:shd w:val="clear" w:color="auto" w:fill="CCEEFF"/>
          </w:tcPr>
          <w:p>
            <w:pPr>
              <w:spacing w:after="0" w:line="145" w:lineRule="exact"/>
              <w:rPr>
                <w:sz w:val="20"/>
                <w:szCs w:val="20"/>
                <w:color w:val="auto"/>
              </w:rPr>
            </w:pPr>
            <w:r>
              <w:rPr>
                <w:rFonts w:ascii="Arial" w:cs="Arial" w:eastAsia="Arial" w:hAnsi="Arial"/>
                <w:sz w:val="14"/>
                <w:szCs w:val="14"/>
                <w:color w:val="auto"/>
              </w:rPr>
              <w:t>Equipment and property acquired under capital lease</w:t>
            </w:r>
          </w:p>
        </w:tc>
        <w:tc>
          <w:tcPr>
            <w:tcW w:w="1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18</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272</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860" w:type="dxa"/>
            <w:vAlign w:val="bottom"/>
            <w:gridSpan w:val="2"/>
          </w:tcPr>
          <w:p>
            <w:pPr>
              <w:spacing w:after="0" w:line="131" w:lineRule="exact"/>
              <w:rPr>
                <w:sz w:val="20"/>
                <w:szCs w:val="20"/>
                <w:color w:val="auto"/>
              </w:rPr>
            </w:pPr>
            <w:r>
              <w:rPr>
                <w:rFonts w:ascii="Arial" w:cs="Arial" w:eastAsia="Arial" w:hAnsi="Arial"/>
                <w:sz w:val="14"/>
                <w:szCs w:val="14"/>
                <w:color w:val="auto"/>
              </w:rPr>
              <w:t>Disposal of property and equipment</w:t>
            </w:r>
          </w:p>
        </w:tc>
        <w:tc>
          <w:tcPr>
            <w:tcW w:w="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570</w:t>
            </w:r>
          </w:p>
        </w:tc>
        <w:tc>
          <w:tcPr>
            <w:tcW w:w="16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238</w:t>
            </w:r>
          </w:p>
        </w:tc>
        <w:tc>
          <w:tcPr>
            <w:tcW w:w="16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570</w:t>
            </w:r>
          </w:p>
        </w:tc>
        <w:tc>
          <w:tcPr>
            <w:tcW w:w="16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337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326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9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2016. In the opinion of management, all adjustments considered necessary for a fair presentation, consisting of normal recurring adjustments, have been included. Operating results for the three and six-month periods ended December 31, 2016 are not necessarily indicative of the results that may be expected for the year ending June 30, 2017. The balance sheet at June 30, 2016 has been derived from the audited consolidated financial statements at that date, but does not include all of the information and footnotes required by U.S. generally accepted accounting principles for complete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accounts and transactions have been eliminated in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in bank deposit accounts, which may exceed federally insured limits at times.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UNCOLLECTIBLE ACCOUNTS</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Accounts receivable include amounts due to the Company for sales of equipment, other amounts due from customers, merchant service receivables, and unbilled amounts due from customers, net of the allowance for uncollectible accounts.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3260" cy="16510"/>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offers extended payment terms to certain customers for equipment sales under its Quick Start Program. In accordance with the Financial Accounting Standards Board (“FASB”) Accounting Standards Codification® (“ASC”) Topic 840, “Leases”, agreements under the Quick Start Program qualify for sales-type lease accounting. Accordingly, the future minimum lease payments are classified as finance receivables in the Company’s consolidated balance sheets. Finance receivables for Quick Start leases are generally for a sixty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Net</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Inventory consists of finished goods and packaging materials. The Company’s inventory is stated at the lower of cost (average cost basis) or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intangible assets include goodwill, non-compete agreements, brand, developed technology and customer relationships.</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financial assets and liabilities are accounted for in accordance with (“ASC”) 820 “Fair Value Measurement.” Under (“ASC”) 820 the Company uses inputs from the three levels of the fair value hierarchy to measure its financial assets and liabilities. The three levels are as follows: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financial instruments, principally accounts receivable, short-term finance receivables, prepaid expenses and other assets, accounts payable and accrued expenses, are carried at cost which approximates fair value due to the short-term maturity of these instruments. The fair value of the Company’s obligations under its long-term debt agreements and the long-term portion of its finance receivables approximates their carrying value as such instruments are at market rates currently available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Revenue from the sale or QuickStart lease of equipment is recognized on the terms of freight-on-board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 The company makes an adjustment for rebates and product returns.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financing company for the devices. The Company utilizes its best estimate of selling price when calculating the revenue to be recorded under these leases. The leases qualify for sales type lease accounting. Accordingly, the Company recognizes a portion of lease payments as interest income for leases not placed with a third-party financing company. At the end of the lease period, the customer would have the option to purchase the device at its residual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adopted the provisions of (“ASU”) 2014-16 in determining whether the Company’s Series A Convertible Preferred Stock (“preferred stock”) is more equity-like or debt-like, and whether derivatives embedded in the preferred stock, if any, must be bifurcated and accounted for separately from its host contract. Based upon management’s review of the preferred stock features, management has determined that the preferred stock is more equity-like and that the embedded derivatives do not require bifurcation. As such, the adoption of this standard did not have a material impact on the company's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accordance with the (“ASC”) Topic 718, the cost of employee services received in exchange for an award of equity instruments is based on the grant-date fair value of the award and allocated over the vesting period of the award.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follows the (“ASC”) Topic 740, “Accounting for Uncertainty in Income Taxes”, which provides detailed guidance for the financial statement recognition, measurement and disclosure of uncertain tax positions recognized in the consolidated financial statements. Accordingly, tax positions must meet a “more-likely-than-not” recognition threshold at the effective date to be recognized upon the adoption of (“ASC”) Topic 740 and in subsequent periods.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that,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and six months ended December 31,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Basic earnings (loss) per share are calculated by dividing income (loss) applicable to common shares by the weighted average common shares outstanding for the period. Diluted earnings per share are calculated by dividing income (loss) applicable to common shares by the weighted average common shares outstanding for the period plus the effect of potential common shares unless such effect is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follows the (“ASC”) Topic 350-40, “Accounting for the Cost of Computer Software Developed or obtained for Internal Use”, which provides for guidance for what costs can be capitalized for internal use.</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Capitalized costs for internal-use software are included in fixed assets in the consolidated balance sheet and are amortized over three years. Costs incurred during the preliminary project along with post-implementation stages of internal use computer software development and costs incurred to maintain existing product offerings are expensed as incurred. The capitalization and ongoing assessment of recoverability of development costs require considerable judgment by management with respect to certain external factors, including, but not limited to, technological and economic feasibility and estimated economic life.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is evaluating whether the effects of the following recent accounting will have a material effect on the Company’s consolidated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October 2016, the (“FASB”) issued (“ASU”) 2016-19 – “Technical Corrections and Improvements”.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January 2017, the (“FASB”) issued (“ASU”) 2017-04 – “Intangibles-Goodwill and Other (Topic 350): Simplifying the test for Goodwill Impairment.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Commencing with the June 30, 2016 financial statements, the Company changed the manner in which it presents certain unfunded finance receivables in its consolidated balance sheets and the related statements of cash flows. These finance receivables have yet to be and are expected to be funded by a third-party funding source. The previous accounting classification recorded these amounts as accounts receivable in the consolidated balance sheets and the related statements of cash flows. The impact of this change on the Statement of Cash Flows is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5"/>
                <w:szCs w:val="15"/>
                <w:color w:val="auto"/>
              </w:rPr>
            </w:pPr>
          </w:p>
        </w:tc>
        <w:tc>
          <w:tcPr>
            <w:tcW w:w="18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208"/>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December 31, 2015</w:t>
            </w:r>
          </w:p>
        </w:tc>
        <w:tc>
          <w:tcPr>
            <w:tcW w:w="120" w:type="dxa"/>
            <w:vAlign w:val="bottom"/>
          </w:tcPr>
          <w:p>
            <w:pPr>
              <w:spacing w:after="0"/>
              <w:rPr>
                <w:sz w:val="18"/>
                <w:szCs w:val="18"/>
                <w:color w:val="auto"/>
              </w:rPr>
            </w:pPr>
          </w:p>
        </w:tc>
        <w:tc>
          <w:tcPr>
            <w:tcW w:w="18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December 31, 2015</w:t>
            </w:r>
          </w:p>
        </w:tc>
        <w:tc>
          <w:tcPr>
            <w:tcW w:w="0" w:type="dxa"/>
            <w:vAlign w:val="bottom"/>
          </w:tcPr>
          <w:p>
            <w:pPr>
              <w:spacing w:after="0"/>
              <w:rPr>
                <w:sz w:val="1"/>
                <w:szCs w:val="1"/>
                <w:color w:val="auto"/>
              </w:rPr>
            </w:pPr>
          </w:p>
        </w:tc>
      </w:tr>
      <w:tr>
        <w:trPr>
          <w:trHeight w:val="115"/>
        </w:trPr>
        <w:tc>
          <w:tcPr>
            <w:tcW w:w="3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16" w:lineRule="exact"/>
              <w:rPr>
                <w:sz w:val="20"/>
                <w:szCs w:val="20"/>
                <w:color w:val="auto"/>
              </w:rPr>
            </w:pPr>
            <w:r>
              <w:rPr>
                <w:rFonts w:ascii="Arial" w:cs="Arial" w:eastAsia="Arial" w:hAnsi="Arial"/>
                <w:sz w:val="13"/>
                <w:szCs w:val="13"/>
                <w:b w:val="1"/>
                <w:bCs w:val="1"/>
                <w:color w:val="auto"/>
                <w:w w:val="94"/>
              </w:rPr>
              <w:t>Accounts</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40"/>
              <w:spacing w:after="0" w:line="116" w:lineRule="exact"/>
              <w:rPr>
                <w:sz w:val="20"/>
                <w:szCs w:val="20"/>
                <w:color w:val="auto"/>
              </w:rPr>
            </w:pPr>
            <w:r>
              <w:rPr>
                <w:rFonts w:ascii="Arial" w:cs="Arial" w:eastAsia="Arial" w:hAnsi="Arial"/>
                <w:sz w:val="13"/>
                <w:szCs w:val="13"/>
                <w:b w:val="1"/>
                <w:bCs w:val="1"/>
                <w:color w:val="auto"/>
                <w:w w:val="93"/>
              </w:rPr>
              <w:t>Finance</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240"/>
              <w:spacing w:after="0" w:line="116" w:lineRule="exact"/>
              <w:rPr>
                <w:sz w:val="20"/>
                <w:szCs w:val="20"/>
                <w:color w:val="auto"/>
              </w:rPr>
            </w:pPr>
            <w:r>
              <w:rPr>
                <w:rFonts w:ascii="Arial" w:cs="Arial" w:eastAsia="Arial" w:hAnsi="Arial"/>
                <w:sz w:val="13"/>
                <w:szCs w:val="13"/>
                <w:b w:val="1"/>
                <w:bCs w:val="1"/>
                <w:color w:val="auto"/>
              </w:rPr>
              <w:t>Accounts</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7"/>
              </w:rPr>
              <w:t>Finance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Receivable</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Receivables</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Receivable</w:t>
            </w:r>
          </w:p>
        </w:tc>
        <w:tc>
          <w:tcPr>
            <w:tcW w:w="1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Receivables</w:t>
            </w:r>
          </w:p>
        </w:tc>
        <w:tc>
          <w:tcPr>
            <w:tcW w:w="0" w:type="dxa"/>
            <w:vAlign w:val="bottom"/>
          </w:tcPr>
          <w:p>
            <w:pPr>
              <w:spacing w:after="0"/>
              <w:rPr>
                <w:sz w:val="1"/>
                <w:szCs w:val="1"/>
                <w:color w:val="auto"/>
              </w:rPr>
            </w:pPr>
          </w:p>
        </w:tc>
      </w:tr>
      <w:tr>
        <w:trPr>
          <w:trHeight w:val="204"/>
        </w:trPr>
        <w:tc>
          <w:tcPr>
            <w:tcW w:w="32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Per Original Statement of Cash Flows</w:t>
            </w:r>
          </w:p>
        </w:tc>
        <w:tc>
          <w:tcPr>
            <w:tcW w:w="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(767)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533</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120"/>
              <w:spacing w:after="0" w:line="204" w:lineRule="exact"/>
              <w:rPr>
                <w:sz w:val="20"/>
                <w:szCs w:val="20"/>
                <w:color w:val="auto"/>
              </w:rPr>
            </w:pPr>
            <w:r>
              <w:rPr>
                <w:rFonts w:ascii="Arial" w:cs="Arial" w:eastAsia="Arial" w:hAnsi="Arial"/>
                <w:sz w:val="18"/>
                <w:szCs w:val="18"/>
                <w:color w:val="auto"/>
              </w:rPr>
              <w:t>(1,480)</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Impact from the reclassification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line="204" w:lineRule="exact"/>
              <w:rPr>
                <w:sz w:val="20"/>
                <w:szCs w:val="20"/>
                <w:color w:val="auto"/>
              </w:rPr>
            </w:pPr>
            <w:r>
              <w:rPr>
                <w:rFonts w:ascii="Arial" w:cs="Arial" w:eastAsia="Arial" w:hAnsi="Arial"/>
                <w:sz w:val="18"/>
                <w:szCs w:val="18"/>
                <w:color w:val="auto"/>
              </w:rPr>
              <w:t>Adjusted Statement of Cash Flows</w:t>
            </w:r>
          </w:p>
        </w:tc>
        <w:tc>
          <w:tcPr>
            <w:tcW w:w="1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(370)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CALCULATION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earnings per share (“eps”) and diluted earnings per share are presented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1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7"/>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40" w:type="dxa"/>
            <w:vAlign w:val="bottom"/>
          </w:tcPr>
          <w:p>
            <w:pPr>
              <w:spacing w:after="0"/>
              <w:rPr>
                <w:sz w:val="14"/>
                <w:szCs w:val="14"/>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2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38"/>
        </w:trPr>
        <w:tc>
          <w:tcPr>
            <w:tcW w:w="4380" w:type="dxa"/>
            <w:vAlign w:val="bottom"/>
            <w:gridSpan w:val="2"/>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97"/>
              <w:spacing w:after="0" w:line="138"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4"/>
              <w:spacing w:after="0" w:line="138"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97"/>
              <w:spacing w:after="0" w:line="138"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94"/>
              <w:spacing w:after="0" w:line="138"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6"/>
              </w:rPr>
              <w:t>Numerator for basic earnings per share - Net income</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available to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Gain recorded for reduction in fair value of warrants*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38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 xml:space="preserve">Numerator for diluted earnings per share </w:t>
            </w:r>
            <w:r>
              <w:rPr>
                <w:rFonts w:ascii="Arial" w:cs="Arial" w:eastAsia="Arial" w:hAnsi="Arial"/>
                <w:sz w:val="18"/>
                <w:szCs w:val="18"/>
                <w:color w:val="auto"/>
                <w:w w:val="95"/>
              </w:rPr>
              <w:t>- Net income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(874)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(2,565)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available to common shareholders</w:t>
            </w:r>
          </w:p>
        </w:tc>
        <w:tc>
          <w:tcPr>
            <w:tcW w:w="1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 xml:space="preserve">Denominator for basic earnings per share </w:t>
            </w:r>
            <w:r>
              <w:rPr>
                <w:rFonts w:ascii="Arial" w:cs="Arial" w:eastAsia="Arial" w:hAnsi="Arial"/>
                <w:sz w:val="18"/>
                <w:szCs w:val="18"/>
                <w:color w:val="auto"/>
                <w:w w:val="97"/>
              </w:rPr>
              <w:t>- Weighted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40,308,934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35,909,933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39,398,469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35,879,164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gridSpan w:val="2"/>
          </w:tcPr>
          <w:p>
            <w:pPr>
              <w:spacing w:after="0"/>
              <w:rPr>
                <w:sz w:val="20"/>
                <w:szCs w:val="20"/>
                <w:color w:val="auto"/>
              </w:rPr>
            </w:pPr>
            <w:r>
              <w:rPr>
                <w:rFonts w:ascii="Arial" w:cs="Arial" w:eastAsia="Arial" w:hAnsi="Arial"/>
                <w:sz w:val="18"/>
                <w:szCs w:val="18"/>
                <w:color w:val="auto"/>
              </w:rPr>
              <w:t>Effect of dilutive potential common shares*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421,778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38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 xml:space="preserve">Denominator for diluted earnings per share </w:t>
            </w:r>
            <w:r>
              <w:rPr>
                <w:rFonts w:ascii="Arial" w:cs="Arial" w:eastAsia="Arial" w:hAnsi="Arial"/>
                <w:sz w:val="18"/>
                <w:szCs w:val="18"/>
                <w:color w:val="auto"/>
                <w:w w:val="95"/>
              </w:rPr>
              <w:t>- Adjusted</w:t>
            </w: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40,730,712</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35,909,933</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39,398,469</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35,879,164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14452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5260" cy="8255"/>
                    </a:xfrm>
                    <a:prstGeom prst="rect">
                      <a:avLst/>
                    </a:prstGeom>
                    <a:noFill/>
                  </pic:spPr>
                </pic:pic>
              </a:graphicData>
            </a:graphic>
          </wp:anchor>
        </w:drawing>
      </w:r>
    </w:p>
    <w:p>
      <w:pPr>
        <w:spacing w:after="0" w:line="170" w:lineRule="exact"/>
        <w:rPr>
          <w:sz w:val="20"/>
          <w:szCs w:val="20"/>
          <w:color w:val="auto"/>
        </w:rPr>
      </w:pPr>
    </w:p>
    <w:p>
      <w:pPr>
        <w:ind w:right="580"/>
        <w:spacing w:after="0" w:line="261" w:lineRule="auto"/>
        <w:tabs>
          <w:tab w:leader="none" w:pos="158" w:val="left"/>
        </w:tabs>
        <w:numPr>
          <w:ilvl w:val="0"/>
          <w:numId w:val="3"/>
        </w:numPr>
        <w:rPr>
          <w:rFonts w:ascii="Arial" w:cs="Arial" w:eastAsia="Arial" w:hAnsi="Arial"/>
          <w:sz w:val="21"/>
          <w:szCs w:val="21"/>
          <w:color w:val="auto"/>
        </w:rPr>
      </w:pPr>
      <w:r>
        <w:rPr>
          <w:rFonts w:ascii="Arial" w:cs="Arial" w:eastAsia="Arial" w:hAnsi="Arial"/>
          <w:sz w:val="21"/>
          <w:szCs w:val="21"/>
          <w:color w:val="auto"/>
        </w:rPr>
        <w:t>No adjustment necessary for the three months ended December 31, 2015 and the six months ended December 31, 2016 and 2015 as the effects would be anti-dilutive.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FINANCE RECEIVABLES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67"/>
        </w:trPr>
        <w:tc>
          <w:tcPr>
            <w:tcW w:w="5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38"/>
        </w:trPr>
        <w:tc>
          <w:tcPr>
            <w:tcW w:w="5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9"/>
              <w:spacing w:after="0" w:line="138" w:lineRule="exact"/>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7,306</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3"/>
              </w:rPr>
              <w:t>3,588</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Non-current portion of finance receivables</w:t>
            </w: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3,956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ind w:left="60"/>
              <w:spacing w:after="0" w:line="204" w:lineRule="exact"/>
              <w:rPr>
                <w:sz w:val="20"/>
                <w:szCs w:val="20"/>
                <w:color w:val="auto"/>
              </w:rPr>
            </w:pPr>
            <w:r>
              <w:rPr>
                <w:rFonts w:ascii="Arial" w:cs="Arial" w:eastAsia="Arial" w:hAnsi="Arial"/>
                <w:sz w:val="18"/>
                <w:szCs w:val="18"/>
                <w:color w:val="auto"/>
                <w:w w:val="93"/>
              </w:rPr>
              <w:t>3,718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collects monthly payments of its finance receivables from the customers’ transaction fund flow. Accordingly, as the fund flow from these customers’ transactions is generally sufficient to satisfy the amount due to the Company, the risk of loss is considered low and the Company has provided for an allowance for credit losses for finance receivables of $29 thousand and $0 as of December 31, 2016 and June 30, 2016, respectively. The aggregate amount of unrealized losses on Finance Receivables was $33 thousand and $0 as of December 31, 2016 and June 30, 2016, respectively. The number of Finance Receivables that are in a loss position is twelve and zero as of December 31, 2016 and June 30, 2016 respectively.</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0" w:type="dxa"/>
            <w:vAlign w:val="bottom"/>
          </w:tcPr>
          <w:p>
            <w:pPr>
              <w:spacing w:after="0"/>
              <w:rPr>
                <w:sz w:val="19"/>
                <w:szCs w:val="19"/>
                <w:color w:val="auto"/>
              </w:rPr>
            </w:pPr>
          </w:p>
        </w:tc>
        <w:tc>
          <w:tcPr>
            <w:tcW w:w="2460" w:type="dxa"/>
            <w:vAlign w:val="bottom"/>
            <w:gridSpan w:val="3"/>
          </w:tcPr>
          <w:p>
            <w:pPr>
              <w:jc w:val="right"/>
              <w:ind w:right="161"/>
              <w:spacing w:after="0"/>
              <w:rPr>
                <w:sz w:val="20"/>
                <w:szCs w:val="20"/>
                <w:color w:val="auto"/>
              </w:rPr>
            </w:pPr>
            <w:r>
              <w:rPr>
                <w:rFonts w:ascii="Arial" w:cs="Arial" w:eastAsia="Arial" w:hAnsi="Arial"/>
                <w:sz w:val="18"/>
                <w:szCs w:val="18"/>
                <w:color w:val="auto"/>
              </w:rPr>
              <w:t>Credit Quality Indicators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46"/>
        </w:trPr>
        <w:tc>
          <w:tcPr>
            <w:tcW w:w="3200" w:type="dxa"/>
            <w:vAlign w:val="bottom"/>
          </w:tcPr>
          <w:p>
            <w:pPr>
              <w:spacing w:after="0"/>
              <w:rPr>
                <w:sz w:val="20"/>
                <w:szCs w:val="20"/>
                <w:color w:val="auto"/>
              </w:rPr>
            </w:pPr>
            <w:r>
              <w:rPr>
                <w:rFonts w:ascii="Arial" w:cs="Arial" w:eastAsia="Arial" w:hAnsi="Arial"/>
                <w:sz w:val="14"/>
                <w:szCs w:val="14"/>
                <w:b w:val="1"/>
                <w:bCs w:val="1"/>
                <w:color w:val="auto"/>
              </w:rPr>
              <w:t>Credit risk profile based on payment activity:</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w:t>
            </w:r>
          </w:p>
        </w:tc>
      </w:tr>
      <w:tr>
        <w:trPr>
          <w:trHeight w:val="167"/>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2016</w:t>
            </w:r>
          </w:p>
        </w:tc>
      </w:tr>
      <w:tr>
        <w:trPr>
          <w:trHeight w:val="138"/>
        </w:trPr>
        <w:tc>
          <w:tcPr>
            <w:tcW w:w="3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9"/>
              <w:spacing w:after="0" w:line="138"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7,174</w:t>
            </w:r>
          </w:p>
        </w:tc>
      </w:tr>
      <w:tr>
        <w:trPr>
          <w:trHeight w:val="210"/>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Nonperforming</w:t>
            </w:r>
          </w:p>
        </w:tc>
        <w:tc>
          <w:tcPr>
            <w:tcW w:w="2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10"/>
        </w:trPr>
        <w:tc>
          <w:tcPr>
            <w:tcW w:w="320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w:t>
            </w:r>
          </w:p>
        </w:tc>
        <w:tc>
          <w:tcPr>
            <w:tcW w:w="2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5,398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7,306</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4"/>
          </w:tcPr>
          <w:p>
            <w:pPr>
              <w:jc w:val="center"/>
              <w:ind w:left="21"/>
              <w:spacing w:after="0"/>
              <w:rPr>
                <w:sz w:val="20"/>
                <w:szCs w:val="20"/>
                <w:color w:val="auto"/>
              </w:rPr>
            </w:pPr>
            <w:r>
              <w:rPr>
                <w:rFonts w:ascii="Arial" w:cs="Arial" w:eastAsia="Arial" w:hAnsi="Arial"/>
                <w:sz w:val="18"/>
                <w:szCs w:val="18"/>
                <w:color w:val="auto"/>
                <w:w w:val="87"/>
              </w:rPr>
              <w:t>Age Analysis of Past Due Finance Receivables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9"/>
          </w:tcPr>
          <w:p>
            <w:pPr>
              <w:jc w:val="center"/>
              <w:spacing w:after="0"/>
              <w:rPr>
                <w:sz w:val="20"/>
                <w:szCs w:val="20"/>
                <w:color w:val="auto"/>
              </w:rPr>
            </w:pPr>
            <w:r>
              <w:rPr>
                <w:rFonts w:ascii="Arial" w:cs="Arial" w:eastAsia="Arial" w:hAnsi="Arial"/>
                <w:sz w:val="18"/>
                <w:szCs w:val="18"/>
                <w:color w:val="auto"/>
                <w:w w:val="88"/>
              </w:rPr>
              <w:t>As of December 31, 2016</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31 – 60</w:t>
            </w:r>
          </w:p>
        </w:tc>
        <w:tc>
          <w:tcPr>
            <w:tcW w:w="1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61 – 90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Greater than</w:t>
            </w: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Past</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vMerge w:val="restart"/>
          </w:tcPr>
          <w:p>
            <w:pPr>
              <w:spacing w:after="0"/>
              <w:rPr>
                <w:sz w:val="12"/>
                <w:szCs w:val="12"/>
                <w:color w:val="auto"/>
              </w:rPr>
            </w:pPr>
          </w:p>
        </w:tc>
        <w:tc>
          <w:tcPr>
            <w:tcW w:w="8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86"/>
              </w:rPr>
              <w:t>Days Past</w:t>
            </w:r>
          </w:p>
        </w:tc>
        <w:tc>
          <w:tcPr>
            <w:tcW w:w="6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6"/>
              </w:rPr>
              <w:t>Days Past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87"/>
              </w:rPr>
              <w:t>90 Days Past</w:t>
            </w:r>
          </w:p>
        </w:tc>
        <w:tc>
          <w:tcPr>
            <w:tcW w:w="800" w:type="dxa"/>
            <w:vAlign w:val="bottom"/>
            <w:gridSpan w:val="3"/>
            <w:vMerge w:val="continue"/>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67"/>
        </w:trPr>
        <w:tc>
          <w:tcPr>
            <w:tcW w:w="22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8"/>
              </w:rPr>
              <w:t>Due</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Due</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0"/>
        </w:trPr>
        <w:tc>
          <w:tcPr>
            <w:tcW w:w="2400" w:type="dxa"/>
            <w:vAlign w:val="bottom"/>
            <w:tcBorders>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QuickStart Leases</w:t>
            </w: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$ 5,342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619"/>
        </w:trPr>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14"/>
          </w:tcPr>
          <w:p>
            <w:pPr>
              <w:jc w:val="center"/>
              <w:ind w:left="21"/>
              <w:spacing w:after="0"/>
              <w:rPr>
                <w:sz w:val="20"/>
                <w:szCs w:val="20"/>
                <w:color w:val="auto"/>
              </w:rPr>
            </w:pPr>
            <w:r>
              <w:rPr>
                <w:rFonts w:ascii="Arial" w:cs="Arial" w:eastAsia="Arial" w:hAnsi="Arial"/>
                <w:sz w:val="18"/>
                <w:szCs w:val="18"/>
                <w:color w:val="auto"/>
                <w:w w:val="87"/>
              </w:rPr>
              <w:t>Age Analysis of Past Due Finance Receivables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40" w:type="dxa"/>
            <w:vAlign w:val="bottom"/>
            <w:gridSpan w:val="8"/>
          </w:tcPr>
          <w:p>
            <w:pPr>
              <w:jc w:val="center"/>
              <w:ind w:right="500"/>
              <w:spacing w:after="0"/>
              <w:rPr>
                <w:sz w:val="20"/>
                <w:szCs w:val="20"/>
                <w:color w:val="auto"/>
              </w:rPr>
            </w:pPr>
            <w:r>
              <w:rPr>
                <w:rFonts w:ascii="Arial" w:cs="Arial" w:eastAsia="Arial" w:hAnsi="Arial"/>
                <w:sz w:val="18"/>
                <w:szCs w:val="18"/>
                <w:color w:val="auto"/>
                <w:w w:val="87"/>
              </w:rPr>
              <w:t>As of June 30, 2016</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31 – 60</w:t>
            </w:r>
          </w:p>
        </w:tc>
        <w:tc>
          <w:tcPr>
            <w:tcW w:w="1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61 – 90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Greater than</w:t>
            </w: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Past</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vMerge w:val="restart"/>
          </w:tcPr>
          <w:p>
            <w:pPr>
              <w:spacing w:after="0"/>
              <w:rPr>
                <w:sz w:val="12"/>
                <w:szCs w:val="12"/>
                <w:color w:val="auto"/>
              </w:rPr>
            </w:pPr>
          </w:p>
        </w:tc>
        <w:tc>
          <w:tcPr>
            <w:tcW w:w="8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86"/>
              </w:rPr>
              <w:t>Days Past</w:t>
            </w:r>
          </w:p>
        </w:tc>
        <w:tc>
          <w:tcPr>
            <w:tcW w:w="6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6"/>
              </w:rPr>
              <w:t>Days Past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87"/>
              </w:rPr>
              <w:t>90 Days Past</w:t>
            </w:r>
          </w:p>
        </w:tc>
        <w:tc>
          <w:tcPr>
            <w:tcW w:w="800" w:type="dxa"/>
            <w:vAlign w:val="bottom"/>
            <w:gridSpan w:val="3"/>
            <w:vMerge w:val="continue"/>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67"/>
        </w:trPr>
        <w:tc>
          <w:tcPr>
            <w:tcW w:w="22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8"/>
              </w:rPr>
              <w:t>Due</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Due</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0"/>
        </w:trPr>
        <w:tc>
          <w:tcPr>
            <w:tcW w:w="2400" w:type="dxa"/>
            <w:vAlign w:val="bottom"/>
            <w:tcBorders>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QuickStart Leases</w:t>
            </w: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132</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$ 7,174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INTANGIBLES</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15, 2016, the Company executed an Asset Purchase Agreement with VendScreen, Inc (“VendScreen”) a Portland, Oregon based developer of vending industry cashless payment technology, by which it acquired substantially all of VendScreen’s assets and assumed specified liabilities, for a cash payment of $5.625 million and the corresponding goodwill recorded was $4.040 million. In December 2016, the company finalized the opening balance sheet of VendScreen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and recorded a reduction of goodwill for $211 thousand and increase finance receivables for the same amount. The final goodwill amount related to VendScreen opening balance sheet is $3.829 million.</w:t>
      </w:r>
    </w:p>
    <w:p>
      <w:pPr>
        <w:spacing w:after="0" w:line="18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summarizes the final purchase price allocation to reflect the fair values of the assets acquired and liabilities assumed at the date of acquisition.</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Consideration:</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800" w:type="dxa"/>
            <w:vAlign w:val="bottom"/>
          </w:tcPr>
          <w:p>
            <w:pPr>
              <w:ind w:left="280"/>
              <w:spacing w:after="0"/>
              <w:rPr>
                <w:sz w:val="20"/>
                <w:szCs w:val="20"/>
                <w:color w:val="auto"/>
              </w:rPr>
            </w:pPr>
            <w:r>
              <w:rPr>
                <w:rFonts w:ascii="Arial" w:cs="Arial" w:eastAsia="Arial" w:hAnsi="Arial"/>
                <w:sz w:val="16"/>
                <w:szCs w:val="16"/>
                <w:color w:val="auto"/>
              </w:rPr>
              <w:t>Fair value of</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00" w:type="dxa"/>
            <w:vAlign w:val="bottom"/>
          </w:tcPr>
          <w:p>
            <w:pPr>
              <w:spacing w:after="0"/>
              <w:rPr>
                <w:sz w:val="20"/>
                <w:szCs w:val="20"/>
                <w:color w:val="auto"/>
              </w:rPr>
            </w:pPr>
            <w:r>
              <w:rPr>
                <w:rFonts w:ascii="Arial" w:cs="Arial" w:eastAsia="Arial" w:hAnsi="Arial"/>
                <w:sz w:val="16"/>
                <w:szCs w:val="16"/>
                <w:color w:val="auto"/>
              </w:rPr>
              <w:t>total</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00" w:type="dxa"/>
            <w:vAlign w:val="bottom"/>
          </w:tcPr>
          <w:p>
            <w:pPr>
              <w:spacing w:after="0"/>
              <w:rPr>
                <w:sz w:val="20"/>
                <w:szCs w:val="20"/>
                <w:color w:val="auto"/>
              </w:rPr>
            </w:pPr>
            <w:r>
              <w:rPr>
                <w:rFonts w:ascii="Arial" w:cs="Arial" w:eastAsia="Arial" w:hAnsi="Arial"/>
                <w:sz w:val="16"/>
                <w:szCs w:val="16"/>
                <w:color w:val="auto"/>
              </w:rPr>
              <w:t>consideration</w:t>
            </w:r>
          </w:p>
        </w:tc>
        <w:tc>
          <w:tcPr>
            <w:tcW w:w="620" w:type="dxa"/>
            <w:vAlign w:val="bottom"/>
            <w:vMerge w:val="restart"/>
          </w:tcPr>
          <w:p>
            <w:pPr>
              <w:jc w:val="right"/>
              <w:ind w:right="432"/>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5,625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paid in cash</w:t>
            </w:r>
          </w:p>
        </w:tc>
        <w:tc>
          <w:tcPr>
            <w:tcW w:w="6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800" w:type="dxa"/>
            <w:vAlign w:val="bottom"/>
          </w:tcPr>
          <w:p>
            <w:pPr>
              <w:spacing w:after="0"/>
              <w:rPr>
                <w:sz w:val="20"/>
                <w:szCs w:val="20"/>
                <w:color w:val="auto"/>
              </w:rPr>
            </w:pPr>
            <w:r>
              <w:rPr>
                <w:rFonts w:ascii="Arial" w:cs="Arial" w:eastAsia="Arial" w:hAnsi="Arial"/>
                <w:sz w:val="16"/>
                <w:szCs w:val="16"/>
                <w:b w:val="1"/>
                <w:bCs w:val="1"/>
                <w:color w:val="auto"/>
              </w:rPr>
              <w:t>Acquisition</w:t>
            </w:r>
          </w:p>
        </w:tc>
        <w:tc>
          <w:tcPr>
            <w:tcW w:w="620" w:type="dxa"/>
            <w:vAlign w:val="bottom"/>
            <w:vMerge w:val="restart"/>
          </w:tcPr>
          <w:p>
            <w:pPr>
              <w:jc w:val="right"/>
              <w:ind w:right="432"/>
              <w:spacing w:after="0"/>
              <w:rPr>
                <w:sz w:val="20"/>
                <w:szCs w:val="20"/>
                <w:color w:val="auto"/>
              </w:rPr>
            </w:pPr>
            <w:r>
              <w:rPr>
                <w:rFonts w:ascii="Arial" w:cs="Arial" w:eastAsia="Arial" w:hAnsi="Arial"/>
                <w:sz w:val="18"/>
                <w:szCs w:val="18"/>
                <w:color w:val="auto"/>
                <w:w w:val="79"/>
              </w:rPr>
              <w:t>$</w:t>
            </w:r>
          </w:p>
        </w:tc>
        <w:tc>
          <w:tcPr>
            <w:tcW w:w="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800" w:type="dxa"/>
            <w:vAlign w:val="bottom"/>
          </w:tcPr>
          <w:p>
            <w:pPr>
              <w:spacing w:after="0"/>
              <w:rPr>
                <w:sz w:val="20"/>
                <w:szCs w:val="20"/>
                <w:color w:val="auto"/>
              </w:rPr>
            </w:pPr>
            <w:r>
              <w:rPr>
                <w:rFonts w:ascii="Arial" w:cs="Arial" w:eastAsia="Arial" w:hAnsi="Arial"/>
                <w:sz w:val="16"/>
                <w:szCs w:val="16"/>
                <w:b w:val="1"/>
                <w:bCs w:val="1"/>
                <w:color w:val="auto"/>
              </w:rPr>
              <w:t>related costs:</w:t>
            </w:r>
          </w:p>
        </w:tc>
        <w:tc>
          <w:tcPr>
            <w:tcW w:w="62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00" w:type="dxa"/>
            <w:vAlign w:val="bottom"/>
          </w:tcPr>
          <w:p>
            <w:pPr>
              <w:spacing w:after="0"/>
              <w:rPr>
                <w:sz w:val="20"/>
                <w:szCs w:val="20"/>
                <w:color w:val="auto"/>
              </w:rPr>
            </w:pPr>
            <w:r>
              <w:rPr>
                <w:rFonts w:ascii="Arial" w:cs="Arial" w:eastAsia="Arial" w:hAnsi="Arial"/>
                <w:sz w:val="16"/>
                <w:szCs w:val="16"/>
                <w:b w:val="1"/>
                <w:bCs w:val="1"/>
                <w:color w:val="auto"/>
                <w:w w:val="99"/>
              </w:rPr>
              <w:t>Recognized amounts of identifiable assets acquired and liabilities assumed:</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0" w:type="dxa"/>
            <w:vAlign w:val="bottom"/>
          </w:tcPr>
          <w:p>
            <w:pPr>
              <w:spacing w:after="0"/>
              <w:rPr>
                <w:sz w:val="20"/>
                <w:szCs w:val="20"/>
                <w:color w:val="auto"/>
              </w:rPr>
            </w:pPr>
            <w:r>
              <w:rPr>
                <w:rFonts w:ascii="Arial" w:cs="Arial" w:eastAsia="Arial" w:hAnsi="Arial"/>
                <w:sz w:val="16"/>
                <w:szCs w:val="16"/>
                <w:color w:val="auto"/>
              </w:rPr>
              <w:t>Financial Assets:</w:t>
            </w: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w:t>
            </w: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Receivable</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0" w:type="dxa"/>
            <w:vAlign w:val="bottom"/>
          </w:tcPr>
          <w:p>
            <w:pPr>
              <w:ind w:left="280"/>
              <w:spacing w:after="0"/>
              <w:rPr>
                <w:sz w:val="20"/>
                <w:szCs w:val="20"/>
                <w:color w:val="auto"/>
              </w:rPr>
            </w:pPr>
            <w:r>
              <w:rPr>
                <w:rFonts w:ascii="Arial" w:cs="Arial" w:eastAsia="Arial" w:hAnsi="Arial"/>
                <w:sz w:val="16"/>
                <w:szCs w:val="16"/>
                <w:color w:val="auto"/>
              </w:rPr>
              <w:t>Finance</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0" w:type="dxa"/>
            <w:vAlign w:val="bottom"/>
          </w:tcPr>
          <w:p>
            <w:pPr>
              <w:spacing w:after="0"/>
              <w:rPr>
                <w:sz w:val="20"/>
                <w:szCs w:val="20"/>
                <w:color w:val="auto"/>
              </w:rPr>
            </w:pPr>
            <w:r>
              <w:rPr>
                <w:rFonts w:ascii="Arial" w:cs="Arial" w:eastAsia="Arial" w:hAnsi="Arial"/>
                <w:sz w:val="16"/>
                <w:szCs w:val="16"/>
                <w:color w:val="auto"/>
              </w:rPr>
              <w:t>Receivables</w:t>
            </w: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0" w:type="dxa"/>
            <w:vAlign w:val="bottom"/>
          </w:tcPr>
          <w:p>
            <w:pPr>
              <w:ind w:left="280"/>
              <w:spacing w:after="0"/>
              <w:rPr>
                <w:sz w:val="20"/>
                <w:szCs w:val="20"/>
                <w:color w:val="auto"/>
              </w:rPr>
            </w:pPr>
            <w:r>
              <w:rPr>
                <w:rFonts w:ascii="Arial" w:cs="Arial" w:eastAsia="Arial" w:hAnsi="Arial"/>
                <w:sz w:val="16"/>
                <w:szCs w:val="16"/>
                <w:color w:val="auto"/>
              </w:rPr>
              <w:t>Deferred</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Taxes</w:t>
            </w: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w:t>
            </w: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&amp; Equipment</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Identifiable</w:t>
            </w: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Intangible</w:t>
            </w: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0" w:type="dxa"/>
            <w:vAlign w:val="bottom"/>
          </w:tcPr>
          <w:p>
            <w:pPr>
              <w:ind w:left="280"/>
              <w:spacing w:after="0"/>
              <w:rPr>
                <w:sz w:val="20"/>
                <w:szCs w:val="20"/>
                <w:color w:val="auto"/>
              </w:rPr>
            </w:pPr>
            <w:r>
              <w:rPr>
                <w:rFonts w:ascii="Arial" w:cs="Arial" w:eastAsia="Arial" w:hAnsi="Arial"/>
                <w:sz w:val="16"/>
                <w:szCs w:val="16"/>
                <w:color w:val="auto"/>
              </w:rPr>
              <w:t>Developed</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0" w:type="dxa"/>
            <w:vAlign w:val="bottom"/>
          </w:tcPr>
          <w:p>
            <w:pPr>
              <w:spacing w:after="0"/>
              <w:rPr>
                <w:sz w:val="20"/>
                <w:szCs w:val="20"/>
                <w:color w:val="auto"/>
              </w:rPr>
            </w:pPr>
            <w:r>
              <w:rPr>
                <w:rFonts w:ascii="Arial" w:cs="Arial" w:eastAsia="Arial" w:hAnsi="Arial"/>
                <w:sz w:val="16"/>
                <w:szCs w:val="16"/>
                <w:color w:val="auto"/>
              </w:rPr>
              <w:t>Technology</w:t>
            </w: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Customer</w:t>
            </w: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Relationships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0" w:type="dxa"/>
            <w:vAlign w:val="bottom"/>
          </w:tcPr>
          <w:p>
            <w:pPr>
              <w:ind w:left="280"/>
              <w:spacing w:after="0"/>
              <w:rPr>
                <w:sz w:val="20"/>
                <w:szCs w:val="20"/>
                <w:color w:val="auto"/>
              </w:rPr>
            </w:pPr>
            <w:r>
              <w:rPr>
                <w:rFonts w:ascii="Arial" w:cs="Arial" w:eastAsia="Arial" w:hAnsi="Arial"/>
                <w:sz w:val="16"/>
                <w:szCs w:val="16"/>
                <w:color w:val="auto"/>
              </w:rPr>
              <w:t>Brand</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Noncompete</w:t>
            </w: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Agreement</w:t>
            </w:r>
          </w:p>
        </w:tc>
        <w:tc>
          <w:tcPr>
            <w:tcW w:w="6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800" w:type="dxa"/>
            <w:vAlign w:val="bottom"/>
          </w:tcPr>
          <w:p>
            <w:pPr>
              <w:ind w:left="280"/>
              <w:spacing w:after="0" w:line="168" w:lineRule="exact"/>
              <w:rPr>
                <w:sz w:val="20"/>
                <w:szCs w:val="20"/>
                <w:color w:val="auto"/>
              </w:rPr>
            </w:pPr>
            <w:r>
              <w:rPr>
                <w:rFonts w:ascii="Arial" w:cs="Arial" w:eastAsia="Arial" w:hAnsi="Arial"/>
                <w:sz w:val="16"/>
                <w:szCs w:val="16"/>
                <w:color w:val="auto"/>
              </w:rPr>
              <w:t>Fair Value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800" w:type="dxa"/>
            <w:vAlign w:val="bottom"/>
          </w:tcPr>
          <w:p>
            <w:pPr>
              <w:spacing w:after="0"/>
              <w:rPr>
                <w:sz w:val="20"/>
                <w:szCs w:val="20"/>
                <w:color w:val="auto"/>
              </w:rPr>
            </w:pPr>
            <w:r>
              <w:rPr>
                <w:rFonts w:ascii="Arial" w:cs="Arial" w:eastAsia="Arial" w:hAnsi="Arial"/>
                <w:sz w:val="16"/>
                <w:szCs w:val="16"/>
                <w:color w:val="auto"/>
              </w:rPr>
              <w:t>of Intangible</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0" w:type="dxa"/>
            <w:vAlign w:val="bottom"/>
          </w:tcPr>
          <w:p>
            <w:pPr>
              <w:spacing w:after="0"/>
              <w:rPr>
                <w:sz w:val="20"/>
                <w:szCs w:val="20"/>
                <w:color w:val="auto"/>
              </w:rPr>
            </w:pPr>
            <w:r>
              <w:rPr>
                <w:rFonts w:ascii="Arial" w:cs="Arial" w:eastAsia="Arial" w:hAnsi="Arial"/>
                <w:sz w:val="16"/>
                <w:szCs w:val="16"/>
                <w:color w:val="auto"/>
              </w:rPr>
              <w:t>Assets</w:t>
            </w: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800" w:type="dxa"/>
            <w:vAlign w:val="bottom"/>
          </w:tcPr>
          <w:p>
            <w:pPr>
              <w:spacing w:after="0"/>
              <w:rPr>
                <w:sz w:val="20"/>
                <w:szCs w:val="20"/>
                <w:color w:val="auto"/>
              </w:rPr>
            </w:pPr>
            <w:r>
              <w:rPr>
                <w:rFonts w:ascii="Arial" w:cs="Arial" w:eastAsia="Arial" w:hAnsi="Arial"/>
                <w:sz w:val="16"/>
                <w:szCs w:val="16"/>
                <w:color w:val="auto"/>
              </w:rPr>
              <w:t>Financial</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0" w:type="dxa"/>
            <w:vAlign w:val="bottom"/>
          </w:tcPr>
          <w:p>
            <w:pPr>
              <w:spacing w:after="0"/>
              <w:rPr>
                <w:sz w:val="20"/>
                <w:szCs w:val="20"/>
                <w:color w:val="auto"/>
              </w:rPr>
            </w:pPr>
            <w:r>
              <w:rPr>
                <w:rFonts w:ascii="Arial" w:cs="Arial" w:eastAsia="Arial" w:hAnsi="Arial"/>
                <w:sz w:val="16"/>
                <w:szCs w:val="16"/>
                <w:color w:val="auto"/>
              </w:rPr>
              <w:t>Liabilities</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w:t>
            </w:r>
          </w:p>
        </w:tc>
        <w:tc>
          <w:tcPr>
            <w:tcW w:w="620" w:type="dxa"/>
            <w:vAlign w:val="bottom"/>
            <w:vMerge w:val="restart"/>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Total identifiable</w:t>
            </w:r>
          </w:p>
        </w:tc>
        <w:tc>
          <w:tcPr>
            <w:tcW w:w="620" w:type="dxa"/>
            <w:vAlign w:val="bottom"/>
            <w:vMerge w:val="restart"/>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net assets</w:t>
            </w:r>
          </w:p>
        </w:tc>
        <w:tc>
          <w:tcPr>
            <w:tcW w:w="62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3,829</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Fair</w:t>
            </w:r>
          </w:p>
        </w:tc>
        <w:tc>
          <w:tcPr>
            <w:tcW w:w="620" w:type="dxa"/>
            <w:vAlign w:val="bottom"/>
            <w:vMerge w:val="restart"/>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Value</w:t>
            </w: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7"/>
        </w:trPr>
        <w:tc>
          <w:tcPr>
            <w:tcW w:w="5800" w:type="dxa"/>
            <w:vAlign w:val="bottom"/>
          </w:tcPr>
          <w:p>
            <w:pPr>
              <w:ind w:left="444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8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7" w:right="139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During the three and six months ended December 31, 2016, there was $43 thousand and $87 thousand, respectively, of amortization expense relating to acquired intangible assets. There was no amortization expense relating to acquired intangible assets during the three and six months ended December 31, 2015. Intangible asset balances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Additions/</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980" w:type="dxa"/>
            <w:vAlign w:val="bottom"/>
          </w:tcPr>
          <w:p>
            <w:pPr>
              <w:jc w:val="right"/>
              <w:ind w:right="275"/>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67"/>
        </w:trPr>
        <w:tc>
          <w:tcPr>
            <w:tcW w:w="3880" w:type="dxa"/>
            <w:vAlign w:val="bottom"/>
            <w:gridSpan w:val="2"/>
            <w:vMerge w:val="continue"/>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2016</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vMerge w:val="continue"/>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14"/>
                <w:szCs w:val="14"/>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4"/>
        </w:trPr>
        <w:tc>
          <w:tcPr>
            <w:tcW w:w="374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Intangible Assets:</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10"/>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Brand</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0"/>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0"/>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gridSpan w:val="2"/>
          </w:tcPr>
          <w:p>
            <w:pPr>
              <w:spacing w:after="0" w:line="204" w:lineRule="exact"/>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tcPr>
          <w:p>
            <w:pPr>
              <w:ind w:left="20"/>
              <w:spacing w:after="0" w:line="204"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798</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line="204"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7"/>
              <w:spacing w:after="0" w:line="204"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711</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11,703</w:t>
            </w:r>
          </w:p>
        </w:tc>
        <w:tc>
          <w:tcPr>
            <w:tcW w:w="14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LINE OF CREDIT</w:t>
      </w:r>
    </w:p>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During the fiscal year ended June 30, 2016, the Company entered into a Loan and Security Agreement and other ancillary documents (as amended, the “Heritage Loan Documents”) with Heritage Bank of Commerce (“Heritage Bank”), providing for a secured asset-based revolving line of credit in an amount of up to $12.0 million (the “Heritage Line of Credit”) at an interest rate calculated based on the Federal Reserves’ Prime, which was 3.75% at 12/31/2016, plus 2.25%. The Heritage Line of Credit and the Company’s obligations under the Heritage Loan Documents are secured by substantially all of the Company’s assets, including its intellectual property. The maturity date of the Heritage Line of Credit is March 29, 2017. At the time of maturity, all outstanding advances under the Heritage Line of Credit as well as any unpaid interest are due and payable. Prior to maturity of the Heritage Line of Credit, the Company may prepay amounts due under the Heritage Line of Credit without penalty, and subject to the terms of the Heritage Loan Documents, may re-borrow any such amounts.</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and Heritage Bank entered into a Second Amendment as of September 30, 2016 to the Loan and Security Agreement.</w:t>
      </w:r>
    </w:p>
    <w:p>
      <w:pPr>
        <w:spacing w:after="0" w:line="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Heritage Loan Documents contain customary representations and warranties and affirmative and negative covenants applicable to the Company. The Heritage Loan Documents also require the Company to achieve a minimum Adjusted EBITDA, as defined in the Heritage Loan Documents, measured on a quarterly basis; that the number of the Company’s connections as of the end of each fiscal quarter shall not decrease below a specified number or by more than five percent as compared to the number of the Company’s connections as of the end of the immediately prior fiscal quarter; and that the Company shall maintain a minimum balance of unrestricted cash at the Bank.</w:t>
      </w:r>
    </w:p>
    <w:p>
      <w:pPr>
        <w:spacing w:after="0" w:line="4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balance due on the Heritage line of credit was $7.1 million at December 31, 2016 and June 30, 2016. As of December 31, 2016, $4.9 million was available under our line of credit. Interest expense on the line of credit was approximately $200 thousand and $100 thousand for the three and six months ended December 31, 2016,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31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periodically enters into capital lease obligations to finance certain office, network equipment and related support for use in its daily operations. During the six-month period ended December 31, 2016 the Company commenced capital lease obligations of $326 thousand. The obligations are due in two to five years in monthly or quarterly installments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326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$1 thousand to $21 thousand. The value of the acquired equipment is included in property and equipment and amortized accordingly.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of June 30, 2016, the fair values of the Company’s Level 3 financial instrument totaled $3.7 million for 2.2 million warrants. The Level 3 financial instrument consist of common stock warrants issued by the Company in March 2011, which include features requiring liability treatment of the warrants. The fair value of warrants issued in March 2011 to purchase shares of the Company’s common stock is based on valuations performed by an independent third-party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During the six months ended December 31, 2016 all of the aforementioned warrants were exercised and the then-fair value warrant liability was reclassified as Common Stock.</w:t>
      </w:r>
    </w:p>
    <w:p>
      <w:pPr>
        <w:spacing w:after="0" w:line="17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summarizes the changes in the Company’s Level 3 financial instruments for the three and six months ended December 31, 2016 and 2015.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67"/>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66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2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3880" w:type="dxa"/>
            <w:vAlign w:val="bottom"/>
            <w:gridSpan w:val="2"/>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80"/>
              <w:spacing w:after="0" w:line="138"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16"/>
              <w:spacing w:after="0" w:line="138"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0"/>
              <w:spacing w:after="0" w:line="138"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16"/>
              <w:spacing w:after="0" w:line="138"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4"/>
        </w:trPr>
        <w:tc>
          <w:tcPr>
            <w:tcW w:w="36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Beginning balance</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60"/>
              <w:spacing w:after="0" w:line="204"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(635)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1"/>
              </w:rPr>
              <w:t>(3,739)</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98"/>
        </w:trPr>
        <w:tc>
          <w:tcPr>
            <w:tcW w:w="3880" w:type="dxa"/>
            <w:vAlign w:val="bottom"/>
            <w:gridSpan w:val="2"/>
          </w:tcPr>
          <w:p>
            <w:pPr>
              <w:spacing w:after="0" w:line="198" w:lineRule="exact"/>
              <w:rPr>
                <w:sz w:val="20"/>
                <w:szCs w:val="20"/>
                <w:color w:val="auto"/>
              </w:rPr>
            </w:pPr>
            <w:r>
              <w:rPr>
                <w:rFonts w:ascii="Arial" w:cs="Arial" w:eastAsia="Arial" w:hAnsi="Arial"/>
                <w:sz w:val="18"/>
                <w:szCs w:val="18"/>
                <w:color w:val="auto"/>
              </w:rPr>
              <w:t>Increase due to change in fair value of warrant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(1,230)</w:t>
            </w: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(1,490)</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198"/>
        </w:trPr>
        <w:tc>
          <w:tcPr>
            <w:tcW w:w="38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Reclass of fair value of warranty liability to</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upon exercise of warrants</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line="204" w:lineRule="exact"/>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60"/>
              <w:spacing w:after="0" w:line="204"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1"/>
              </w:rPr>
              <w:t>(1,865)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1"/>
              </w:rPr>
              <w:t>(1,865)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were no transfers of assets or liabilities between level 1, level 2, or level 3 during the three and six months ended December 31, 2016 and December 31, 2015. As of December 31, 2016 and June 30, 2016, the Company held no Level 1 or Level 2 financial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For the three and six months ended December 31, 2016, income tax benefits of $0 and $0.1 million, respectively, (substantially all deferred income taxes) were recorded. The benefits are based upon income (loss) before income taxes using an estimated annual effective income tax rate of 30% for the fiscal year ending June 30, 2017. However, such benefits actually calculated have been limited to $0.1 million pending the materialization of additional income before income taxes resulting in an increase of $0.03 million in valuation allowances for the calculated additional benefits. The benefits for the six months ended December 31, 2016 were reduced by a provision for the tax effect of the change in the fair value of warrant liabilities which was treated discretely. All of those warrants were exercised as of September 30, 2016.</w:t>
      </w:r>
    </w:p>
    <w:p>
      <w:pPr>
        <w:spacing w:after="0" w:line="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and six months ended December 31, 2015, income tax provisions of $0.2 million were recorded (substantially all deferred income taxes). The provisions consist of the tax effect of the change in the fair value of warrant liabilities which was treated discreetly offset by a tax benefit based upon loss before provision before income taxes using an estimated annual effective income tax rate of 41% for the fiscal year ending June 30,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During the three months ended December 31, 2016, 24,733 warrants were exercised at $2.10 per share in a cashless exercise. There was no warrant activity during the three months ended December 31, 2015. During the six months ended December 31, 2016, 2,376,675 warrants were exercised at $2.6058 per share yielding proceeds of $6.2 million, and 24,733</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warrants were exercised at $2.10 per share in a cashless exercise. The following table summarizes warrant activity for the three and six months ended December 31, 2016 and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220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Six months ended</w:t>
            </w:r>
          </w:p>
        </w:tc>
      </w:tr>
      <w:tr>
        <w:trPr>
          <w:trHeight w:val="167"/>
        </w:trPr>
        <w:tc>
          <w:tcPr>
            <w:tcW w:w="2540" w:type="dxa"/>
            <w:vAlign w:val="bottom"/>
          </w:tcPr>
          <w:p>
            <w:pPr>
              <w:spacing w:after="0"/>
              <w:rPr>
                <w:sz w:val="14"/>
                <w:szCs w:val="14"/>
                <w:color w:val="auto"/>
              </w:rPr>
            </w:pPr>
          </w:p>
        </w:tc>
        <w:tc>
          <w:tcPr>
            <w:tcW w:w="2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2200" w:type="dxa"/>
            <w:vAlign w:val="bottom"/>
            <w:gridSpan w:val="3"/>
          </w:tcPr>
          <w:p>
            <w:pPr>
              <w:jc w:val="right"/>
              <w:ind w:right="615"/>
              <w:spacing w:after="0"/>
              <w:rPr>
                <w:sz w:val="20"/>
                <w:szCs w:val="20"/>
                <w:color w:val="auto"/>
              </w:rPr>
            </w:pPr>
            <w:r>
              <w:rPr>
                <w:rFonts w:ascii="Arial" w:cs="Arial" w:eastAsia="Arial" w:hAnsi="Arial"/>
                <w:sz w:val="14"/>
                <w:szCs w:val="14"/>
                <w:b w:val="1"/>
                <w:bCs w:val="1"/>
                <w:color w:val="auto"/>
              </w:rPr>
              <w:t>December 31,</w:t>
            </w:r>
          </w:p>
        </w:tc>
      </w:tr>
      <w:tr>
        <w:trPr>
          <w:trHeight w:val="138"/>
        </w:trPr>
        <w:tc>
          <w:tcPr>
            <w:tcW w:w="254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258"/>
              <w:spacing w:after="0" w:line="138"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275"/>
              <w:spacing w:after="0" w:line="138"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258"/>
              <w:spacing w:after="0" w:line="138"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255"/>
              <w:spacing w:after="0" w:line="138" w:lineRule="exact"/>
              <w:rPr>
                <w:sz w:val="20"/>
                <w:szCs w:val="20"/>
                <w:color w:val="auto"/>
              </w:rPr>
            </w:pPr>
            <w:r>
              <w:rPr>
                <w:rFonts w:ascii="Arial" w:cs="Arial" w:eastAsia="Arial" w:hAnsi="Arial"/>
                <w:sz w:val="14"/>
                <w:szCs w:val="14"/>
                <w:b w:val="1"/>
                <w:bCs w:val="1"/>
                <w:color w:val="auto"/>
              </w:rPr>
              <w:t>2015</w:t>
            </w:r>
          </w:p>
        </w:tc>
      </w:tr>
      <w:tr>
        <w:trPr>
          <w:trHeight w:val="204"/>
        </w:trPr>
        <w:tc>
          <w:tcPr>
            <w:tcW w:w="2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68,978</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4,298,000</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2,445,653</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4,309,000</w:t>
            </w:r>
          </w:p>
        </w:tc>
      </w:tr>
      <w:tr>
        <w:trPr>
          <w:trHeight w:val="210"/>
        </w:trPr>
        <w:tc>
          <w:tcPr>
            <w:tcW w:w="2540" w:type="dxa"/>
            <w:vAlign w:val="bottom"/>
          </w:tcPr>
          <w:p>
            <w:pPr>
              <w:spacing w:after="0"/>
              <w:rPr>
                <w:sz w:val="20"/>
                <w:szCs w:val="20"/>
                <w:color w:val="auto"/>
              </w:rPr>
            </w:pPr>
            <w:r>
              <w:rPr>
                <w:rFonts w:ascii="Arial" w:cs="Arial" w:eastAsia="Arial" w:hAnsi="Arial"/>
                <w:sz w:val="18"/>
                <w:szCs w:val="18"/>
                <w:color w:val="auto"/>
              </w:rPr>
              <w:t>Issued</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(24,733)</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(2,401,408)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10"/>
        </w:trPr>
        <w:tc>
          <w:tcPr>
            <w:tcW w:w="2540" w:type="dxa"/>
            <w:vAlign w:val="bottom"/>
          </w:tcPr>
          <w:p>
            <w:pPr>
              <w:spacing w:after="0"/>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(20,267)</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(20,267)</w:t>
            </w:r>
          </w:p>
        </w:tc>
        <w:tc>
          <w:tcPr>
            <w:tcW w:w="960" w:type="dxa"/>
            <w:vAlign w:val="bottom"/>
            <w:shd w:val="clear" w:color="auto" w:fill="CCEEFF"/>
          </w:tcPr>
          <w:p>
            <w:pPr>
              <w:spacing w:after="0"/>
              <w:rPr>
                <w:sz w:val="18"/>
                <w:szCs w:val="18"/>
                <w:color w:val="auto"/>
              </w:rPr>
            </w:pPr>
          </w:p>
        </w:tc>
      </w:tr>
      <w:tr>
        <w:trPr>
          <w:trHeight w:val="210"/>
        </w:trPr>
        <w:tc>
          <w:tcPr>
            <w:tcW w:w="2540" w:type="dxa"/>
            <w:vAlign w:val="bottom"/>
          </w:tcPr>
          <w:p>
            <w:pPr>
              <w:spacing w:after="0" w:line="204" w:lineRule="exact"/>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23,978</w:t>
            </w:r>
          </w:p>
        </w:tc>
        <w:tc>
          <w:tcPr>
            <w:tcW w:w="2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4,298,000</w:t>
            </w:r>
          </w:p>
        </w:tc>
        <w:tc>
          <w:tcPr>
            <w:tcW w:w="2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23,978</w:t>
            </w:r>
          </w:p>
        </w:tc>
        <w:tc>
          <w:tcPr>
            <w:tcW w:w="2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4,298,000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August 2016 stock options were awarded to purchase up to 20,080 shares of common stock at an exercise price of $4.98 per share. The options vest on August 31, 2017, and expire if not exercised prior to August 31, 2023. The options are intended to qualify as incentive stock options under Section 422 of the Internal Revenue Code of 1986, as amended. The fair value of options granted during the three and six months ended December 31, 2016 and 2015 was estimated using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Six months ended</w:t>
            </w:r>
          </w:p>
        </w:tc>
      </w:tr>
      <w:tr>
        <w:trPr>
          <w:trHeight w:val="167"/>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632"/>
              <w:spacing w:after="0"/>
              <w:rPr>
                <w:sz w:val="20"/>
                <w:szCs w:val="20"/>
                <w:color w:val="auto"/>
              </w:rPr>
            </w:pPr>
            <w:r>
              <w:rPr>
                <w:rFonts w:ascii="Arial" w:cs="Arial" w:eastAsia="Arial" w:hAnsi="Arial"/>
                <w:sz w:val="14"/>
                <w:szCs w:val="14"/>
                <w:b w:val="1"/>
                <w:bCs w:val="1"/>
                <w:color w:val="auto"/>
              </w:rPr>
              <w:t>December 31,</w:t>
            </w:r>
          </w:p>
        </w:tc>
      </w:tr>
      <w:tr>
        <w:trPr>
          <w:trHeight w:val="138"/>
        </w:trPr>
        <w:tc>
          <w:tcPr>
            <w:tcW w:w="5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55"/>
              <w:spacing w:after="0" w:line="138"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1"/>
                <w:szCs w:val="11"/>
                <w:color w:val="auto"/>
              </w:rPr>
            </w:pPr>
          </w:p>
        </w:tc>
      </w:tr>
      <w:tr>
        <w:trPr>
          <w:trHeight w:val="204"/>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63-66</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Expected life</w:t>
            </w:r>
          </w:p>
        </w:tc>
        <w:tc>
          <w:tcPr>
            <w:tcW w:w="120" w:type="dxa"/>
            <w:vAlign w:val="bottom"/>
          </w:tcPr>
          <w:p>
            <w:pPr>
              <w:spacing w:after="0"/>
              <w:rPr>
                <w:sz w:val="18"/>
                <w:szCs w:val="18"/>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4 years</w:t>
            </w:r>
          </w:p>
        </w:tc>
        <w:tc>
          <w:tcPr>
            <w:tcW w:w="120" w:type="dxa"/>
            <w:vAlign w:val="bottom"/>
          </w:tcPr>
          <w:p>
            <w:pPr>
              <w:spacing w:after="0"/>
              <w:rPr>
                <w:sz w:val="18"/>
                <w:szCs w:val="18"/>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w w:val="86"/>
              </w:rPr>
              <w:t>4-4.5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8"/>
                <w:szCs w:val="18"/>
                <w:color w:val="auto"/>
              </w:rPr>
            </w:pPr>
          </w:p>
        </w:tc>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1.06 %</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1.34-1.49 %</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 granted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119,586</w:t>
            </w:r>
          </w:p>
        </w:tc>
        <w:tc>
          <w:tcPr>
            <w:tcW w:w="16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Stock based compensation related to stock options for the three months ended December 31, 2016 and December 31, 2015 was $47 thousand and $92 thousand, respectively and $95 thousand and $207 thousand, respectively for the six months ended December 31, 2016 and December 31,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July 1, 2016 $40 thousand of stock grants were awarded to each non-employee Director based on the prior 30-day average closing price of the Company’s Common Stock, for a total of 56,784 shares. The shares vest as follows: 18,960 on 07/01/2017, 18,960 on 07/01/2018 and 18,954 on 07/01/2019. The total expense recognized for these grants during the three and six months ended December 31, 2016 was $37 thousand and $73 thousand.</w:t>
      </w:r>
    </w:p>
    <w:p>
      <w:pPr>
        <w:spacing w:after="0" w:line="19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During the six months ended December 31, 2016, the Company awarded an aggregate of 78,711 shares to its Chief Executive Officer and Chief Services Officer under its fiscal year 2016 long term stock incentive plan and an aggregate of 6,254 shares to three non-employee Directors in satisfaction of board fees. During the six-month period, the Chief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Executive Officer cancelled 6,533 shares of Common Stock awarded to him under the 2016 fiscal year long term stock incentive plan in satisfaction of $31 thousand of related payroll obligations.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six months ended December 31, 2016, the Company issued an aggregate of 2,401,408 shares upon the exercise of outstanding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LTI PLANS</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approved the Fiscal Year 2017 Long-Term Stock Incentive Plan (the “2017 LTI Stock Plan”) which provides that executive officers would be awarded shares of common stock of the Company in the event that certain metrics relating to the Company’s 2017 fiscal year would result in specified ranges of year-over-year percentage growth. The metrics are total number of connections as of June 30, 2017 as compared to total number of connections as of June 30, 2016 (50% weighting) and adjusted EBITDA earned during the 2017 fiscal year as compared to the adjusted EBITDA earned during the 2016 fiscal year (50% weighting).</w:t>
      </w:r>
    </w:p>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(“CEO”) - $675,000 (150% of base salary); and Chief Services Officer (“CSO”) - $250,000 (100% of base salary). If all of the maximum distinguished year-over-year percentage target goals are achieved, the executive officers would be awarded shares having the following value: CEO - $1,012,500 (225% of base salary); and CSO - $375,000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2017 LTI Stock Plan would vest as follows: one-third at the time of issuance; one-third on June 30, 2018; and one-third on June 30, 2019.</w:t>
      </w:r>
    </w:p>
    <w:p>
      <w:pPr>
        <w:spacing w:after="0" w:line="16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had long-term stock incentive plans (“LTI”) in prior fiscal years for its then executive officers. Stock based compensation related to the LTI plans was as follows in the three and six months ended December 31, 2016 and 2015: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8"/>
              </w:rPr>
              <w:t>Three months ended</w:t>
            </w: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7"/>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10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4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ind w:right="97"/>
              <w:spacing w:after="0" w:line="138"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5"/>
              <w:spacing w:after="0" w:line="138"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1"/>
                <w:szCs w:val="11"/>
                <w:color w:val="auto"/>
              </w:rPr>
            </w:pPr>
          </w:p>
        </w:tc>
        <w:tc>
          <w:tcPr>
            <w:tcW w:w="480" w:type="dxa"/>
            <w:vAlign w:val="bottom"/>
          </w:tcPr>
          <w:p>
            <w:pPr>
              <w:jc w:val="right"/>
              <w:ind w:right="19"/>
              <w:spacing w:after="0" w:line="138"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FY17 LTI Plan</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8"/>
              </w:rPr>
              <w:t>$ 155</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FY16 LTI Plan</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FY15 LTI Plan</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FY14 LTI Plan</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8"/>
              </w:rPr>
              <w:t>$ 208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0"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In the six months ended December 31, 2016 the Company entered into a lease agreement for its operations in Portland, Oregon, which commenced October 1, 2016. The new location consists of 5,362 square feet and will expire in December 2019. The lease includes monthly rental payments of $11 thousand. The straight-line rent expense for this lease is $11 thousand per month.</w:t>
      </w:r>
    </w:p>
    <w:p>
      <w:pPr>
        <w:spacing w:after="0" w:line="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the Company is involved in various legal proceedings arising during the normal course of business which, in the opinion of the management of the Company, will not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326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73" w:lineRule="exact"/>
        <w:rPr>
          <w:sz w:val="20"/>
          <w:szCs w:val="20"/>
          <w:color w:val="auto"/>
        </w:rPr>
      </w:pPr>
    </w:p>
    <w:p>
      <w:pPr>
        <w:ind w:left="400" w:hanging="84"/>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w:t>
      </w:r>
    </w:p>
    <w:p>
      <w:pPr>
        <w:spacing w:after="0" w:line="213" w:lineRule="exact"/>
        <w:rPr>
          <w:rFonts w:ascii="Arial" w:cs="Arial" w:eastAsia="Arial" w:hAnsi="Arial"/>
          <w:sz w:val="18"/>
          <w:szCs w:val="18"/>
          <w:color w:val="auto"/>
        </w:rPr>
      </w:pPr>
    </w:p>
    <w:p>
      <w:pPr>
        <w:ind w:left="400" w:hanging="84"/>
        <w:spacing w:after="0" w:line="261"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81" w:lineRule="exact"/>
        <w:rPr>
          <w:rFonts w:ascii="Arial" w:cs="Arial" w:eastAsia="Arial" w:hAnsi="Arial"/>
          <w:sz w:val="18"/>
          <w:szCs w:val="18"/>
          <w:color w:val="auto"/>
        </w:rPr>
      </w:pPr>
    </w:p>
    <w:p>
      <w:pPr>
        <w:ind w:left="400" w:hanging="84"/>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13" w:lineRule="exact"/>
        <w:rPr>
          <w:rFonts w:ascii="Arial" w:cs="Arial" w:eastAsia="Arial" w:hAnsi="Arial"/>
          <w:sz w:val="18"/>
          <w:szCs w:val="18"/>
          <w:color w:val="auto"/>
        </w:rPr>
      </w:pPr>
    </w:p>
    <w:p>
      <w:pPr>
        <w:ind w:left="400" w:hanging="84"/>
        <w:spacing w:after="0" w:line="261"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81" w:lineRule="exact"/>
        <w:rPr>
          <w:rFonts w:ascii="Arial" w:cs="Arial" w:eastAsia="Arial" w:hAnsi="Arial"/>
          <w:sz w:val="18"/>
          <w:szCs w:val="18"/>
          <w:color w:val="auto"/>
        </w:rPr>
      </w:pPr>
    </w:p>
    <w:p>
      <w:pPr>
        <w:ind w:left="400" w:hanging="84"/>
        <w:spacing w:after="0" w:line="324"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the Company’s customers continue to utilize the Company’s transaction processing and related services, as our customer agreements are generally cancelable by the customer on thirty to sixty days’ notice;</w:t>
      </w:r>
    </w:p>
    <w:p>
      <w:pPr>
        <w:spacing w:after="0" w:line="134" w:lineRule="exact"/>
        <w:rPr>
          <w:rFonts w:ascii="Arial" w:cs="Arial" w:eastAsia="Arial" w:hAnsi="Arial"/>
          <w:sz w:val="16"/>
          <w:szCs w:val="16"/>
          <w:color w:val="auto"/>
        </w:rPr>
      </w:pPr>
    </w:p>
    <w:p>
      <w:pPr>
        <w:ind w:left="400" w:hanging="84"/>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of the Company to satisfy its trade obligations included in accounts payable and accrued expenses;</w:t>
      </w:r>
    </w:p>
    <w:p>
      <w:pPr>
        <w:spacing w:after="0" w:line="236" w:lineRule="exact"/>
        <w:rPr>
          <w:rFonts w:ascii="Arial" w:cs="Arial" w:eastAsia="Arial" w:hAnsi="Arial"/>
          <w:sz w:val="16"/>
          <w:szCs w:val="16"/>
          <w:color w:val="auto"/>
        </w:rPr>
      </w:pPr>
    </w:p>
    <w:p>
      <w:pPr>
        <w:ind w:left="400" w:hanging="84"/>
        <w:spacing w:after="0" w:line="261"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resulting in improved net cash used by operating activities;</w:t>
      </w:r>
    </w:p>
    <w:p>
      <w:pPr>
        <w:spacing w:after="0" w:line="181" w:lineRule="exact"/>
        <w:rPr>
          <w:rFonts w:ascii="Arial" w:cs="Arial" w:eastAsia="Arial" w:hAnsi="Arial"/>
          <w:sz w:val="18"/>
          <w:szCs w:val="18"/>
          <w:color w:val="auto"/>
        </w:rPr>
      </w:pPr>
    </w:p>
    <w:p>
      <w:pPr>
        <w:ind w:left="400" w:hanging="84"/>
        <w:spacing w:after="0" w:line="261"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81" w:lineRule="exact"/>
        <w:rPr>
          <w:rFonts w:ascii="Arial" w:cs="Arial" w:eastAsia="Arial" w:hAnsi="Arial"/>
          <w:sz w:val="18"/>
          <w:szCs w:val="18"/>
          <w:color w:val="auto"/>
        </w:rPr>
      </w:pPr>
    </w:p>
    <w:p>
      <w:pPr>
        <w:ind w:left="400" w:hanging="84"/>
        <w:spacing w:after="0" w:line="261"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81" w:lineRule="exact"/>
        <w:rPr>
          <w:rFonts w:ascii="Arial" w:cs="Arial" w:eastAsia="Arial" w:hAnsi="Arial"/>
          <w:sz w:val="18"/>
          <w:szCs w:val="18"/>
          <w:color w:val="auto"/>
        </w:rPr>
      </w:pPr>
    </w:p>
    <w:p>
      <w:pPr>
        <w:ind w:left="400" w:hanging="84"/>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of the Company to retain key customers from whom a significant portion of its revenues are derived;</w:t>
      </w:r>
    </w:p>
    <w:p>
      <w:pPr>
        <w:spacing w:after="0" w:line="236" w:lineRule="exact"/>
        <w:rPr>
          <w:rFonts w:ascii="Arial" w:cs="Arial" w:eastAsia="Arial" w:hAnsi="Arial"/>
          <w:sz w:val="16"/>
          <w:szCs w:val="16"/>
          <w:color w:val="auto"/>
        </w:rPr>
      </w:pPr>
    </w:p>
    <w:p>
      <w:pPr>
        <w:ind w:left="400" w:hanging="84"/>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13" w:lineRule="exact"/>
        <w:rPr>
          <w:rFonts w:ascii="Arial" w:cs="Arial" w:eastAsia="Arial" w:hAnsi="Arial"/>
          <w:sz w:val="18"/>
          <w:szCs w:val="18"/>
          <w:color w:val="auto"/>
        </w:rPr>
      </w:pPr>
    </w:p>
    <w:p>
      <w:pPr>
        <w:ind w:left="400" w:hanging="84"/>
        <w:spacing w:after="0" w:line="261"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81" w:lineRule="exact"/>
        <w:rPr>
          <w:rFonts w:ascii="Arial" w:cs="Arial" w:eastAsia="Arial" w:hAnsi="Arial"/>
          <w:sz w:val="18"/>
          <w:szCs w:val="18"/>
          <w:color w:val="auto"/>
        </w:rPr>
      </w:pPr>
    </w:p>
    <w:p>
      <w:pPr>
        <w:ind w:left="400" w:hanging="84"/>
        <w:spacing w:after="0" w:line="261"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81" w:lineRule="exact"/>
        <w:rPr>
          <w:rFonts w:ascii="Arial" w:cs="Arial" w:eastAsia="Arial" w:hAnsi="Arial"/>
          <w:sz w:val="18"/>
          <w:szCs w:val="18"/>
          <w:color w:val="auto"/>
        </w:rPr>
      </w:pPr>
    </w:p>
    <w:p>
      <w:pPr>
        <w:ind w:left="400" w:hanging="84"/>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213" w:lineRule="exact"/>
        <w:rPr>
          <w:rFonts w:ascii="Arial" w:cs="Arial" w:eastAsia="Arial" w:hAnsi="Arial"/>
          <w:sz w:val="18"/>
          <w:szCs w:val="18"/>
          <w:color w:val="auto"/>
        </w:rPr>
      </w:pPr>
    </w:p>
    <w:p>
      <w:pPr>
        <w:ind w:left="400" w:hanging="84"/>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213" w:lineRule="exact"/>
        <w:rPr>
          <w:rFonts w:ascii="Arial" w:cs="Arial" w:eastAsia="Arial" w:hAnsi="Arial"/>
          <w:sz w:val="18"/>
          <w:szCs w:val="18"/>
          <w:color w:val="auto"/>
        </w:rPr>
      </w:pPr>
    </w:p>
    <w:p>
      <w:pPr>
        <w:jc w:val="both"/>
        <w:ind w:left="400" w:hanging="84"/>
        <w:spacing w:after="0" w:line="252"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our remediation of the control deficiencies that gave rise to the material weakness that we identified in our internal controls over financial reporting, and which was reflected in our annual report on Form 10-K for the fiscal year ended June 30, 2016, would be effective or successful;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33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0" w:hanging="84"/>
        <w:spacing w:after="0" w:line="261"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we experience additional material weaknesses in our internal controls over financial reporting in the future, and are not able to accurately or timely report our financial condition or results of operations;</w:t>
      </w:r>
    </w:p>
    <w:p>
      <w:pPr>
        <w:spacing w:after="0" w:line="181" w:lineRule="exact"/>
        <w:rPr>
          <w:rFonts w:ascii="Arial" w:cs="Arial" w:eastAsia="Arial" w:hAnsi="Arial"/>
          <w:sz w:val="18"/>
          <w:szCs w:val="18"/>
          <w:color w:val="auto"/>
        </w:rPr>
      </w:pPr>
    </w:p>
    <w:p>
      <w:pPr>
        <w:ind w:left="400" w:hanging="84"/>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13" w:lineRule="exact"/>
        <w:rPr>
          <w:rFonts w:ascii="Arial" w:cs="Arial" w:eastAsia="Arial" w:hAnsi="Arial"/>
          <w:sz w:val="18"/>
          <w:szCs w:val="18"/>
          <w:color w:val="auto"/>
        </w:rPr>
      </w:pPr>
    </w:p>
    <w:p>
      <w:pPr>
        <w:ind w:left="400" w:hanging="84"/>
        <w:spacing w:after="0" w:line="261"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generates revenue in multiple ways. During the quarters ended December 31, 2016 and 2015, we derived 76% and 74% of our revenues from recurring license and transaction fees related to our ePort Connect service and 24% and 26% of our revenue from equipment sales, respectively. Connections to our service stem from the sale or lease of our POS electronic payment devices or certified payment software or the servicing of similar third-party installed POS terminals. Connections to the ePort Connect service are the most significant driver of the Company’s revenues, particularly the recurring revenues from license and transaction fees. Customers can obtain POS electronic payment devices from us in the following ways:</w:t>
      </w:r>
    </w:p>
    <w:p>
      <w:pPr>
        <w:spacing w:after="0" w:line="167" w:lineRule="exact"/>
        <w:rPr>
          <w:sz w:val="20"/>
          <w:szCs w:val="20"/>
          <w:color w:val="auto"/>
        </w:rPr>
      </w:pPr>
    </w:p>
    <w:p>
      <w:pPr>
        <w:ind w:left="420" w:hanging="104"/>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13" w:lineRule="exact"/>
        <w:rPr>
          <w:rFonts w:ascii="Arial" w:cs="Arial" w:eastAsia="Arial" w:hAnsi="Arial"/>
          <w:sz w:val="18"/>
          <w:szCs w:val="18"/>
          <w:color w:val="auto"/>
        </w:rPr>
      </w:pPr>
    </w:p>
    <w:p>
      <w:pPr>
        <w:ind w:left="400" w:right="340" w:hanging="84"/>
        <w:spacing w:after="0" w:line="324"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Financing devices under the Company’s QuickStart Program, which are non-cancellable sixty month sales-type leases, through an unrelated equipment financing company or directly from the Company; and</w:t>
      </w:r>
    </w:p>
    <w:p>
      <w:pPr>
        <w:spacing w:after="0" w:line="134" w:lineRule="exact"/>
        <w:rPr>
          <w:rFonts w:ascii="Arial" w:cs="Arial" w:eastAsia="Arial" w:hAnsi="Arial"/>
          <w:sz w:val="16"/>
          <w:szCs w:val="16"/>
          <w:color w:val="auto"/>
        </w:rPr>
      </w:pPr>
    </w:p>
    <w:p>
      <w:pPr>
        <w:ind w:right="580" w:firstLine="316"/>
        <w:spacing w:after="0" w:line="488"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 Highlights of the Company are below:</w:t>
      </w:r>
    </w:p>
    <w:p>
      <w:pPr>
        <w:ind w:left="440" w:hanging="1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77 employees with its headquarters in Malvern, Pennsylvania;</w:t>
      </w:r>
    </w:p>
    <w:p>
      <w:pPr>
        <w:spacing w:after="0" w:line="213" w:lineRule="exact"/>
        <w:rPr>
          <w:rFonts w:ascii="Arial" w:cs="Arial" w:eastAsia="Arial" w:hAnsi="Arial"/>
          <w:sz w:val="18"/>
          <w:szCs w:val="18"/>
          <w:color w:val="auto"/>
        </w:rPr>
      </w:pPr>
    </w:p>
    <w:p>
      <w:pPr>
        <w:ind w:left="440" w:hanging="1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11,900 customers and 469,000 connections to our service;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p>
      <w:pPr>
        <w:ind w:left="400" w:right="240" w:hanging="84"/>
        <w:spacing w:after="0" w:line="261"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direct sales teams at the national, regional, and local customer-level and a growing number of OEMs and national distribution partners;</w:t>
      </w:r>
    </w:p>
    <w:p>
      <w:pPr>
        <w:spacing w:after="0" w:line="181" w:lineRule="exact"/>
        <w:rPr>
          <w:rFonts w:ascii="Arial" w:cs="Arial" w:eastAsia="Arial" w:hAnsi="Arial"/>
          <w:sz w:val="18"/>
          <w:szCs w:val="18"/>
          <w:color w:val="auto"/>
        </w:rPr>
      </w:pPr>
    </w:p>
    <w:p>
      <w:pPr>
        <w:ind w:left="460" w:hanging="144"/>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77 United States and foreign patents are in force;</w:t>
      </w:r>
    </w:p>
    <w:p>
      <w:pPr>
        <w:spacing w:after="0" w:line="213" w:lineRule="exact"/>
        <w:rPr>
          <w:rFonts w:ascii="Arial" w:cs="Arial" w:eastAsia="Arial" w:hAnsi="Arial"/>
          <w:sz w:val="18"/>
          <w:szCs w:val="18"/>
          <w:color w:val="auto"/>
        </w:rPr>
      </w:pPr>
    </w:p>
    <w:p>
      <w:pPr>
        <w:ind w:left="480" w:hanging="164"/>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fiscal year ends June 30</w:t>
      </w:r>
      <w:r>
        <w:rPr>
          <w:rFonts w:ascii="Arial" w:cs="Arial" w:eastAsia="Arial" w:hAnsi="Arial"/>
          <w:sz w:val="8"/>
          <w:szCs w:val="8"/>
          <w:color w:val="auto"/>
        </w:rPr>
        <w:t>th</w:t>
      </w:r>
      <w:r>
        <w:rPr>
          <w:rFonts w:ascii="Arial" w:cs="Arial" w:eastAsia="Arial" w:hAnsi="Arial"/>
          <w:sz w:val="18"/>
          <w:szCs w:val="18"/>
          <w:color w:val="auto"/>
        </w:rPr>
        <w:t>; and</w:t>
      </w:r>
    </w:p>
    <w:p>
      <w:pPr>
        <w:spacing w:after="0" w:line="213" w:lineRule="exact"/>
        <w:rPr>
          <w:rFonts w:ascii="Arial" w:cs="Arial" w:eastAsia="Arial" w:hAnsi="Arial"/>
          <w:sz w:val="18"/>
          <w:szCs w:val="18"/>
          <w:color w:val="auto"/>
        </w:rPr>
      </w:pPr>
    </w:p>
    <w:p>
      <w:pPr>
        <w:ind w:left="420" w:hanging="104"/>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traded on the NASDAQ under the symbol “USAT” since 2007.</w:t>
      </w: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has deferred tax assets of approximately $28 million resulting from a series of operating loss carry forwards that may be available to offset future taxable income from federal income taxes over the next five or more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consolidated financial statements are prepared applying certain critical accounting policies. The Securities and Exchange Commission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Revenue from the sale or QuickStart lease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ePort hardware is available to customers under the QuickStart program pursuant to which the customer would enter into a five-year non-cancelable lease with either the Company or a third-party financing company for the devices. At the end of the lease period, the customer would have the option to purchase the device for a nominal fee.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Non-compete agreements, brand, developed technology, and customer relationships,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 FOR THE THREE MONTHS ENDED DECEMBER 31, 2016 AND DECEMBER 31, 2015 INCLUDE: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As of and for the three months ended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(Connections and $'s in thousands, transactions in millions, eps is not</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4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 Change</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4420" w:type="dxa"/>
            <w:vAlign w:val="bottom"/>
            <w:gridSpan w:val="2"/>
          </w:tcPr>
          <w:p>
            <w:pPr>
              <w:spacing w:after="0"/>
              <w:rPr>
                <w:sz w:val="20"/>
                <w:szCs w:val="20"/>
                <w:color w:val="auto"/>
              </w:rPr>
            </w:pPr>
            <w:r>
              <w:rPr>
                <w:rFonts w:ascii="Arial" w:cs="Arial" w:eastAsia="Arial" w:hAnsi="Arial"/>
                <w:sz w:val="14"/>
                <w:szCs w:val="14"/>
                <w:i w:val="1"/>
                <w:iCs w:val="1"/>
                <w:color w:val="auto"/>
              </w:rPr>
              <w:t>rounded)</w:t>
            </w: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24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ind w:left="320"/>
              <w:spacing w:after="0"/>
              <w:rPr>
                <w:sz w:val="20"/>
                <w:szCs w:val="20"/>
                <w:color w:val="auto"/>
              </w:rPr>
            </w:pPr>
            <w:r>
              <w:rPr>
                <w:rFonts w:ascii="Arial" w:cs="Arial" w:eastAsia="Arial" w:hAnsi="Arial"/>
                <w:sz w:val="18"/>
                <w:szCs w:val="18"/>
                <w:color w:val="auto"/>
              </w:rPr>
              <w:t>License and transaction fees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16,639</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13,674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2,965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Equipment Sales</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gridSpan w:val="2"/>
          </w:tcPr>
          <w:p>
            <w:pPr>
              <w:spacing w:after="0" w:line="204" w:lineRule="exact"/>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ind w:left="20"/>
              <w:spacing w:after="0" w:line="204"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21,756</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2"/>
              <w:spacing w:after="0" w:line="204"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18,503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3,253</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line="204"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License and transaction fee margin</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Equipment sales gross margin</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Overall Gross Margin</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income/(loss)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Net income (loss) per common shares - basic</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Net income (loss) per common shares - diluted</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1,122</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Net New Connections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Total Connections (at period end)</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Total Number of Transactions (millions)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Transaction Volume (millions)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1,738</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(522)</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29"/>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7" w:right="139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SIX MONTHS ENDED DECEMBER 31, 2016 AND DECEMBER 31, 2015 INCLUDE: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7"/>
              </w:rPr>
              <w:t>As of and for the six months ended</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(Connections and $'s in thousands, transactions in millions, eps is not</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4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8"/>
              </w:rPr>
              <w:t>$ Change</w:t>
            </w:r>
          </w:p>
        </w:tc>
        <w:tc>
          <w:tcPr>
            <w:tcW w:w="200" w:type="dxa"/>
            <w:vAlign w:val="bottom"/>
            <w:vMerge w:val="restart"/>
          </w:tcPr>
          <w:p>
            <w:pPr>
              <w:spacing w:after="0"/>
              <w:rPr>
                <w:sz w:val="9"/>
                <w:szCs w:val="9"/>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 Change</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rounded)</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320"/>
              <w:spacing w:after="0"/>
              <w:rPr>
                <w:sz w:val="20"/>
                <w:szCs w:val="20"/>
                <w:color w:val="auto"/>
              </w:rPr>
            </w:pPr>
            <w:r>
              <w:rPr>
                <w:rFonts w:ascii="Arial" w:cs="Arial" w:eastAsia="Arial" w:hAnsi="Arial"/>
                <w:sz w:val="18"/>
                <w:szCs w:val="18"/>
                <w:color w:val="auto"/>
              </w:rPr>
              <w:t>License and transaction fees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33,004</w:t>
            </w:r>
          </w:p>
        </w:tc>
        <w:tc>
          <w:tcPr>
            <w:tcW w:w="2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26,599</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6,405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Equipment Sales</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gridSpan w:val="2"/>
          </w:tcPr>
          <w:p>
            <w:pPr>
              <w:spacing w:after="0" w:line="204" w:lineRule="exact"/>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43,344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2"/>
              <w:spacing w:after="0" w:line="204"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35,103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8,241</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line="204"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License and transaction fee margin</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Equipment sales gross margin</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Overall Gross Margin</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(716)</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(1,422)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(2,231)</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(1,717)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Net loss per common shares - basic</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Net income loss per common shares - diluted</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(5,143)</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869</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(6,012)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Net New Connections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Total Connections (at period end)</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Total Number of Transactions (millions)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Transaction Volume (millions)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2,435</w:t>
            </w:r>
          </w:p>
        </w:tc>
        <w:tc>
          <w:tcPr>
            <w:tcW w:w="2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4,011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(1,576)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Non-GAAP net income (loss)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(714)</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(1,461)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842"/>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7" w:right="139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tables show certain financial and non-financial data over a five-quarter period that management believes give readers insight into certain trends and relationships about the Company’s financial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Five Quarters of Select Key Performance Indicators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Quarter Connections &amp; Other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89"/>
              </w:rPr>
              <w:t>As of and for the three months ended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15"/>
        </w:trPr>
        <w:tc>
          <w:tcPr>
            <w:tcW w:w="2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40" w:type="dxa"/>
            <w:vAlign w:val="bottom"/>
            <w:gridSpan w:val="3"/>
          </w:tcPr>
          <w:p>
            <w:pPr>
              <w:ind w:left="60"/>
              <w:spacing w:after="0" w:line="116" w:lineRule="exact"/>
              <w:rPr>
                <w:sz w:val="20"/>
                <w:szCs w:val="20"/>
                <w:color w:val="auto"/>
              </w:rPr>
            </w:pPr>
            <w:r>
              <w:rPr>
                <w:rFonts w:ascii="Arial" w:cs="Arial" w:eastAsia="Arial" w:hAnsi="Arial"/>
                <w:sz w:val="13"/>
                <w:szCs w:val="13"/>
                <w:b w:val="1"/>
                <w:bCs w:val="1"/>
                <w:color w:val="auto"/>
              </w:rPr>
              <w:t>Dcember 31,</w:t>
            </w:r>
          </w:p>
        </w:tc>
        <w:tc>
          <w:tcPr>
            <w:tcW w:w="1080" w:type="dxa"/>
            <w:vAlign w:val="bottom"/>
            <w:gridSpan w:val="3"/>
          </w:tcPr>
          <w:p>
            <w:pPr>
              <w:ind w:left="40"/>
              <w:spacing w:after="0" w:line="116"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line="116" w:lineRule="exact"/>
              <w:rPr>
                <w:sz w:val="20"/>
                <w:szCs w:val="20"/>
                <w:color w:val="auto"/>
              </w:rPr>
            </w:pPr>
            <w:r>
              <w:rPr>
                <w:rFonts w:ascii="Arial" w:cs="Arial" w:eastAsia="Arial" w:hAnsi="Arial"/>
                <w:sz w:val="13"/>
                <w:szCs w:val="13"/>
                <w:b w:val="1"/>
                <w:bCs w:val="1"/>
                <w:color w:val="auto"/>
                <w:w w:val="92"/>
              </w:rPr>
              <w:t>June 30,</w:t>
            </w:r>
          </w:p>
        </w:tc>
        <w:tc>
          <w:tcPr>
            <w:tcW w:w="120" w:type="dxa"/>
            <w:vAlign w:val="bottom"/>
          </w:tcPr>
          <w:p>
            <w:pPr>
              <w:spacing w:after="0"/>
              <w:rPr>
                <w:sz w:val="10"/>
                <w:szCs w:val="10"/>
                <w:color w:val="auto"/>
              </w:rPr>
            </w:pPr>
          </w:p>
        </w:tc>
        <w:tc>
          <w:tcPr>
            <w:tcW w:w="920" w:type="dxa"/>
            <w:vAlign w:val="bottom"/>
            <w:gridSpan w:val="2"/>
          </w:tcPr>
          <w:p>
            <w:pPr>
              <w:ind w:left="20"/>
              <w:spacing w:after="0" w:line="116" w:lineRule="exact"/>
              <w:rPr>
                <w:sz w:val="20"/>
                <w:szCs w:val="20"/>
                <w:color w:val="auto"/>
              </w:rPr>
            </w:pPr>
            <w:r>
              <w:rPr>
                <w:rFonts w:ascii="Arial" w:cs="Arial" w:eastAsia="Arial" w:hAnsi="Arial"/>
                <w:sz w:val="13"/>
                <w:szCs w:val="13"/>
                <w:b w:val="1"/>
                <w:bCs w:val="1"/>
                <w:color w:val="auto"/>
              </w:rPr>
              <w:t>March 31,</w:t>
            </w:r>
          </w:p>
        </w:tc>
        <w:tc>
          <w:tcPr>
            <w:tcW w:w="96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r>
      <w:tr>
        <w:trPr>
          <w:trHeight w:val="167"/>
        </w:trPr>
        <w:tc>
          <w:tcPr>
            <w:tcW w:w="228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r>
      <w:tr>
        <w:trPr>
          <w:trHeight w:val="204"/>
        </w:trPr>
        <w:tc>
          <w:tcPr>
            <w:tcW w:w="37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Connections: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Gross New Connections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23,000</w:t>
            </w:r>
          </w:p>
        </w:tc>
        <w:tc>
          <w:tcPr>
            <w:tcW w:w="140" w:type="dxa"/>
            <w:vAlign w:val="bottom"/>
          </w:tcPr>
          <w:p>
            <w:pPr>
              <w:spacing w:after="0"/>
              <w:rPr>
                <w:sz w:val="18"/>
                <w:szCs w:val="18"/>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from Existing Customer Base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Net New Connections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Connections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469,000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369,000</w:t>
            </w:r>
          </w:p>
        </w:tc>
        <w:tc>
          <w:tcPr>
            <w:tcW w:w="140" w:type="dxa"/>
            <w:vAlign w:val="bottom"/>
            <w:shd w:val="clear" w:color="auto" w:fill="CCEEFF"/>
          </w:tcPr>
          <w:p>
            <w:pPr>
              <w:spacing w:after="0"/>
              <w:rPr>
                <w:sz w:val="18"/>
                <w:szCs w:val="18"/>
                <w:color w:val="auto"/>
              </w:rPr>
            </w:pPr>
          </w:p>
        </w:tc>
      </w:tr>
      <w:tr>
        <w:trPr>
          <w:trHeight w:val="210"/>
        </w:trPr>
        <w:tc>
          <w:tcPr>
            <w:tcW w:w="2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Customers: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New Customers Added</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Customers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140" w:type="dxa"/>
            <w:vAlign w:val="bottom"/>
            <w:shd w:val="clear" w:color="auto" w:fill="CCEEFF"/>
          </w:tcPr>
          <w:p>
            <w:pPr>
              <w:spacing w:after="0"/>
              <w:rPr>
                <w:sz w:val="18"/>
                <w:szCs w:val="18"/>
                <w:color w:val="auto"/>
              </w:rPr>
            </w:pPr>
          </w:p>
        </w:tc>
      </w:tr>
      <w:tr>
        <w:trPr>
          <w:trHeight w:val="210"/>
        </w:trPr>
        <w:tc>
          <w:tcPr>
            <w:tcW w:w="2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Volumes: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Total Number of Transactions (millions)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Volume (millions)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r>
      <w:tr>
        <w:trPr>
          <w:trHeight w:val="210"/>
        </w:trPr>
        <w:tc>
          <w:tcPr>
            <w:tcW w:w="2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Structure of Connections: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JumpStart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QuickStart &amp; All Others *</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40" w:type="dxa"/>
            <w:vAlign w:val="bottom"/>
            <w:shd w:val="clear" w:color="auto" w:fill="CCEEFF"/>
          </w:tcPr>
          <w:p>
            <w:pPr>
              <w:spacing w:after="0"/>
              <w:rPr>
                <w:sz w:val="18"/>
                <w:szCs w:val="18"/>
                <w:color w:val="auto"/>
              </w:rPr>
            </w:pPr>
          </w:p>
        </w:tc>
      </w:tr>
      <w:tr>
        <w:trPr>
          <w:trHeight w:val="210"/>
        </w:trPr>
        <w:tc>
          <w:tcPr>
            <w:tcW w:w="3780" w:type="dxa"/>
            <w:vAlign w:val="bottom"/>
            <w:gridSpan w:val="2"/>
          </w:tcPr>
          <w:p>
            <w:pPr>
              <w:spacing w:after="0" w:line="204"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r>
      <w:tr>
        <w:trPr>
          <w:trHeight w:val="105"/>
        </w:trPr>
        <w:tc>
          <w:tcPr>
            <w:tcW w:w="228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credit sales with standard trade receivable terms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December 31, 2016 include:</w:t>
      </w:r>
    </w:p>
    <w:p>
      <w:pPr>
        <w:spacing w:after="0" w:line="214" w:lineRule="exact"/>
        <w:rPr>
          <w:sz w:val="20"/>
          <w:szCs w:val="20"/>
          <w:color w:val="auto"/>
        </w:rPr>
      </w:pPr>
    </w:p>
    <w:p>
      <w:pPr>
        <w:ind w:left="420" w:hanging="104"/>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21,000 net new connections to our ePort Connect service in the quarter; and</w:t>
      </w:r>
    </w:p>
    <w:p>
      <w:pPr>
        <w:spacing w:after="0" w:line="15" w:lineRule="exact"/>
        <w:rPr>
          <w:rFonts w:ascii="Arial" w:cs="Arial" w:eastAsia="Arial" w:hAnsi="Arial"/>
          <w:sz w:val="18"/>
          <w:szCs w:val="18"/>
          <w:color w:val="auto"/>
        </w:rPr>
      </w:pPr>
    </w:p>
    <w:p>
      <w:pPr>
        <w:ind w:left="400" w:right="580" w:hanging="84"/>
        <w:spacing w:after="0" w:line="248"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469,000 connections to the ePort Connect service compared to the same quarter last year of approximately 369,000 connections, an increase of 100,000 connections, or 27%.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Quarter Ended December 31, 2016 compared to Quarter Ended December 31, 2015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 in thousands, except shares and per share data)</w:t>
            </w: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For the three months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8"/>
        </w:trPr>
        <w:tc>
          <w:tcPr>
            <w:tcW w:w="3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320"/>
              <w:spacing w:after="0" w:line="138"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800" w:type="dxa"/>
            <w:vAlign w:val="bottom"/>
            <w:gridSpan w:val="2"/>
          </w:tcPr>
          <w:p>
            <w:pPr>
              <w:ind w:left="20"/>
              <w:spacing w:after="0" w:line="138" w:lineRule="exact"/>
              <w:rPr>
                <w:sz w:val="20"/>
                <w:szCs w:val="20"/>
                <w:color w:val="auto"/>
              </w:rPr>
            </w:pPr>
            <w:r>
              <w:rPr>
                <w:rFonts w:ascii="Arial" w:cs="Arial" w:eastAsia="Arial" w:hAnsi="Arial"/>
                <w:sz w:val="14"/>
                <w:szCs w:val="14"/>
                <w:b w:val="1"/>
                <w:bCs w:val="1"/>
                <w:color w:val="auto"/>
              </w:rPr>
              <w:t>% of Sales</w:t>
            </w:r>
          </w:p>
        </w:tc>
        <w:tc>
          <w:tcPr>
            <w:tcW w:w="200" w:type="dxa"/>
            <w:vAlign w:val="bottom"/>
          </w:tcPr>
          <w:p>
            <w:pPr>
              <w:spacing w:after="0"/>
              <w:rPr>
                <w:sz w:val="11"/>
                <w:szCs w:val="11"/>
                <w:color w:val="auto"/>
              </w:rPr>
            </w:pPr>
          </w:p>
        </w:tc>
        <w:tc>
          <w:tcPr>
            <w:tcW w:w="860" w:type="dxa"/>
            <w:vAlign w:val="bottom"/>
          </w:tcPr>
          <w:p>
            <w:pPr>
              <w:jc w:val="right"/>
              <w:ind w:right="300"/>
              <w:spacing w:after="0" w:line="138"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b w:val="1"/>
                <w:bCs w:val="1"/>
                <w:color w:val="auto"/>
                <w:w w:val="91"/>
              </w:rPr>
              <w:t>% of Sales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2"/>
          </w:tcPr>
          <w:p>
            <w:pPr>
              <w:ind w:left="220"/>
              <w:spacing w:after="0"/>
              <w:rPr>
                <w:sz w:val="20"/>
                <w:szCs w:val="20"/>
                <w:color w:val="auto"/>
              </w:rPr>
            </w:pPr>
            <w:r>
              <w:rPr>
                <w:rFonts w:ascii="Arial" w:cs="Arial" w:eastAsia="Arial" w:hAnsi="Arial"/>
                <w:sz w:val="18"/>
                <w:szCs w:val="18"/>
                <w:color w:val="auto"/>
              </w:rPr>
              <w:t>License and transaction fees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16,639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13,674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Equipment sales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40" w:type="dxa"/>
            <w:vAlign w:val="bottom"/>
            <w:gridSpan w:val="2"/>
          </w:tcPr>
          <w:p>
            <w:pPr>
              <w:spacing w:after="0" w:line="203" w:lineRule="exact"/>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rPr>
              <w:t>21,756</w:t>
            </w: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4"/>
              </w:rPr>
              <w:t>100.0%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18,503</w:t>
            </w: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8"/>
              </w:rPr>
              <w:t>100.0%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4" w:lineRule="exact"/>
              <w:rPr>
                <w:sz w:val="20"/>
                <w:szCs w:val="20"/>
                <w:color w:val="auto"/>
              </w:rPr>
            </w:pPr>
            <w:r>
              <w:rPr>
                <w:rFonts w:ascii="Arial" w:cs="Arial" w:eastAsia="Arial" w:hAnsi="Arial"/>
                <w:sz w:val="18"/>
                <w:szCs w:val="18"/>
                <w:color w:val="auto"/>
              </w:rPr>
              <w:t>3,253</w:t>
            </w: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2"/>
          </w:tcPr>
          <w:p>
            <w:pPr>
              <w:spacing w:after="0"/>
              <w:rPr>
                <w:sz w:val="20"/>
                <w:szCs w:val="20"/>
                <w:color w:val="auto"/>
              </w:rPr>
            </w:pPr>
            <w:r>
              <w:rPr>
                <w:rFonts w:ascii="Arial" w:cs="Arial" w:eastAsia="Arial" w:hAnsi="Arial"/>
                <w:sz w:val="18"/>
                <w:szCs w:val="18"/>
                <w:color w:val="auto"/>
              </w:rPr>
              <w:t>Costs of sales/revenues: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Cost of equipment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costs of sales/revenues</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15,422</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13,020</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6,334</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tcPr>
          <w:p>
            <w:pPr>
              <w:ind w:left="2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5,793</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4,762</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1,031</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4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6,100</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4,889</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1,211</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594</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(360)</w:t>
            </w:r>
          </w:p>
        </w:tc>
        <w:tc>
          <w:tcPr>
            <w:tcW w:w="660" w:type="dxa"/>
            <w:vAlign w:val="bottom"/>
          </w:tcPr>
          <w:p>
            <w:pPr>
              <w:jc w:val="right"/>
              <w:spacing w:after="0"/>
              <w:rPr>
                <w:sz w:val="20"/>
                <w:szCs w:val="20"/>
                <w:color w:val="auto"/>
              </w:rPr>
            </w:pPr>
            <w:r>
              <w:rPr>
                <w:rFonts w:ascii="Arial" w:cs="Arial" w:eastAsia="Arial" w:hAnsi="Arial"/>
                <w:sz w:val="16"/>
                <w:szCs w:val="16"/>
                <w:color w:val="auto"/>
              </w:rPr>
              <w:t>-60.6%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(201)</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-0.9%</w:t>
            </w:r>
          </w:p>
        </w:tc>
        <w:tc>
          <w:tcPr>
            <w:tcW w:w="2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(104)</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(97)</w:t>
            </w:r>
          </w:p>
        </w:tc>
        <w:tc>
          <w:tcPr>
            <w:tcW w:w="660" w:type="dxa"/>
            <w:vAlign w:val="bottom"/>
          </w:tcPr>
          <w:p>
            <w:pPr>
              <w:jc w:val="right"/>
              <w:spacing w:after="0"/>
              <w:rPr>
                <w:sz w:val="20"/>
                <w:szCs w:val="20"/>
                <w:color w:val="auto"/>
              </w:rPr>
            </w:pPr>
            <w:r>
              <w:rPr>
                <w:rFonts w:ascii="Arial" w:cs="Arial" w:eastAsia="Arial" w:hAnsi="Arial"/>
                <w:sz w:val="16"/>
                <w:szCs w:val="16"/>
                <w:color w:val="auto"/>
              </w:rPr>
              <w:t>-93.3%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 fair value of warrant liabilities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(1,230)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40" w:type="dxa"/>
            <w:vAlign w:val="bottom"/>
            <w:gridSpan w:val="2"/>
          </w:tcPr>
          <w:p>
            <w:pPr>
              <w:spacing w:after="0"/>
              <w:rPr>
                <w:sz w:val="20"/>
                <w:szCs w:val="20"/>
                <w:color w:val="auto"/>
              </w:rPr>
            </w:pPr>
            <w:r>
              <w:rPr>
                <w:rFonts w:ascii="Arial" w:cs="Arial" w:eastAsia="Arial" w:hAnsi="Arial"/>
                <w:sz w:val="16"/>
                <w:szCs w:val="16"/>
                <w:color w:val="auto"/>
              </w:rPr>
              <w:t>Total other income (expense), net</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(1,314)</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14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(720)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953</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Cumulative preferred dividends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24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Net income (loss) applicable to common</w:t>
            </w:r>
          </w:p>
        </w:tc>
        <w:tc>
          <w:tcPr>
            <w:tcW w:w="2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(874)</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w:t>
            </w:r>
          </w:p>
        </w:tc>
        <w:tc>
          <w:tcPr>
            <w:tcW w:w="2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2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Net earnings (loss) per common share - basic</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4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6"/>
                <w:szCs w:val="16"/>
                <w:color w:val="auto"/>
                <w:w w:val="96"/>
              </w:rPr>
              <w:t>Net earnings (loss) per common share - diluted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Borders>
              <w:top w:val="single" w:sz="8" w:color="CCEEFF"/>
              <w:bottom w:val="single" w:sz="8" w:color="CCEEFF"/>
            </w:tcBorders>
          </w:tcPr>
          <w:p>
            <w:pPr>
              <w:spacing w:after="0"/>
              <w:rPr>
                <w:sz w:val="16"/>
                <w:szCs w:val="16"/>
                <w:color w:val="auto"/>
              </w:rPr>
            </w:pPr>
          </w:p>
        </w:tc>
        <w:tc>
          <w:tcPr>
            <w:tcW w:w="66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Borders>
              <w:top w:val="single" w:sz="8" w:color="CCEEFF"/>
              <w:bottom w:val="single" w:sz="8" w:color="CCEEFF"/>
            </w:tcBorders>
          </w:tcPr>
          <w:p>
            <w:pPr>
              <w:spacing w:after="0"/>
              <w:rPr>
                <w:sz w:val="16"/>
                <w:szCs w:val="16"/>
                <w:color w:val="auto"/>
              </w:rPr>
            </w:pPr>
          </w:p>
        </w:tc>
        <w:tc>
          <w:tcPr>
            <w:tcW w:w="66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40" w:type="dxa"/>
            <w:vAlign w:val="bottom"/>
            <w:tcBorders>
              <w:top w:val="single" w:sz="8" w:color="CCEEFF"/>
              <w:bottom w:val="single" w:sz="8" w:color="CCEEFF"/>
            </w:tcBorders>
          </w:tcPr>
          <w:p>
            <w:pPr>
              <w:spacing w:after="0"/>
              <w:rPr>
                <w:sz w:val="16"/>
                <w:szCs w:val="16"/>
                <w:color w:val="auto"/>
              </w:rPr>
            </w:pPr>
          </w:p>
        </w:tc>
        <w:tc>
          <w:tcPr>
            <w:tcW w:w="6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rPr>
              <w:t>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40" w:type="dxa"/>
            <w:vAlign w:val="bottom"/>
            <w:gridSpan w:val="2"/>
          </w:tcPr>
          <w:p>
            <w:pPr>
              <w:spacing w:after="0"/>
              <w:rPr>
                <w:sz w:val="20"/>
                <w:szCs w:val="20"/>
                <w:color w:val="auto"/>
              </w:rPr>
            </w:pPr>
            <w:r>
              <w:rPr>
                <w:rFonts w:ascii="Arial" w:cs="Arial" w:eastAsia="Arial" w:hAnsi="Arial"/>
                <w:sz w:val="16"/>
                <w:szCs w:val="16"/>
                <w:color w:val="auto"/>
              </w:rPr>
              <w:t>Basic weighted average number of common</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shares outstanding</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40,308,934</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35,909,933</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4,399,001</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Diluted weighted average number of common</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outstanding</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40,730,712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35,909,933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4,820,779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increase in net new connections of approximately 21,000 for the three months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20,000 in the same period last year represents an increase of 5%. The Company’s total connections have grown to 469,000 at December 31, 2016 compared to 369,000 at December 31, 2015, or a 27% increase year-over-year. The increase in total connections is driving the growth in license and transaction fees of 22% quarter-over-quarter. The increase in equipment revenue is due to more units sold during the three-month period ended December 31, 2016 compared to the same period last year.</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License and transaction fees gross margin for the three-month period ended December 31, 2016 decreased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33.7% to 31.6% compared to the three-month period ended December 31, 2015. The decrease in license and transaction gross margin is attributable to, among other things, reduced fees periodically extended to customers who offer strategic and/or large market opportunities and increased merchant fees associated with a change in card mix. License and transaction fees gross margins increased from 31.3% for the three month period ended September 30, 2016 to 31.6% for the three month period ended December 31, 2016.</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Equipment gross margins increased from 18.1% for the three-month period ended December 31, 2015 to 21.2% for the three-month period ended December 31, 2016. The increase in equipment gross margin is primarily attributable to cost reductions with respect to our products in the three-month period ended December 31, 2016 compared to December 31, 2015. Equipment gross margins increased from 20.0% for the three month period ended September 30, 2016 to 21.2% for the three month period ended December 31, 2016.</w:t>
      </w:r>
    </w:p>
    <w:p>
      <w:pPr>
        <w:spacing w:after="0" w:line="6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Operating expenses increased $1.2 million or 25% for the three-month period ended December 31, 2016</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prior period in 2015, representing 28% and 26% of sales, respectively. The $0.4 million increase in professional services is attributable to operational compliance costs associated with collection efforts, Sarbanes-Oxley Act of 2002 (SOX</w:t>
      </w:r>
    </w:p>
    <w:p>
      <w:pPr>
        <w:spacing w:after="0" w:line="1" w:lineRule="exact"/>
        <w:rPr>
          <w:sz w:val="20"/>
          <w:szCs w:val="20"/>
          <w:color w:val="auto"/>
        </w:rPr>
      </w:pPr>
    </w:p>
    <w:p>
      <w:pPr>
        <w:jc w:val="both"/>
        <w:spacing w:after="0" w:line="281" w:lineRule="auto"/>
        <w:tabs>
          <w:tab w:leader="none" w:pos="37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compliance, and internal audit. The $0.2 million increase in marketing related expenses is due to marketing and customer promotions. The $0.2 million increase in depreciation and amortization is primarily due to the assets acquired in the Vendscreen acquisition. The $0.2 million increase in premises, equipment and insurance costs is primarily due to increasing rent expense for leased properties and employer business insurance. As reflected in Table 5 below, our SG&amp;A expense for the December 31, 2016 quarter was approximately $1.1 million less than our SG&amp;A expense for the September 30, 2016 quarter, representing 26.6% and 32.0% of sales, respectively.</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 xml:space="preserve">Total Other Income (Expense). </w:t>
      </w:r>
      <w:r>
        <w:rPr>
          <w:rFonts w:ascii="Arial" w:cs="Arial" w:eastAsia="Arial" w:hAnsi="Arial"/>
          <w:sz w:val="16"/>
          <w:szCs w:val="16"/>
          <w:color w:val="auto"/>
        </w:rPr>
        <w:t>Total Other Income (Expense) includes interest expense, other income, and the change in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warrants. The primary driver for volatility in Other Income / (Expense) has been non-cash changes to the fair value of the warrant liabilities which are based on the Company’s stock price. Using the Black-Scholes model, the Company adjusts the warrant liability for fair value through the income statement quarterly. For the three-month period ended December 31, 2016, the Company did not record any expense for the change in the fair value of warrant liabilities compared to recording an expense of $1.2 million for the three months ended December 31, 2015. As the warrants giving rise to the warrant liability were exercised in September 2016, there was no such liability recorded in the December 31, 2016 quarter.</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Net Income (Loss). </w:t>
      </w:r>
      <w:r>
        <w:rPr>
          <w:rFonts w:ascii="Arial" w:cs="Arial" w:eastAsia="Arial" w:hAnsi="Arial"/>
          <w:sz w:val="16"/>
          <w:szCs w:val="16"/>
          <w:color w:val="auto"/>
        </w:rPr>
        <w:t>Net income (loss) is a function of the items described above. Net income for the second quarter was $0.2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to net loss of $0.9 million for the comparable period a year ago. The primary reason for the difference in net income (loss) was the warrant liability charge taken during the December 31, 2015 quarter. The Company earned $.01 per share during the quarter as compared to a loss of ($0.02) per share during the prior corresponding quarter.</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For the three months ended December 31, 2016, adjusted EBITDA decreased to $1.7 million from $2.3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quarter ended December 31, 2015. The decrease was primarily due to an increase in operating expenses which was partially offset by an increase in gross profit.</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Non-GAAP Net Income (Loss). </w:t>
      </w:r>
      <w:r>
        <w:rPr>
          <w:rFonts w:ascii="Arial" w:cs="Arial" w:eastAsia="Arial" w:hAnsi="Arial"/>
          <w:sz w:val="18"/>
          <w:szCs w:val="18"/>
          <w:color w:val="auto"/>
        </w:rPr>
        <w:t>Non-GAAP net income decreased to $0.2 million for the three months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quarter ended December 31, 2015 of $0.7 million. The decrease was primarily due to an increase in operating expenses which was partially offset by an increase in gross profit.</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Weighted Average Shares Outstanding. </w:t>
      </w:r>
      <w:r>
        <w:rPr>
          <w:rFonts w:ascii="Arial" w:cs="Arial" w:eastAsia="Arial" w:hAnsi="Arial"/>
          <w:sz w:val="18"/>
          <w:szCs w:val="18"/>
          <w:color w:val="auto"/>
        </w:rPr>
        <w:t>The increase in the weighted average number of common shares was due to exercises of</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and to stock issued through the Company’s stock based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Six Months Ended December 31, 2016 compared to the Six Months Ended December 31, 2015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60" w:type="dxa"/>
            <w:vAlign w:val="bottom"/>
            <w:gridSpan w:val="2"/>
            <w:vMerge w:val="restart"/>
          </w:tcPr>
          <w:p>
            <w:pPr>
              <w:spacing w:after="0"/>
              <w:rPr>
                <w:sz w:val="20"/>
                <w:szCs w:val="20"/>
                <w:color w:val="auto"/>
              </w:rPr>
            </w:pPr>
            <w:r>
              <w:rPr>
                <w:rFonts w:ascii="Arial" w:cs="Arial" w:eastAsia="Arial" w:hAnsi="Arial"/>
                <w:sz w:val="14"/>
                <w:szCs w:val="14"/>
                <w:color w:val="auto"/>
              </w:rPr>
              <w:t>($ in thousands, except shares and per share data)</w:t>
            </w:r>
          </w:p>
        </w:tc>
        <w:tc>
          <w:tcPr>
            <w:tcW w:w="2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For the six months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8"/>
        </w:trPr>
        <w:tc>
          <w:tcPr>
            <w:tcW w:w="3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317"/>
              <w:spacing w:after="0" w:line="138"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800" w:type="dxa"/>
            <w:vAlign w:val="bottom"/>
            <w:gridSpan w:val="2"/>
          </w:tcPr>
          <w:p>
            <w:pPr>
              <w:ind w:left="20"/>
              <w:spacing w:after="0" w:line="138" w:lineRule="exact"/>
              <w:rPr>
                <w:sz w:val="20"/>
                <w:szCs w:val="20"/>
                <w:color w:val="auto"/>
              </w:rPr>
            </w:pPr>
            <w:r>
              <w:rPr>
                <w:rFonts w:ascii="Arial" w:cs="Arial" w:eastAsia="Arial" w:hAnsi="Arial"/>
                <w:sz w:val="14"/>
                <w:szCs w:val="14"/>
                <w:b w:val="1"/>
                <w:bCs w:val="1"/>
                <w:color w:val="auto"/>
              </w:rPr>
              <w:t>% of Sales</w:t>
            </w:r>
          </w:p>
        </w:tc>
        <w:tc>
          <w:tcPr>
            <w:tcW w:w="200" w:type="dxa"/>
            <w:vAlign w:val="bottom"/>
          </w:tcPr>
          <w:p>
            <w:pPr>
              <w:spacing w:after="0"/>
              <w:rPr>
                <w:sz w:val="11"/>
                <w:szCs w:val="11"/>
                <w:color w:val="auto"/>
              </w:rPr>
            </w:pPr>
          </w:p>
        </w:tc>
        <w:tc>
          <w:tcPr>
            <w:tcW w:w="840" w:type="dxa"/>
            <w:vAlign w:val="bottom"/>
          </w:tcPr>
          <w:p>
            <w:pPr>
              <w:jc w:val="right"/>
              <w:ind w:right="295"/>
              <w:spacing w:after="0" w:line="138"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b w:val="1"/>
                <w:bCs w:val="1"/>
                <w:color w:val="auto"/>
                <w:w w:val="88"/>
              </w:rPr>
              <w:t>% of Sales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3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20"/>
              <w:spacing w:after="0"/>
              <w:rPr>
                <w:sz w:val="20"/>
                <w:szCs w:val="20"/>
                <w:color w:val="auto"/>
              </w:rPr>
            </w:pPr>
            <w:r>
              <w:rPr>
                <w:rFonts w:ascii="Arial" w:cs="Arial" w:eastAsia="Arial" w:hAnsi="Arial"/>
                <w:sz w:val="16"/>
                <w:szCs w:val="16"/>
                <w:color w:val="auto"/>
              </w:rPr>
              <w:t>License and transaction fees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33,004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6,405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Equipment sales</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4"/>
        </w:trPr>
        <w:tc>
          <w:tcPr>
            <w:tcW w:w="3260" w:type="dxa"/>
            <w:vAlign w:val="bottom"/>
            <w:gridSpan w:val="2"/>
          </w:tcPr>
          <w:p>
            <w:pPr>
              <w:spacing w:after="0" w:line="203" w:lineRule="exact"/>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7"/>
                <w:szCs w:val="17"/>
                <w:color w:val="auto"/>
              </w:rPr>
            </w:pP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43,344</w:t>
            </w: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4"/>
              </w:rPr>
              <w:t>100.0%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35,103</w:t>
            </w:r>
          </w:p>
        </w:tc>
        <w:tc>
          <w:tcPr>
            <w:tcW w:w="16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4"/>
              </w:rPr>
              <w:t>100.0%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Arial" w:cs="Arial" w:eastAsia="Arial" w:hAnsi="Arial"/>
                <w:sz w:val="18"/>
                <w:szCs w:val="18"/>
                <w:color w:val="auto"/>
              </w:rPr>
              <w:t>8,241</w:t>
            </w: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spacing w:after="0"/>
              <w:rPr>
                <w:sz w:val="20"/>
                <w:szCs w:val="20"/>
                <w:color w:val="auto"/>
              </w:rPr>
            </w:pPr>
            <w:r>
              <w:rPr>
                <w:rFonts w:ascii="Arial" w:cs="Arial" w:eastAsia="Arial" w:hAnsi="Arial"/>
                <w:sz w:val="18"/>
                <w:szCs w:val="18"/>
                <w:color w:val="auto"/>
              </w:rPr>
              <w:t>Costs of sales/revenues: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Cost of equipment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8,211</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4"/>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costs of sales/revenues</w:t>
            </w: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24,573</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9,558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3,144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190"/>
        </w:trPr>
        <w:tc>
          <w:tcPr>
            <w:tcW w:w="326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13,217</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9,824</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3,393</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(1,422)</w:t>
            </w:r>
          </w:p>
        </w:tc>
        <w:tc>
          <w:tcPr>
            <w:tcW w:w="660" w:type="dxa"/>
            <w:vAlign w:val="bottom"/>
          </w:tcPr>
          <w:p>
            <w:pPr>
              <w:jc w:val="right"/>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0" w:type="dxa"/>
            <w:vAlign w:val="bottom"/>
          </w:tcPr>
          <w:p>
            <w:pPr>
              <w:spacing w:after="0"/>
              <w:rPr>
                <w:sz w:val="1"/>
                <w:szCs w:val="1"/>
                <w:color w:val="auto"/>
              </w:rPr>
            </w:pPr>
          </w:p>
        </w:tc>
      </w:tr>
      <w:tr>
        <w:trPr>
          <w:trHeight w:val="210"/>
        </w:trPr>
        <w:tc>
          <w:tcPr>
            <w:tcW w:w="326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(413)</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(190)</w:t>
            </w:r>
          </w:p>
        </w:tc>
        <w:tc>
          <w:tcPr>
            <w:tcW w:w="660" w:type="dxa"/>
            <w:vAlign w:val="bottom"/>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 fair value of warrant liabilities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190"/>
        </w:trPr>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income (expense), net</w:t>
            </w: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-3.8%</w:t>
            </w: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(1,039)</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-3.0%</w:t>
            </w: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190"/>
        </w:trPr>
        <w:tc>
          <w:tcPr>
            <w:tcW w:w="3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gridSpan w:val="2"/>
          </w:tcPr>
          <w:p>
            <w:pPr>
              <w:spacing w:after="0"/>
              <w:rPr>
                <w:sz w:val="20"/>
                <w:szCs w:val="20"/>
                <w:color w:val="auto"/>
              </w:rPr>
            </w:pPr>
            <w:r>
              <w:rPr>
                <w:rFonts w:ascii="Arial" w:cs="Arial" w:eastAsia="Arial" w:hAnsi="Arial"/>
                <w:sz w:val="16"/>
                <w:szCs w:val="16"/>
                <w:color w:val="auto"/>
              </w:rPr>
              <w:t>Income (loss) before provision for income</w:t>
            </w:r>
          </w:p>
        </w:tc>
        <w:tc>
          <w:tcPr>
            <w:tcW w:w="20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(2,346)</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(333)</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60" w:type="dxa"/>
            <w:vAlign w:val="bottom"/>
            <w:gridSpan w:val="2"/>
          </w:tcPr>
          <w:p>
            <w:pPr>
              <w:spacing w:after="0"/>
              <w:rPr>
                <w:sz w:val="20"/>
                <w:szCs w:val="20"/>
                <w:color w:val="auto"/>
              </w:rPr>
            </w:pPr>
            <w:r>
              <w:rPr>
                <w:rFonts w:ascii="Arial" w:cs="Arial" w:eastAsia="Arial" w:hAnsi="Arial"/>
                <w:sz w:val="16"/>
                <w:szCs w:val="16"/>
                <w:color w:val="auto"/>
              </w:rPr>
              <w:t>taxes</w:t>
            </w: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(2,013)</w:t>
            </w:r>
          </w:p>
        </w:tc>
        <w:tc>
          <w:tcPr>
            <w:tcW w:w="660" w:type="dxa"/>
            <w:vAlign w:val="bottom"/>
          </w:tcPr>
          <w:p>
            <w:pPr>
              <w:jc w:val="right"/>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211"/>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(2,231)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(1,717)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0" w:type="dxa"/>
            <w:vAlign w:val="bottom"/>
          </w:tcPr>
          <w:p>
            <w:pPr>
              <w:spacing w:after="0"/>
              <w:rPr>
                <w:sz w:val="1"/>
                <w:szCs w:val="1"/>
                <w:color w:val="auto"/>
              </w:rPr>
            </w:pPr>
          </w:p>
        </w:tc>
      </w:tr>
      <w:tr>
        <w:trPr>
          <w:trHeight w:val="210"/>
        </w:trPr>
        <w:tc>
          <w:tcPr>
            <w:tcW w:w="3260" w:type="dxa"/>
            <w:vAlign w:val="bottom"/>
            <w:gridSpan w:val="2"/>
          </w:tcPr>
          <w:p>
            <w:pPr>
              <w:spacing w:after="0"/>
              <w:rPr>
                <w:sz w:val="20"/>
                <w:szCs w:val="20"/>
                <w:color w:val="auto"/>
              </w:rPr>
            </w:pPr>
            <w:r>
              <w:rPr>
                <w:rFonts w:ascii="Arial" w:cs="Arial" w:eastAsia="Arial" w:hAnsi="Arial"/>
                <w:sz w:val="16"/>
                <w:szCs w:val="16"/>
                <w:color w:val="auto"/>
              </w:rPr>
              <w:t>Cumulative preferred dividends</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-0.8%</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7"/>
        </w:trPr>
        <w:tc>
          <w:tcPr>
            <w:tcW w:w="3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6"/>
              </w:rPr>
              <w:t>Net income (loss) applicable to common shares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earnings (loss) per common share - basic</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90"/>
        </w:trPr>
        <w:tc>
          <w:tcPr>
            <w:tcW w:w="326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6"/>
                <w:szCs w:val="16"/>
                <w:color w:val="auto"/>
                <w:w w:val="97"/>
              </w:rPr>
              <w:t>Net earnings (loss) per common share - diluted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40" w:type="dxa"/>
            <w:vAlign w:val="bottom"/>
            <w:tcBorders>
              <w:top w:val="single" w:sz="8" w:color="CCEEFF"/>
              <w:bottom w:val="single" w:sz="8" w:color="CCEEFF"/>
            </w:tcBorders>
          </w:tcPr>
          <w:p>
            <w:pPr>
              <w:spacing w:after="0"/>
              <w:rPr>
                <w:sz w:val="16"/>
                <w:szCs w:val="16"/>
                <w:color w:val="auto"/>
              </w:rPr>
            </w:pPr>
          </w:p>
        </w:tc>
        <w:tc>
          <w:tcPr>
            <w:tcW w:w="66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Borders>
              <w:top w:val="single" w:sz="8" w:color="CCEEFF"/>
              <w:bottom w:val="single" w:sz="8" w:color="CCEEFF"/>
            </w:tcBorders>
          </w:tcPr>
          <w:p>
            <w:pPr>
              <w:spacing w:after="0"/>
              <w:rPr>
                <w:sz w:val="16"/>
                <w:szCs w:val="16"/>
                <w:color w:val="auto"/>
              </w:rPr>
            </w:pPr>
          </w:p>
        </w:tc>
        <w:tc>
          <w:tcPr>
            <w:tcW w:w="66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Borders>
              <w:top w:val="single" w:sz="8" w:color="CCEEFF"/>
              <w:bottom w:val="single" w:sz="8" w:color="CCEEFF"/>
            </w:tcBorders>
          </w:tcPr>
          <w:p>
            <w:pPr>
              <w:spacing w:after="0"/>
              <w:rPr>
                <w:sz w:val="16"/>
                <w:szCs w:val="16"/>
                <w:color w:val="auto"/>
              </w:rPr>
            </w:pPr>
          </w:p>
        </w:tc>
        <w:tc>
          <w:tcPr>
            <w:tcW w:w="6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60" w:type="dxa"/>
            <w:vAlign w:val="bottom"/>
            <w:gridSpan w:val="2"/>
          </w:tcPr>
          <w:p>
            <w:pPr>
              <w:spacing w:after="0"/>
              <w:rPr>
                <w:sz w:val="20"/>
                <w:szCs w:val="20"/>
                <w:color w:val="auto"/>
              </w:rPr>
            </w:pPr>
            <w:r>
              <w:rPr>
                <w:rFonts w:ascii="Arial" w:cs="Arial" w:eastAsia="Arial" w:hAnsi="Arial"/>
                <w:sz w:val="16"/>
                <w:szCs w:val="16"/>
                <w:color w:val="auto"/>
              </w:rPr>
              <w:t>Basic weighted average number of common</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60" w:type="dxa"/>
            <w:vAlign w:val="bottom"/>
            <w:gridSpan w:val="2"/>
          </w:tcPr>
          <w:p>
            <w:pPr>
              <w:spacing w:after="0"/>
              <w:rPr>
                <w:sz w:val="20"/>
                <w:szCs w:val="20"/>
                <w:color w:val="auto"/>
              </w:rPr>
            </w:pPr>
            <w:r>
              <w:rPr>
                <w:rFonts w:ascii="Arial" w:cs="Arial" w:eastAsia="Arial" w:hAnsi="Arial"/>
                <w:sz w:val="16"/>
                <w:szCs w:val="16"/>
                <w:color w:val="auto"/>
              </w:rPr>
              <w:t>shares outstanding</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39,398,469</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35,879,164</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3,519,305</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1"/>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weighted average number of common</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outstanding</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39,398,469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35,879,164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3,519,305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Company’s total connections have grown to 469,000 at December 31, 2016 compared to 369,000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or a 27% increase year-over-year. The increase in total connections is driving the growth in license and transaction fees of 24% year over year.</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License and transaction fees gross margin for the six-month period ended December 31, 2016 decreased from</w:t>
      </w:r>
      <w:r>
        <w:rPr>
          <w:rFonts w:ascii="Arial" w:cs="Arial" w:eastAsia="Arial" w:hAnsi="Arial"/>
          <w:sz w:val="16"/>
          <w:szCs w:val="16"/>
          <w:i w:val="1"/>
          <w:iCs w:val="1"/>
          <w:color w:val="auto"/>
        </w:rPr>
        <w:t xml:space="preserve"> </w:t>
      </w:r>
      <w:r>
        <w:rPr>
          <w:rFonts w:ascii="Arial" w:cs="Arial" w:eastAsia="Arial" w:hAnsi="Arial"/>
          <w:sz w:val="16"/>
          <w:szCs w:val="16"/>
          <w:color w:val="auto"/>
        </w:rPr>
        <w:t>33.2% to 31.4% compared to the six-month period ended December 31, 2015. The decrease in license and transaction gross margin is attributable to, among other things, reduced fees periodically extended to customers who offer strategic and/or large market opportunities and increased merchant fees associated with a change in card mix.</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Equipment gross margin increased from 20.0% for the six-month period ended December 31, 2015 to 20.6% for the six-month period ended December 31, 2016. The increase in gross margin on a year-to-date basis is primarily attributable to cost reductions of our products.</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increased $3.4 million or 35% for the six-month period ended December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prior period in fiscal year 2015. The $2.1 million increase of professional services is attributable to SOX 404 compliance, internal audit, and audit of our financial statements driven primarily by our status as a first time accelerated filer which required an audit of our annual SOX 404 assessment. The $0.5 million salaries and benefits increase is due to employee compensation, headcount and employee related medical benefits. The $0.3 million increase in premises, equipment and insurance costs is due to increasing rent expense for leased properties and employer business insurance. The $0.2 million increase in marketing related expenses is due to marketing and customer promotions. Total operating expenses as a percentage of sales increased slightly for the six-months ended December 31, 2016 to 31% compared to 28% for the six months ended December 31, 2015.</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Total Other Income (Expense). </w:t>
      </w:r>
      <w:r>
        <w:rPr>
          <w:rFonts w:ascii="Arial" w:cs="Arial" w:eastAsia="Arial" w:hAnsi="Arial"/>
          <w:sz w:val="18"/>
          <w:szCs w:val="18"/>
          <w:color w:val="auto"/>
        </w:rPr>
        <w:t>Total Other (Income) Expense includes interest expense, other income, and the change in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warrants. The primary driver for volatility in Other Income / (Expense) has been non-cash changes to the fair value of the warrant liabilities which are based on the Company’s stock price. Using the Black-Scholes model, the Company adjusts the warrant liability for fair value through the income statement quarterly. For the six-month period ended December 31, 2016 the Company recorded $1.5 million for the change in the fair value of warrant liabilities (all attributable to the quarter ended September 30, 2016) compared to expense of $0.9 million for the six months ended December 31, 2015. As the warrants associated with the liability were exercised in September 2016, there will be no fair value liability recorded in subsequent periods.</w:t>
      </w:r>
    </w:p>
    <w:p>
      <w:pPr>
        <w:spacing w:after="0" w:line="19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 xml:space="preserve">Net Income (Loss). </w:t>
      </w:r>
      <w:r>
        <w:rPr>
          <w:rFonts w:ascii="Arial" w:cs="Arial" w:eastAsia="Arial" w:hAnsi="Arial"/>
          <w:sz w:val="16"/>
          <w:szCs w:val="16"/>
          <w:color w:val="auto"/>
        </w:rPr>
        <w:t>Net (loss) is a function of the items described above. Net loss for the six months ending December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was $2.2 million compared to a net loss of $0.5 million for the comparable period a year ago. The Company lost ($0.07) per share during the six month period as compared to a loss of ($0.02) per share during the prior corresponding six month period.</w:t>
      </w:r>
    </w:p>
    <w:p>
      <w:pPr>
        <w:spacing w:after="0" w:line="3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For the six months ended December 31, 2016, adjusted EBITDA decreased to $2.4 million from $4.0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December 31, 2015 or 39%. The decrease was primarily due to an increase in operating expenses which was partially offset by an increase in gross profit.</w:t>
      </w:r>
    </w:p>
    <w:p>
      <w:pPr>
        <w:spacing w:after="0" w:line="5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 xml:space="preserve">Non-GAAP Net Income (Loss). </w:t>
      </w:r>
      <w:r>
        <w:rPr>
          <w:rFonts w:ascii="Arial" w:cs="Arial" w:eastAsia="Arial" w:hAnsi="Arial"/>
          <w:sz w:val="16"/>
          <w:szCs w:val="16"/>
          <w:color w:val="auto"/>
        </w:rPr>
        <w:t>Non-GAAP net income decreased to ($0.7) million for the six months ended December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non-GAAP net income for the six months December 31, 2015 of $0.7 million. The decrease was primarily due to an increase in operating expenses which was partially offset by an increase in gross profit.</w:t>
      </w:r>
    </w:p>
    <w:p>
      <w:pPr>
        <w:spacing w:after="0" w:line="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Weighted Average Shares Outstanding. </w:t>
      </w:r>
      <w:r>
        <w:rPr>
          <w:rFonts w:ascii="Arial" w:cs="Arial" w:eastAsia="Arial" w:hAnsi="Arial"/>
          <w:sz w:val="18"/>
          <w:szCs w:val="18"/>
          <w:color w:val="auto"/>
        </w:rPr>
        <w:t>The increase in the weighted average number of common shares was due to exercises of</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and to stock issued through the Company’s stock based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Reconciliation of Net Income (Loss)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7"/>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4"/>
                <w:szCs w:val="1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132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428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5"/>
              <w:spacing w:after="0" w:line="138"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94"/>
              <w:spacing w:after="0" w:line="138"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80"/>
              <w:spacing w:after="0" w:line="138"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4"/>
              <w:spacing w:after="0" w:line="138"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4"/>
        </w:trPr>
        <w:tc>
          <w:tcPr>
            <w:tcW w:w="41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233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(874)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1"/>
              </w:rPr>
              <w:t>(2,231)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0"/>
        </w:trPr>
        <w:tc>
          <w:tcPr>
            <w:tcW w:w="4280" w:type="dxa"/>
            <w:vAlign w:val="bottom"/>
            <w:gridSpan w:val="2"/>
          </w:tcPr>
          <w:p>
            <w:pPr>
              <w:ind w:left="100"/>
              <w:spacing w:after="0"/>
              <w:rPr>
                <w:sz w:val="20"/>
                <w:szCs w:val="20"/>
                <w:color w:val="auto"/>
              </w:rPr>
            </w:pPr>
            <w:r>
              <w:rPr>
                <w:rFonts w:ascii="Arial" w:cs="Arial" w:eastAsia="Arial" w:hAnsi="Arial"/>
                <w:sz w:val="18"/>
                <w:szCs w:val="18"/>
                <w:color w:val="auto"/>
              </w:rPr>
              <w:t>Less interest income</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Plus interest expenses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4280" w:type="dxa"/>
            <w:vAlign w:val="bottom"/>
            <w:gridSpan w:val="2"/>
          </w:tcPr>
          <w:p>
            <w:pPr>
              <w:ind w:left="100"/>
              <w:spacing w:after="0"/>
              <w:rPr>
                <w:sz w:val="20"/>
                <w:szCs w:val="20"/>
                <w:color w:val="auto"/>
              </w:rPr>
            </w:pPr>
            <w:r>
              <w:rPr>
                <w:rFonts w:ascii="Arial" w:cs="Arial" w:eastAsia="Arial" w:hAnsi="Arial"/>
                <w:sz w:val="18"/>
                <w:szCs w:val="18"/>
                <w:color w:val="auto"/>
                <w:w w:val="98"/>
              </w:rPr>
              <w:t>Plus income tax provision / (Less income tax benefit)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Plus depreciation expense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2,673</w:t>
            </w:r>
          </w:p>
        </w:tc>
        <w:tc>
          <w:tcPr>
            <w:tcW w:w="0" w:type="dxa"/>
            <w:vAlign w:val="bottom"/>
          </w:tcPr>
          <w:p>
            <w:pPr>
              <w:spacing w:after="0"/>
              <w:rPr>
                <w:sz w:val="1"/>
                <w:szCs w:val="1"/>
                <w:color w:val="auto"/>
              </w:rPr>
            </w:pPr>
          </w:p>
        </w:tc>
      </w:tr>
      <w:tr>
        <w:trPr>
          <w:trHeight w:val="210"/>
        </w:trPr>
        <w:tc>
          <w:tcPr>
            <w:tcW w:w="4280" w:type="dxa"/>
            <w:vAlign w:val="bottom"/>
            <w:gridSpan w:val="2"/>
          </w:tcPr>
          <w:p>
            <w:pPr>
              <w:ind w:left="100"/>
              <w:spacing w:after="0"/>
              <w:rPr>
                <w:sz w:val="20"/>
                <w:szCs w:val="20"/>
                <w:color w:val="auto"/>
              </w:rPr>
            </w:pPr>
            <w:r>
              <w:rPr>
                <w:rFonts w:ascii="Arial" w:cs="Arial" w:eastAsia="Arial" w:hAnsi="Arial"/>
                <w:sz w:val="18"/>
                <w:szCs w:val="18"/>
                <w:color w:val="auto"/>
              </w:rPr>
              <w:t>Plus amortization expense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4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8"/>
              </w:rPr>
              <w:t>1,497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687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358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2,492</w:t>
            </w:r>
          </w:p>
        </w:tc>
        <w:tc>
          <w:tcPr>
            <w:tcW w:w="0" w:type="dxa"/>
            <w:vAlign w:val="bottom"/>
          </w:tcPr>
          <w:p>
            <w:pPr>
              <w:spacing w:after="0"/>
              <w:rPr>
                <w:sz w:val="1"/>
                <w:szCs w:val="1"/>
                <w:color w:val="auto"/>
              </w:rPr>
            </w:pPr>
          </w:p>
        </w:tc>
      </w:tr>
      <w:tr>
        <w:trPr>
          <w:trHeight w:val="204"/>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80" w:type="dxa"/>
            <w:vAlign w:val="bottom"/>
            <w:gridSpan w:val="2"/>
            <w:shd w:val="clear" w:color="auto" w:fill="CCEEFF"/>
          </w:tcPr>
          <w:p>
            <w:pPr>
              <w:ind w:left="100"/>
              <w:spacing w:after="0" w:line="198" w:lineRule="exact"/>
              <w:rPr>
                <w:sz w:val="20"/>
                <w:szCs w:val="20"/>
                <w:color w:val="auto"/>
              </w:rPr>
            </w:pPr>
            <w:r>
              <w:rPr>
                <w:rFonts w:ascii="Arial" w:cs="Arial" w:eastAsia="Arial" w:hAnsi="Arial"/>
                <w:sz w:val="18"/>
                <w:szCs w:val="18"/>
                <w:color w:val="auto"/>
                <w:w w:val="96"/>
              </w:rPr>
              <w:t>Plus loss on fair value of warrant liabilities / (Less gain</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on fair value of warrant liabilities)</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0"/>
        </w:trPr>
        <w:tc>
          <w:tcPr>
            <w:tcW w:w="4280" w:type="dxa"/>
            <w:vAlign w:val="bottom"/>
            <w:gridSpan w:val="2"/>
          </w:tcPr>
          <w:p>
            <w:pPr>
              <w:ind w:left="100"/>
              <w:spacing w:after="0"/>
              <w:rPr>
                <w:sz w:val="20"/>
                <w:szCs w:val="20"/>
                <w:color w:val="auto"/>
              </w:rPr>
            </w:pPr>
            <w:r>
              <w:rPr>
                <w:rFonts w:ascii="Arial" w:cs="Arial" w:eastAsia="Arial" w:hAnsi="Arial"/>
                <w:sz w:val="18"/>
                <w:szCs w:val="18"/>
                <w:color w:val="auto"/>
              </w:rPr>
              <w:t>Plus stock-based compensation</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Plus VendScreen non-recurring charges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4280" w:type="dxa"/>
            <w:vAlign w:val="bottom"/>
            <w:gridSpan w:val="2"/>
          </w:tcPr>
          <w:p>
            <w:pPr>
              <w:ind w:left="100"/>
              <w:spacing w:after="0"/>
              <w:rPr>
                <w:sz w:val="20"/>
                <w:szCs w:val="20"/>
                <w:color w:val="auto"/>
              </w:rPr>
            </w:pPr>
            <w:r>
              <w:rPr>
                <w:rFonts w:ascii="Arial" w:cs="Arial" w:eastAsia="Arial" w:hAnsi="Arial"/>
                <w:sz w:val="18"/>
                <w:szCs w:val="18"/>
                <w:color w:val="auto"/>
              </w:rPr>
              <w:t>Plus Litigation related professional fees</w:t>
            </w:r>
          </w:p>
        </w:tc>
        <w:tc>
          <w:tcPr>
            <w:tcW w:w="1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4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Adjustments to EBITDA</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3"/>
              </w:rPr>
              <w:t>1,573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2,077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1,519</w:t>
            </w: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line="204" w:lineRule="exact"/>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88"/>
              </w:rPr>
              <w:t>1,738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3"/>
              </w:rPr>
              <w:t>2,260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2,435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7"/>
              </w:rPr>
              <w:t>4,011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As used herein, Adjusted EBITDA represents net income (loss) before interest income, interest expense, income taxes, depreciation, amortization, non-recurring fees and charges that were incurred in connection with the integration of the VendScreen business, change in fair value of warrant liabilities and stock-based compensation expense.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We have excluded the non-recurring costs and expenses incurred in connection with the VendScreen transaction in order to allow more accurate comparison of the financial results to historical operations.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Additionally, the Company utilizes Adjusted EBTIDA as a metric in its executive officer and management incentive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Selling General &amp; Administrative (SG&amp;A) Expenses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6"/>
          </w:tcPr>
          <w:p>
            <w:pPr>
              <w:ind w:left="2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107"/>
        </w:trPr>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w w:val="97"/>
              </w:rPr>
              <w:t>December 31,</w:t>
            </w:r>
          </w:p>
        </w:tc>
        <w:tc>
          <w:tcPr>
            <w:tcW w:w="580" w:type="dxa"/>
            <w:vAlign w:val="bottom"/>
            <w:gridSpan w:val="2"/>
          </w:tcPr>
          <w:p>
            <w:pPr>
              <w:jc w:val="center"/>
              <w:ind w:right="80"/>
              <w:spacing w:after="0" w:line="107" w:lineRule="exact"/>
              <w:rPr>
                <w:sz w:val="20"/>
                <w:szCs w:val="20"/>
                <w:color w:val="auto"/>
              </w:rPr>
            </w:pPr>
            <w:r>
              <w:rPr>
                <w:rFonts w:ascii="Arial" w:cs="Arial" w:eastAsia="Arial" w:hAnsi="Arial"/>
                <w:sz w:val="12"/>
                <w:szCs w:val="12"/>
                <w:b w:val="1"/>
                <w:bCs w:val="1"/>
                <w:color w:val="auto"/>
              </w:rPr>
              <w:t>% of</w:t>
            </w:r>
          </w:p>
        </w:tc>
        <w:tc>
          <w:tcPr>
            <w:tcW w:w="920" w:type="dxa"/>
            <w:vAlign w:val="bottom"/>
            <w:gridSpan w:val="3"/>
          </w:tcPr>
          <w:p>
            <w:pPr>
              <w:ind w:left="40"/>
              <w:spacing w:after="0" w:line="107" w:lineRule="exact"/>
              <w:rPr>
                <w:sz w:val="20"/>
                <w:szCs w:val="20"/>
                <w:color w:val="auto"/>
              </w:rPr>
            </w:pPr>
            <w:r>
              <w:rPr>
                <w:rFonts w:ascii="Arial" w:cs="Arial" w:eastAsia="Arial" w:hAnsi="Arial"/>
                <w:sz w:val="12"/>
                <w:szCs w:val="12"/>
                <w:b w:val="1"/>
                <w:bCs w:val="1"/>
                <w:color w:val="auto"/>
              </w:rPr>
              <w:t>September 30,</w:t>
            </w:r>
          </w:p>
        </w:tc>
        <w:tc>
          <w:tcPr>
            <w:tcW w:w="40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640" w:type="dxa"/>
            <w:vAlign w:val="bottom"/>
            <w:gridSpan w:val="3"/>
          </w:tcPr>
          <w:p>
            <w:pPr>
              <w:ind w:left="40"/>
              <w:spacing w:after="0" w:line="107" w:lineRule="exact"/>
              <w:rPr>
                <w:sz w:val="20"/>
                <w:szCs w:val="20"/>
                <w:color w:val="auto"/>
              </w:rPr>
            </w:pPr>
            <w:r>
              <w:rPr>
                <w:rFonts w:ascii="Arial" w:cs="Arial" w:eastAsia="Arial" w:hAnsi="Arial"/>
                <w:sz w:val="12"/>
                <w:szCs w:val="12"/>
                <w:b w:val="1"/>
                <w:bCs w:val="1"/>
                <w:color w:val="auto"/>
              </w:rPr>
              <w:t>June 30,</w:t>
            </w:r>
          </w:p>
        </w:tc>
        <w:tc>
          <w:tcPr>
            <w:tcW w:w="500" w:type="dxa"/>
            <w:vAlign w:val="bottom"/>
            <w:gridSpan w:val="2"/>
          </w:tcPr>
          <w:p>
            <w:pPr>
              <w:jc w:val="center"/>
              <w:ind w:right="120"/>
              <w:spacing w:after="0" w:line="107" w:lineRule="exact"/>
              <w:rPr>
                <w:sz w:val="20"/>
                <w:szCs w:val="20"/>
                <w:color w:val="auto"/>
              </w:rPr>
            </w:pPr>
            <w:r>
              <w:rPr>
                <w:rFonts w:ascii="Arial" w:cs="Arial" w:eastAsia="Arial" w:hAnsi="Arial"/>
                <w:sz w:val="12"/>
                <w:szCs w:val="12"/>
                <w:b w:val="1"/>
                <w:bCs w:val="1"/>
                <w:color w:val="auto"/>
              </w:rPr>
              <w:t>% of</w:t>
            </w:r>
          </w:p>
        </w:tc>
        <w:tc>
          <w:tcPr>
            <w:tcW w:w="700" w:type="dxa"/>
            <w:vAlign w:val="bottom"/>
            <w:gridSpan w:val="3"/>
          </w:tcPr>
          <w:p>
            <w:pPr>
              <w:ind w:left="20"/>
              <w:spacing w:after="0" w:line="107" w:lineRule="exact"/>
              <w:rPr>
                <w:sz w:val="20"/>
                <w:szCs w:val="20"/>
                <w:color w:val="auto"/>
              </w:rPr>
            </w:pPr>
            <w:r>
              <w:rPr>
                <w:rFonts w:ascii="Arial" w:cs="Arial" w:eastAsia="Arial" w:hAnsi="Arial"/>
                <w:sz w:val="12"/>
                <w:szCs w:val="12"/>
                <w:b w:val="1"/>
                <w:bCs w:val="1"/>
                <w:color w:val="auto"/>
              </w:rPr>
              <w:t>March 31,</w:t>
            </w:r>
          </w:p>
        </w:tc>
        <w:tc>
          <w:tcPr>
            <w:tcW w:w="520" w:type="dxa"/>
            <w:vAlign w:val="bottom"/>
            <w:gridSpan w:val="2"/>
          </w:tcPr>
          <w:p>
            <w:pPr>
              <w:jc w:val="center"/>
              <w:ind w:right="120"/>
              <w:spacing w:after="0" w:line="107" w:lineRule="exact"/>
              <w:rPr>
                <w:sz w:val="20"/>
                <w:szCs w:val="20"/>
                <w:color w:val="auto"/>
              </w:rPr>
            </w:pPr>
            <w:r>
              <w:rPr>
                <w:rFonts w:ascii="Arial" w:cs="Arial" w:eastAsia="Arial" w:hAnsi="Arial"/>
                <w:sz w:val="12"/>
                <w:szCs w:val="12"/>
                <w:b w:val="1"/>
                <w:bCs w:val="1"/>
                <w:color w:val="auto"/>
                <w:w w:val="94"/>
              </w:rPr>
              <w:t>% of</w:t>
            </w:r>
          </w:p>
        </w:tc>
        <w:tc>
          <w:tcPr>
            <w:tcW w:w="900" w:type="dxa"/>
            <w:vAlign w:val="bottom"/>
            <w:gridSpan w:val="3"/>
          </w:tcPr>
          <w:p>
            <w:pPr>
              <w:ind w:left="40"/>
              <w:spacing w:after="0" w:line="107" w:lineRule="exact"/>
              <w:rPr>
                <w:sz w:val="20"/>
                <w:szCs w:val="20"/>
                <w:color w:val="auto"/>
              </w:rPr>
            </w:pPr>
            <w:r>
              <w:rPr>
                <w:rFonts w:ascii="Arial" w:cs="Arial" w:eastAsia="Arial" w:hAnsi="Arial"/>
                <w:sz w:val="12"/>
                <w:szCs w:val="12"/>
                <w:b w:val="1"/>
                <w:bCs w:val="1"/>
                <w:color w:val="auto"/>
              </w:rPr>
              <w:t>December 31,</w:t>
            </w:r>
          </w:p>
        </w:tc>
        <w:tc>
          <w:tcPr>
            <w:tcW w:w="40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 of</w:t>
            </w:r>
          </w:p>
        </w:tc>
      </w:tr>
      <w:tr>
        <w:trPr>
          <w:trHeight w:val="150"/>
        </w:trPr>
        <w:tc>
          <w:tcPr>
            <w:tcW w:w="2580" w:type="dxa"/>
            <w:vAlign w:val="bottom"/>
            <w:gridSpan w:val="2"/>
          </w:tcPr>
          <w:p>
            <w:pPr>
              <w:spacing w:after="0"/>
              <w:rPr>
                <w:sz w:val="20"/>
                <w:szCs w:val="20"/>
                <w:color w:val="auto"/>
              </w:rPr>
            </w:pPr>
            <w:r>
              <w:rPr>
                <w:rFonts w:ascii="Arial" w:cs="Arial" w:eastAsia="Arial" w:hAnsi="Arial"/>
                <w:sz w:val="12"/>
                <w:szCs w:val="12"/>
                <w:color w:val="auto"/>
              </w:rPr>
              <w:t>($ in thousands)</w:t>
            </w:r>
          </w:p>
        </w:tc>
        <w:tc>
          <w:tcPr>
            <w:tcW w:w="160" w:type="dxa"/>
            <w:vAlign w:val="bottom"/>
          </w:tcPr>
          <w:p>
            <w:pPr>
              <w:spacing w:after="0"/>
              <w:rPr>
                <w:sz w:val="13"/>
                <w:szCs w:val="13"/>
                <w:color w:val="auto"/>
              </w:rPr>
            </w:pPr>
          </w:p>
        </w:tc>
        <w:tc>
          <w:tcPr>
            <w:tcW w:w="640" w:type="dxa"/>
            <w:vAlign w:val="bottom"/>
          </w:tcPr>
          <w:p>
            <w:pPr>
              <w:jc w:val="right"/>
              <w:ind w:right="239"/>
              <w:spacing w:after="0"/>
              <w:rPr>
                <w:sz w:val="20"/>
                <w:szCs w:val="20"/>
                <w:color w:val="auto"/>
              </w:rPr>
            </w:pPr>
            <w:r>
              <w:rPr>
                <w:rFonts w:ascii="Arial" w:cs="Arial" w:eastAsia="Arial" w:hAnsi="Arial"/>
                <w:sz w:val="12"/>
                <w:szCs w:val="12"/>
                <w:b w:val="1"/>
                <w:bCs w:val="1"/>
                <w:color w:val="auto"/>
              </w:rPr>
              <w:t>2016</w:t>
            </w:r>
          </w:p>
        </w:tc>
        <w:tc>
          <w:tcPr>
            <w:tcW w:w="5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SG&amp;A</w:t>
            </w:r>
          </w:p>
        </w:tc>
        <w:tc>
          <w:tcPr>
            <w:tcW w:w="180" w:type="dxa"/>
            <w:vAlign w:val="bottom"/>
          </w:tcPr>
          <w:p>
            <w:pPr>
              <w:spacing w:after="0"/>
              <w:rPr>
                <w:sz w:val="13"/>
                <w:szCs w:val="13"/>
                <w:color w:val="auto"/>
              </w:rPr>
            </w:pPr>
          </w:p>
        </w:tc>
        <w:tc>
          <w:tcPr>
            <w:tcW w:w="620" w:type="dxa"/>
            <w:vAlign w:val="bottom"/>
          </w:tcPr>
          <w:p>
            <w:pPr>
              <w:jc w:val="right"/>
              <w:ind w:right="199"/>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SG&amp;A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59"/>
              <w:spacing w:after="0"/>
              <w:rPr>
                <w:sz w:val="20"/>
                <w:szCs w:val="20"/>
                <w:color w:val="auto"/>
              </w:rPr>
            </w:pPr>
            <w:r>
              <w:rPr>
                <w:rFonts w:ascii="Arial" w:cs="Arial" w:eastAsia="Arial" w:hAnsi="Arial"/>
                <w:sz w:val="12"/>
                <w:szCs w:val="12"/>
                <w:b w:val="1"/>
                <w:bCs w:val="1"/>
                <w:color w:val="auto"/>
                <w:w w:val="97"/>
              </w:rPr>
              <w:t>2016</w:t>
            </w:r>
          </w:p>
        </w:tc>
        <w:tc>
          <w:tcPr>
            <w:tcW w:w="140" w:type="dxa"/>
            <w:vAlign w:val="bottom"/>
          </w:tcPr>
          <w:p>
            <w:pPr>
              <w:spacing w:after="0"/>
              <w:rPr>
                <w:sz w:val="13"/>
                <w:szCs w:val="13"/>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SG&amp;A</w:t>
            </w:r>
          </w:p>
        </w:tc>
        <w:tc>
          <w:tcPr>
            <w:tcW w:w="120" w:type="dxa"/>
            <w:vAlign w:val="bottom"/>
          </w:tcPr>
          <w:p>
            <w:pPr>
              <w:spacing w:after="0"/>
              <w:rPr>
                <w:sz w:val="13"/>
                <w:szCs w:val="13"/>
                <w:color w:val="auto"/>
              </w:rPr>
            </w:pPr>
          </w:p>
        </w:tc>
        <w:tc>
          <w:tcPr>
            <w:tcW w:w="460" w:type="dxa"/>
            <w:vAlign w:val="bottom"/>
          </w:tcPr>
          <w:p>
            <w:pPr>
              <w:jc w:val="right"/>
              <w:ind w:right="99"/>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3"/>
                <w:szCs w:val="13"/>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SG&amp;A</w:t>
            </w:r>
          </w:p>
        </w:tc>
        <w:tc>
          <w:tcPr>
            <w:tcW w:w="160" w:type="dxa"/>
            <w:vAlign w:val="bottom"/>
          </w:tcPr>
          <w:p>
            <w:pPr>
              <w:spacing w:after="0"/>
              <w:rPr>
                <w:sz w:val="13"/>
                <w:szCs w:val="13"/>
                <w:color w:val="auto"/>
              </w:rPr>
            </w:pPr>
          </w:p>
        </w:tc>
        <w:tc>
          <w:tcPr>
            <w:tcW w:w="620" w:type="dxa"/>
            <w:vAlign w:val="bottom"/>
          </w:tcPr>
          <w:p>
            <w:pPr>
              <w:jc w:val="right"/>
              <w:ind w:right="199"/>
              <w:spacing w:after="0"/>
              <w:rPr>
                <w:sz w:val="20"/>
                <w:szCs w:val="20"/>
                <w:color w:val="auto"/>
              </w:rPr>
            </w:pPr>
            <w:r>
              <w:rPr>
                <w:rFonts w:ascii="Arial" w:cs="Arial" w:eastAsia="Arial" w:hAnsi="Arial"/>
                <w:sz w:val="12"/>
                <w:szCs w:val="12"/>
                <w:b w:val="1"/>
                <w:bCs w:val="1"/>
                <w:color w:val="auto"/>
              </w:rPr>
              <w:t>2015</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SG&amp;A</w:t>
            </w:r>
          </w:p>
        </w:tc>
      </w:tr>
      <w:tr>
        <w:trPr>
          <w:trHeight w:val="125"/>
        </w:trPr>
        <w:tc>
          <w:tcPr>
            <w:tcW w:w="2460" w:type="dxa"/>
            <w:vAlign w:val="bottom"/>
            <w:tcBorders>
              <w:top w:val="single" w:sz="8" w:color="auto"/>
            </w:tcBorders>
            <w:shd w:val="clear" w:color="auto" w:fill="CCEEFF"/>
          </w:tcPr>
          <w:p>
            <w:pPr>
              <w:ind w:left="100"/>
              <w:spacing w:after="0" w:line="125" w:lineRule="exact"/>
              <w:rPr>
                <w:sz w:val="20"/>
                <w:szCs w:val="20"/>
                <w:color w:val="auto"/>
              </w:rPr>
            </w:pPr>
            <w:r>
              <w:rPr>
                <w:rFonts w:ascii="Arial" w:cs="Arial" w:eastAsia="Arial" w:hAnsi="Arial"/>
                <w:sz w:val="12"/>
                <w:szCs w:val="12"/>
                <w:color w:val="auto"/>
              </w:rPr>
              <w:t>Salaries and benefit costs</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ind w:left="20"/>
              <w:spacing w:after="0" w:line="125" w:lineRule="exact"/>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shd w:val="clear" w:color="auto" w:fill="CCEEFF"/>
          </w:tcPr>
          <w:p>
            <w:pPr>
              <w:jc w:val="right"/>
              <w:ind w:right="19"/>
              <w:spacing w:after="0" w:line="125" w:lineRule="exact"/>
              <w:rPr>
                <w:sz w:val="20"/>
                <w:szCs w:val="20"/>
                <w:color w:val="auto"/>
              </w:rPr>
            </w:pPr>
            <w:r>
              <w:rPr>
                <w:rFonts w:ascii="Arial" w:cs="Arial" w:eastAsia="Arial" w:hAnsi="Arial"/>
                <w:sz w:val="12"/>
                <w:szCs w:val="12"/>
                <w:color w:val="auto"/>
              </w:rPr>
              <w:t>2,849</w:t>
            </w:r>
          </w:p>
        </w:tc>
        <w:tc>
          <w:tcPr>
            <w:tcW w:w="4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49.2%</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39"/>
              <w:spacing w:after="0" w:line="125" w:lineRule="exact"/>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3,129</w:t>
            </w: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w w:val="99"/>
              </w:rPr>
              <w:t>45.3%</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3,050</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w w:val="88"/>
              </w:rPr>
              <w:t>45.4%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2,760</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w w:val="99"/>
              </w:rPr>
              <w:t>45.4%</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2,786</w:t>
            </w: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w w:val="99"/>
              </w:rPr>
              <w:t>58.6%</w:t>
            </w:r>
          </w:p>
        </w:tc>
      </w:tr>
      <w:tr>
        <w:trPr>
          <w:trHeight w:val="132"/>
        </w:trPr>
        <w:tc>
          <w:tcPr>
            <w:tcW w:w="2580" w:type="dxa"/>
            <w:vAlign w:val="bottom"/>
            <w:gridSpan w:val="2"/>
          </w:tcPr>
          <w:p>
            <w:pPr>
              <w:ind w:left="100"/>
              <w:spacing w:after="0" w:line="132" w:lineRule="exact"/>
              <w:rPr>
                <w:sz w:val="20"/>
                <w:szCs w:val="20"/>
                <w:color w:val="auto"/>
              </w:rPr>
            </w:pPr>
            <w:r>
              <w:rPr>
                <w:rFonts w:ascii="Arial" w:cs="Arial" w:eastAsia="Arial" w:hAnsi="Arial"/>
                <w:sz w:val="12"/>
                <w:szCs w:val="12"/>
                <w:color w:val="auto"/>
              </w:rPr>
              <w:t>Marketing related expenses</w:t>
            </w:r>
          </w:p>
        </w:tc>
        <w:tc>
          <w:tcPr>
            <w:tcW w:w="160" w:type="dxa"/>
            <w:vAlign w:val="bottom"/>
          </w:tcPr>
          <w:p>
            <w:pPr>
              <w:spacing w:after="0"/>
              <w:rPr>
                <w:sz w:val="11"/>
                <w:szCs w:val="11"/>
                <w:color w:val="auto"/>
              </w:rPr>
            </w:pPr>
          </w:p>
        </w:tc>
        <w:tc>
          <w:tcPr>
            <w:tcW w:w="640" w:type="dxa"/>
            <w:vAlign w:val="bottom"/>
          </w:tcPr>
          <w:p>
            <w:pPr>
              <w:jc w:val="right"/>
              <w:ind w:right="19"/>
              <w:spacing w:after="0" w:line="132" w:lineRule="exact"/>
              <w:rPr>
                <w:sz w:val="20"/>
                <w:szCs w:val="20"/>
                <w:color w:val="auto"/>
              </w:rPr>
            </w:pPr>
            <w:r>
              <w:rPr>
                <w:rFonts w:ascii="Arial" w:cs="Arial" w:eastAsia="Arial" w:hAnsi="Arial"/>
                <w:sz w:val="12"/>
                <w:szCs w:val="12"/>
                <w:color w:val="auto"/>
              </w:rPr>
              <w:t>578</w:t>
            </w: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10.0%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329</w:t>
            </w:r>
          </w:p>
        </w:tc>
        <w:tc>
          <w:tcPr>
            <w:tcW w:w="12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635</w:t>
            </w:r>
          </w:p>
        </w:tc>
        <w:tc>
          <w:tcPr>
            <w:tcW w:w="140" w:type="dxa"/>
            <w:vAlign w:val="bottom"/>
          </w:tcPr>
          <w:p>
            <w:pPr>
              <w:spacing w:after="0"/>
              <w:rPr>
                <w:sz w:val="11"/>
                <w:szCs w:val="11"/>
                <w:color w:val="auto"/>
              </w:rPr>
            </w:pPr>
          </w:p>
        </w:tc>
        <w:tc>
          <w:tcPr>
            <w:tcW w:w="360" w:type="dxa"/>
            <w:vAlign w:val="bottom"/>
          </w:tcPr>
          <w:p>
            <w:pPr>
              <w:jc w:val="right"/>
              <w:spacing w:after="0" w:line="132" w:lineRule="exact"/>
              <w:rPr>
                <w:sz w:val="20"/>
                <w:szCs w:val="20"/>
                <w:color w:val="auto"/>
              </w:rPr>
            </w:pPr>
            <w:r>
              <w:rPr>
                <w:rFonts w:ascii="Arial" w:cs="Arial" w:eastAsia="Arial" w:hAnsi="Arial"/>
                <w:sz w:val="12"/>
                <w:szCs w:val="12"/>
                <w:color w:val="auto"/>
              </w:rPr>
              <w:t>9.4%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362</w:t>
            </w:r>
          </w:p>
        </w:tc>
        <w:tc>
          <w:tcPr>
            <w:tcW w:w="12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5.9%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335</w:t>
            </w:r>
          </w:p>
        </w:tc>
        <w:tc>
          <w:tcPr>
            <w:tcW w:w="12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7.0%</w:t>
            </w:r>
          </w:p>
        </w:tc>
      </w:tr>
      <w:tr>
        <w:trPr>
          <w:trHeight w:val="132"/>
        </w:trPr>
        <w:tc>
          <w:tcPr>
            <w:tcW w:w="258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rPr>
              <w:t>Professional services</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1,213</w:t>
            </w:r>
          </w:p>
        </w:tc>
        <w:tc>
          <w:tcPr>
            <w:tcW w:w="4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20.9%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2,520</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9"/>
              </w:rPr>
              <w:t>36.5%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1,533</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8"/>
              </w:rPr>
              <w:t>22.8%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1,152</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9"/>
              </w:rPr>
              <w:t>18.9%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839</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9"/>
              </w:rPr>
              <w:t>17.6%</w:t>
            </w:r>
          </w:p>
        </w:tc>
      </w:tr>
      <w:tr>
        <w:trPr>
          <w:trHeight w:val="132"/>
        </w:trPr>
        <w:tc>
          <w:tcPr>
            <w:tcW w:w="2580" w:type="dxa"/>
            <w:vAlign w:val="bottom"/>
            <w:gridSpan w:val="2"/>
          </w:tcPr>
          <w:p>
            <w:pPr>
              <w:ind w:left="100"/>
              <w:spacing w:after="0" w:line="132" w:lineRule="exact"/>
              <w:rPr>
                <w:sz w:val="20"/>
                <w:szCs w:val="20"/>
                <w:color w:val="auto"/>
              </w:rPr>
            </w:pPr>
            <w:r>
              <w:rPr>
                <w:rFonts w:ascii="Arial" w:cs="Arial" w:eastAsia="Arial" w:hAnsi="Arial"/>
                <w:sz w:val="12"/>
                <w:szCs w:val="12"/>
                <w:color w:val="auto"/>
              </w:rPr>
              <w:t>Bad debt expense</w:t>
            </w:r>
          </w:p>
        </w:tc>
        <w:tc>
          <w:tcPr>
            <w:tcW w:w="160" w:type="dxa"/>
            <w:vAlign w:val="bottom"/>
          </w:tcPr>
          <w:p>
            <w:pPr>
              <w:spacing w:after="0"/>
              <w:rPr>
                <w:sz w:val="11"/>
                <w:szCs w:val="11"/>
                <w:color w:val="auto"/>
              </w:rPr>
            </w:pPr>
          </w:p>
        </w:tc>
        <w:tc>
          <w:tcPr>
            <w:tcW w:w="640" w:type="dxa"/>
            <w:vAlign w:val="bottom"/>
          </w:tcPr>
          <w:p>
            <w:pPr>
              <w:jc w:val="right"/>
              <w:ind w:right="19"/>
              <w:spacing w:after="0" w:line="132" w:lineRule="exact"/>
              <w:rPr>
                <w:sz w:val="20"/>
                <w:szCs w:val="20"/>
                <w:color w:val="auto"/>
              </w:rPr>
            </w:pPr>
            <w:r>
              <w:rPr>
                <w:rFonts w:ascii="Arial" w:cs="Arial" w:eastAsia="Arial" w:hAnsi="Arial"/>
                <w:sz w:val="12"/>
                <w:szCs w:val="12"/>
                <w:color w:val="auto"/>
              </w:rPr>
              <w:t>352</w:t>
            </w: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6.1%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97</w:t>
            </w:r>
          </w:p>
        </w:tc>
        <w:tc>
          <w:tcPr>
            <w:tcW w:w="12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470</w:t>
            </w:r>
          </w:p>
        </w:tc>
        <w:tc>
          <w:tcPr>
            <w:tcW w:w="140" w:type="dxa"/>
            <w:vAlign w:val="bottom"/>
          </w:tcPr>
          <w:p>
            <w:pPr>
              <w:spacing w:after="0"/>
              <w:rPr>
                <w:sz w:val="11"/>
                <w:szCs w:val="11"/>
                <w:color w:val="auto"/>
              </w:rPr>
            </w:pPr>
          </w:p>
        </w:tc>
        <w:tc>
          <w:tcPr>
            <w:tcW w:w="360" w:type="dxa"/>
            <w:vAlign w:val="bottom"/>
          </w:tcPr>
          <w:p>
            <w:pPr>
              <w:jc w:val="right"/>
              <w:spacing w:after="0" w:line="132" w:lineRule="exact"/>
              <w:rPr>
                <w:sz w:val="20"/>
                <w:szCs w:val="20"/>
                <w:color w:val="auto"/>
              </w:rPr>
            </w:pPr>
            <w:r>
              <w:rPr>
                <w:rFonts w:ascii="Arial" w:cs="Arial" w:eastAsia="Arial" w:hAnsi="Arial"/>
                <w:sz w:val="12"/>
                <w:szCs w:val="12"/>
                <w:color w:val="auto"/>
              </w:rPr>
              <w:t>7.0%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505</w:t>
            </w:r>
          </w:p>
        </w:tc>
        <w:tc>
          <w:tcPr>
            <w:tcW w:w="12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8.3%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239</w:t>
            </w:r>
          </w:p>
        </w:tc>
        <w:tc>
          <w:tcPr>
            <w:tcW w:w="12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5.0%</w:t>
            </w:r>
          </w:p>
        </w:tc>
      </w:tr>
      <w:tr>
        <w:trPr>
          <w:trHeight w:val="132"/>
        </w:trPr>
        <w:tc>
          <w:tcPr>
            <w:tcW w:w="258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rPr>
              <w:t>Premises, equipment and insurance costs</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498</w:t>
            </w:r>
          </w:p>
        </w:tc>
        <w:tc>
          <w:tcPr>
            <w:tcW w:w="4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499</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555</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460</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347</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7.3%</w:t>
            </w:r>
          </w:p>
        </w:tc>
      </w:tr>
      <w:tr>
        <w:trPr>
          <w:trHeight w:val="132"/>
        </w:trPr>
        <w:tc>
          <w:tcPr>
            <w:tcW w:w="2580" w:type="dxa"/>
            <w:vAlign w:val="bottom"/>
            <w:gridSpan w:val="2"/>
          </w:tcPr>
          <w:p>
            <w:pPr>
              <w:ind w:left="100"/>
              <w:spacing w:after="0" w:line="132" w:lineRule="exact"/>
              <w:rPr>
                <w:sz w:val="20"/>
                <w:szCs w:val="20"/>
                <w:color w:val="auto"/>
              </w:rPr>
            </w:pPr>
            <w:r>
              <w:rPr>
                <w:rFonts w:ascii="Arial" w:cs="Arial" w:eastAsia="Arial" w:hAnsi="Arial"/>
                <w:sz w:val="12"/>
                <w:szCs w:val="12"/>
                <w:color w:val="auto"/>
              </w:rPr>
              <w:t>Research and development expenses</w:t>
            </w:r>
          </w:p>
        </w:tc>
        <w:tc>
          <w:tcPr>
            <w:tcW w:w="160" w:type="dxa"/>
            <w:vAlign w:val="bottom"/>
          </w:tcPr>
          <w:p>
            <w:pPr>
              <w:spacing w:after="0"/>
              <w:rPr>
                <w:sz w:val="11"/>
                <w:szCs w:val="11"/>
                <w:color w:val="auto"/>
              </w:rPr>
            </w:pPr>
          </w:p>
        </w:tc>
        <w:tc>
          <w:tcPr>
            <w:tcW w:w="640" w:type="dxa"/>
            <w:vAlign w:val="bottom"/>
          </w:tcPr>
          <w:p>
            <w:pPr>
              <w:jc w:val="right"/>
              <w:ind w:right="19"/>
              <w:spacing w:after="0" w:line="132" w:lineRule="exact"/>
              <w:rPr>
                <w:sz w:val="20"/>
                <w:szCs w:val="20"/>
                <w:color w:val="auto"/>
              </w:rPr>
            </w:pPr>
            <w:r>
              <w:rPr>
                <w:rFonts w:ascii="Arial" w:cs="Arial" w:eastAsia="Arial" w:hAnsi="Arial"/>
                <w:sz w:val="12"/>
                <w:szCs w:val="12"/>
                <w:color w:val="auto"/>
              </w:rPr>
              <w:t>173</w:t>
            </w: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124</w:t>
            </w:r>
          </w:p>
        </w:tc>
        <w:tc>
          <w:tcPr>
            <w:tcW w:w="12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123</w:t>
            </w:r>
          </w:p>
        </w:tc>
        <w:tc>
          <w:tcPr>
            <w:tcW w:w="140" w:type="dxa"/>
            <w:vAlign w:val="bottom"/>
          </w:tcPr>
          <w:p>
            <w:pPr>
              <w:spacing w:after="0"/>
              <w:rPr>
                <w:sz w:val="11"/>
                <w:szCs w:val="11"/>
                <w:color w:val="auto"/>
              </w:rPr>
            </w:pPr>
          </w:p>
        </w:tc>
        <w:tc>
          <w:tcPr>
            <w:tcW w:w="360" w:type="dxa"/>
            <w:vAlign w:val="bottom"/>
          </w:tcPr>
          <w:p>
            <w:pPr>
              <w:jc w:val="right"/>
              <w:spacing w:after="0" w:line="132" w:lineRule="exact"/>
              <w:rPr>
                <w:sz w:val="20"/>
                <w:szCs w:val="20"/>
                <w:color w:val="auto"/>
              </w:rPr>
            </w:pPr>
            <w:r>
              <w:rPr>
                <w:rFonts w:ascii="Arial" w:cs="Arial" w:eastAsia="Arial" w:hAnsi="Arial"/>
                <w:sz w:val="12"/>
                <w:szCs w:val="12"/>
                <w:color w:val="auto"/>
              </w:rPr>
              <w:t>1.8%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131</w:t>
            </w:r>
          </w:p>
        </w:tc>
        <w:tc>
          <w:tcPr>
            <w:tcW w:w="12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2.1%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37</w:t>
            </w:r>
          </w:p>
        </w:tc>
        <w:tc>
          <w:tcPr>
            <w:tcW w:w="12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0.8%</w:t>
            </w:r>
          </w:p>
        </w:tc>
      </w:tr>
      <w:tr>
        <w:trPr>
          <w:trHeight w:val="132"/>
        </w:trPr>
        <w:tc>
          <w:tcPr>
            <w:tcW w:w="258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rPr>
              <w:t>VendScreen non-recurring charges</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8</w:t>
            </w:r>
          </w:p>
        </w:tc>
        <w:tc>
          <w:tcPr>
            <w:tcW w:w="4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101</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258</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461</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106</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2.2%</w:t>
            </w:r>
          </w:p>
        </w:tc>
      </w:tr>
      <w:tr>
        <w:trPr>
          <w:trHeight w:val="132"/>
        </w:trPr>
        <w:tc>
          <w:tcPr>
            <w:tcW w:w="2580" w:type="dxa"/>
            <w:vAlign w:val="bottom"/>
            <w:gridSpan w:val="2"/>
          </w:tcPr>
          <w:p>
            <w:pPr>
              <w:ind w:left="100"/>
              <w:spacing w:after="0" w:line="132" w:lineRule="exact"/>
              <w:rPr>
                <w:sz w:val="20"/>
                <w:szCs w:val="20"/>
                <w:color w:val="auto"/>
              </w:rPr>
            </w:pPr>
            <w:r>
              <w:rPr>
                <w:rFonts w:ascii="Arial" w:cs="Arial" w:eastAsia="Arial" w:hAnsi="Arial"/>
                <w:sz w:val="12"/>
                <w:szCs w:val="12"/>
                <w:color w:val="auto"/>
              </w:rPr>
              <w:t>Litigation related professional fees</w:t>
            </w:r>
          </w:p>
        </w:tc>
        <w:tc>
          <w:tcPr>
            <w:tcW w:w="160" w:type="dxa"/>
            <w:vAlign w:val="bottom"/>
          </w:tcPr>
          <w:p>
            <w:pPr>
              <w:spacing w:after="0"/>
              <w:rPr>
                <w:sz w:val="11"/>
                <w:szCs w:val="11"/>
                <w:color w:val="auto"/>
              </w:rPr>
            </w:pPr>
          </w:p>
        </w:tc>
        <w:tc>
          <w:tcPr>
            <w:tcW w:w="640" w:type="dxa"/>
            <w:vAlign w:val="bottom"/>
          </w:tcPr>
          <w:p>
            <w:pPr>
              <w:jc w:val="right"/>
              <w:ind w:right="19"/>
              <w:spacing w:after="0" w:line="132"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33</w:t>
            </w:r>
          </w:p>
        </w:tc>
        <w:tc>
          <w:tcPr>
            <w:tcW w:w="12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0.5%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51</w:t>
            </w:r>
          </w:p>
        </w:tc>
        <w:tc>
          <w:tcPr>
            <w:tcW w:w="140" w:type="dxa"/>
            <w:vAlign w:val="bottom"/>
          </w:tcPr>
          <w:p>
            <w:pPr>
              <w:spacing w:after="0"/>
              <w:rPr>
                <w:sz w:val="11"/>
                <w:szCs w:val="11"/>
                <w:color w:val="auto"/>
              </w:rPr>
            </w:pPr>
          </w:p>
        </w:tc>
        <w:tc>
          <w:tcPr>
            <w:tcW w:w="360" w:type="dxa"/>
            <w:vAlign w:val="bottom"/>
          </w:tcPr>
          <w:p>
            <w:pPr>
              <w:jc w:val="right"/>
              <w:spacing w:after="0" w:line="132" w:lineRule="exact"/>
              <w:rPr>
                <w:sz w:val="20"/>
                <w:szCs w:val="20"/>
                <w:color w:val="auto"/>
              </w:rPr>
            </w:pPr>
            <w:r>
              <w:rPr>
                <w:rFonts w:ascii="Arial" w:cs="Arial" w:eastAsia="Arial" w:hAnsi="Arial"/>
                <w:sz w:val="12"/>
                <w:szCs w:val="12"/>
                <w:color w:val="auto"/>
              </w:rPr>
              <w:t>0.8%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2" w:lineRule="exact"/>
              <w:rPr>
                <w:sz w:val="20"/>
                <w:szCs w:val="20"/>
                <w:color w:val="auto"/>
              </w:rPr>
            </w:pPr>
            <w:r>
              <w:rPr>
                <w:rFonts w:ascii="Arial" w:cs="Arial" w:eastAsia="Arial" w:hAnsi="Arial"/>
                <w:sz w:val="12"/>
                <w:szCs w:val="12"/>
                <w:color w:val="auto"/>
              </w:rPr>
              <w:t>105</w:t>
            </w:r>
          </w:p>
        </w:tc>
        <w:tc>
          <w:tcPr>
            <w:tcW w:w="12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1.7%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0.0%</w:t>
            </w:r>
          </w:p>
        </w:tc>
      </w:tr>
      <w:tr>
        <w:trPr>
          <w:trHeight w:val="132"/>
        </w:trPr>
        <w:tc>
          <w:tcPr>
            <w:tcW w:w="258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rPr>
              <w:t>Other expenses</w:t>
            </w: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122</w:t>
            </w:r>
          </w:p>
        </w:tc>
        <w:tc>
          <w:tcPr>
            <w:tcW w:w="46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77</w:t>
            </w:r>
          </w:p>
        </w:tc>
        <w:tc>
          <w:tcPr>
            <w:tcW w:w="12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46</w:t>
            </w:r>
          </w:p>
        </w:tc>
        <w:tc>
          <w:tcPr>
            <w:tcW w:w="1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0.7%</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158</w:t>
            </w:r>
          </w:p>
        </w:tc>
        <w:tc>
          <w:tcPr>
            <w:tcW w:w="12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2.6%</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73</w:t>
            </w:r>
          </w:p>
        </w:tc>
        <w:tc>
          <w:tcPr>
            <w:tcW w:w="12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1.5%</w:t>
            </w:r>
          </w:p>
        </w:tc>
      </w:tr>
      <w:tr>
        <w:trPr>
          <w:trHeight w:val="131"/>
        </w:trPr>
        <w:tc>
          <w:tcPr>
            <w:tcW w:w="2580" w:type="dxa"/>
            <w:vAlign w:val="bottom"/>
            <w:tcBorders>
              <w:bottom w:val="single" w:sz="8" w:color="CCEEFF"/>
            </w:tcBorders>
            <w:gridSpan w:val="2"/>
          </w:tcPr>
          <w:p>
            <w:pPr>
              <w:spacing w:after="0" w:line="125" w:lineRule="exact"/>
              <w:rPr>
                <w:sz w:val="20"/>
                <w:szCs w:val="20"/>
                <w:color w:val="auto"/>
              </w:rPr>
            </w:pPr>
            <w:r>
              <w:rPr>
                <w:rFonts w:ascii="Arial" w:cs="Arial" w:eastAsia="Arial" w:hAnsi="Arial"/>
                <w:sz w:val="12"/>
                <w:szCs w:val="12"/>
                <w:color w:val="auto"/>
              </w:rPr>
              <w:t>Total SG&amp;A expenses</w:t>
            </w:r>
          </w:p>
        </w:tc>
        <w:tc>
          <w:tcPr>
            <w:tcW w:w="160" w:type="dxa"/>
            <w:vAlign w:val="bottom"/>
            <w:tcBorders>
              <w:bottom w:val="single" w:sz="8" w:color="auto"/>
            </w:tcBorders>
          </w:tcPr>
          <w:p>
            <w:pPr>
              <w:ind w:left="20"/>
              <w:spacing w:after="0" w:line="125"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9"/>
              <w:spacing w:after="0" w:line="125" w:lineRule="exact"/>
              <w:rPr>
                <w:sz w:val="20"/>
                <w:szCs w:val="20"/>
                <w:color w:val="auto"/>
              </w:rPr>
            </w:pPr>
            <w:r>
              <w:rPr>
                <w:rFonts w:ascii="Arial" w:cs="Arial" w:eastAsia="Arial" w:hAnsi="Arial"/>
                <w:sz w:val="12"/>
                <w:szCs w:val="12"/>
                <w:color w:val="auto"/>
              </w:rPr>
              <w:t>5,793</w:t>
            </w:r>
          </w:p>
        </w:tc>
        <w:tc>
          <w:tcPr>
            <w:tcW w:w="4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39"/>
              <w:spacing w:after="0" w:line="125" w:lineRule="exact"/>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6,909</w:t>
            </w:r>
          </w:p>
        </w:tc>
        <w:tc>
          <w:tcPr>
            <w:tcW w:w="1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6,721</w:t>
            </w:r>
          </w:p>
        </w:tc>
        <w:tc>
          <w:tcPr>
            <w:tcW w:w="1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w w:val="97"/>
              </w:rPr>
              <w:t>100%</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line="125"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6,094</w:t>
            </w:r>
          </w:p>
        </w:tc>
        <w:tc>
          <w:tcPr>
            <w:tcW w:w="1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100%</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4,762</w:t>
            </w:r>
          </w:p>
        </w:tc>
        <w:tc>
          <w:tcPr>
            <w:tcW w:w="1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100%</w:t>
            </w:r>
          </w:p>
        </w:tc>
      </w:tr>
      <w:tr>
        <w:trPr>
          <w:trHeight w:val="132"/>
        </w:trPr>
        <w:tc>
          <w:tcPr>
            <w:tcW w:w="258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color w:val="auto"/>
              </w:rPr>
              <w:t>Total Revenue</w:t>
            </w:r>
          </w:p>
        </w:tc>
        <w:tc>
          <w:tcPr>
            <w:tcW w:w="16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21,756</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21,588</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2"/>
              </w:rPr>
              <w:t>21,944</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20,361</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18,503</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55"/>
        </w:trPr>
        <w:tc>
          <w:tcPr>
            <w:tcW w:w="2580" w:type="dxa"/>
            <w:vAlign w:val="bottom"/>
            <w:gridSpan w:val="2"/>
          </w:tcPr>
          <w:p>
            <w:pPr>
              <w:spacing w:after="0"/>
              <w:rPr>
                <w:sz w:val="20"/>
                <w:szCs w:val="20"/>
                <w:color w:val="auto"/>
              </w:rPr>
            </w:pPr>
            <w:r>
              <w:rPr>
                <w:rFonts w:ascii="Arial" w:cs="Arial" w:eastAsia="Arial" w:hAnsi="Arial"/>
                <w:sz w:val="12"/>
                <w:szCs w:val="12"/>
                <w:color w:val="auto"/>
              </w:rPr>
              <w:t>SG&amp;A expenses as a percentage of revenue</w:t>
            </w:r>
          </w:p>
        </w:tc>
        <w:tc>
          <w:tcPr>
            <w:tcW w:w="160" w:type="dxa"/>
            <w:vAlign w:val="bottom"/>
          </w:tcPr>
          <w:p>
            <w:pPr>
              <w:spacing w:after="0"/>
              <w:rPr>
                <w:sz w:val="13"/>
                <w:szCs w:val="13"/>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26.6%</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9"/>
              </w:rPr>
              <w:t>30.6%</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29.9%</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r>
    </w:tbl>
    <w:p>
      <w:pPr>
        <w:spacing w:after="0" w:line="38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i w:val="1"/>
          <w:iCs w:val="1"/>
          <w:color w:val="auto"/>
        </w:rPr>
        <w:t xml:space="preserve">Salaries and Benefit Costs. </w:t>
      </w:r>
      <w:r>
        <w:rPr>
          <w:rFonts w:ascii="Arial" w:cs="Arial" w:eastAsia="Arial" w:hAnsi="Arial"/>
          <w:sz w:val="16"/>
          <w:szCs w:val="16"/>
          <w:color w:val="auto"/>
        </w:rPr>
        <w:t>Includes employee compensation and benefits, directors’ fees, incentives,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The decrease in cost for the three-month period ended December 31, 2016 compared to three-month period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ended September 30, 2016, related to the reversal of vacation benefits that were forfeited, and a reduction in the bonus amount recorded during the three-months ended December 31, 2016 as compared to the September 30, 2016 quarter.</w:t>
      </w:r>
    </w:p>
    <w:p>
      <w:pPr>
        <w:spacing w:after="0" w:line="13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i w:val="1"/>
          <w:iCs w:val="1"/>
          <w:color w:val="auto"/>
        </w:rPr>
        <w:t xml:space="preserve">Marketing Related. </w:t>
      </w:r>
      <w:r>
        <w:rPr>
          <w:rFonts w:ascii="Arial" w:cs="Arial" w:eastAsia="Arial" w:hAnsi="Arial"/>
          <w:sz w:val="16"/>
          <w:szCs w:val="16"/>
          <w:color w:val="auto"/>
        </w:rPr>
        <w:t>Marketing related costs increased for the three-month period ended December 31, 2016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three-month period ended September 30, 2016 due to marketing activities and customer promotions.</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Includes information technology, legal, public relations, auditing, SOX 404 and other consulting work.</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 expense during the December 31, 2016 quarter decreased by approximately $1.3 million from the professional service expense during the September 30, 2016 quarter, reflecting decreases in SOX 404 compliance, internal audit and financial statement audit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Bad Debt expense. </w:t>
      </w:r>
      <w:r>
        <w:rPr>
          <w:rFonts w:ascii="Arial" w:cs="Arial" w:eastAsia="Arial" w:hAnsi="Arial"/>
          <w:sz w:val="18"/>
          <w:szCs w:val="18"/>
          <w:color w:val="auto"/>
        </w:rPr>
        <w:t>Provision for bad debt reflects the most current assessment of reserves required.</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Premises, equipment and insurance costs. </w:t>
      </w:r>
      <w:r>
        <w:rPr>
          <w:rFonts w:ascii="Arial" w:cs="Arial" w:eastAsia="Arial" w:hAnsi="Arial"/>
          <w:sz w:val="16"/>
          <w:szCs w:val="16"/>
          <w:color w:val="auto"/>
        </w:rPr>
        <w:t>Includes facilities, supplies, printing and postage, sales and use taxes, and workers’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The increase for the three month period ended December 31, 2016 compared to the same period in 2015 is primarily attributable to increases in rent expense reflecting the addition of the Portland, Oregon office in January 2016, the new lease agreement for the Malvern, Pennsylvania office, and liability insurance</w:t>
      </w:r>
    </w:p>
    <w:p>
      <w:pPr>
        <w:spacing w:after="0" w:line="16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Includes product development costs that cannot be capitalized, including materials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contractors. Research and development costs increased for the three-month period ended December 31, 2016 compared to the three-month period ended September 30, 2016 due to the increased use of outside contractors.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charges</w:t>
      </w:r>
      <w:r>
        <w:rPr>
          <w:rFonts w:ascii="Arial" w:cs="Arial" w:eastAsia="Arial" w:hAnsi="Arial"/>
          <w:sz w:val="18"/>
          <w:szCs w:val="18"/>
          <w:color w:val="auto"/>
        </w:rPr>
        <w:t>. Reflects professional fees incurred in connection with the VendScreen integration.</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Litigation related professional fees. </w:t>
      </w:r>
      <w:r>
        <w:rPr>
          <w:rFonts w:ascii="Arial" w:cs="Arial" w:eastAsia="Arial" w:hAnsi="Arial"/>
          <w:sz w:val="18"/>
          <w:szCs w:val="18"/>
          <w:color w:val="auto"/>
        </w:rPr>
        <w:t>Includes legal and other professional fees incurred in connection with the class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as well as the investigation conducted by the Special Litigation Committee of the Board of Directors described in our Form 10-K for the 2016 fiscal year (the “SLC Investigation”).</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Includes bank fees, recruiting expenses, non-inventory supplies, subscriptions, and the gain or loss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of assets. Other expenses increased during the three-month period ended December 31, 2016 compared to the three-month period ended September 30, 2016 due to a lower gain on sale of assets recorded during the three-month period ended December 31, 2016.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380"/>
              <w:spacing w:after="0"/>
              <w:rPr>
                <w:sz w:val="20"/>
                <w:szCs w:val="20"/>
                <w:color w:val="auto"/>
              </w:rPr>
            </w:pPr>
            <w:r>
              <w:rPr>
                <w:rFonts w:ascii="Arial" w:cs="Arial" w:eastAsia="Arial" w:hAnsi="Arial"/>
                <w:sz w:val="12"/>
                <w:szCs w:val="12"/>
                <w:b w:val="1"/>
                <w:bCs w:val="1"/>
                <w:color w:val="auto"/>
              </w:rPr>
              <w:t>Six months ended</w:t>
            </w:r>
          </w:p>
        </w:tc>
        <w:tc>
          <w:tcPr>
            <w:tcW w:w="680" w:type="dxa"/>
            <w:vAlign w:val="bottom"/>
            <w:tcBorders>
              <w:bottom w:val="single" w:sz="8" w:color="auto"/>
            </w:tcBorders>
          </w:tcPr>
          <w:p>
            <w:pPr>
              <w:spacing w:after="0"/>
              <w:rPr>
                <w:sz w:val="13"/>
                <w:szCs w:val="13"/>
                <w:color w:val="auto"/>
              </w:rPr>
            </w:pPr>
          </w:p>
        </w:tc>
      </w:tr>
      <w:tr>
        <w:trPr>
          <w:trHeight w:val="200"/>
        </w:trPr>
        <w:tc>
          <w:tcPr>
            <w:tcW w:w="4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December 31,</w:t>
            </w: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 of</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December 31,</w:t>
            </w:r>
          </w:p>
        </w:tc>
        <w:tc>
          <w:tcPr>
            <w:tcW w:w="680" w:type="dxa"/>
            <w:vAlign w:val="bottom"/>
          </w:tcPr>
          <w:p>
            <w:pPr>
              <w:jc w:val="right"/>
              <w:ind w:right="159"/>
              <w:spacing w:after="0"/>
              <w:rPr>
                <w:sz w:val="20"/>
                <w:szCs w:val="20"/>
                <w:color w:val="auto"/>
              </w:rPr>
            </w:pPr>
            <w:r>
              <w:rPr>
                <w:rFonts w:ascii="Arial" w:cs="Arial" w:eastAsia="Arial" w:hAnsi="Arial"/>
                <w:sz w:val="12"/>
                <w:szCs w:val="12"/>
                <w:b w:val="1"/>
                <w:bCs w:val="1"/>
                <w:color w:val="auto"/>
              </w:rPr>
              <w:t>% of</w:t>
            </w:r>
          </w:p>
        </w:tc>
      </w:tr>
      <w:tr>
        <w:trPr>
          <w:trHeight w:val="188"/>
        </w:trPr>
        <w:tc>
          <w:tcPr>
            <w:tcW w:w="5540" w:type="dxa"/>
            <w:vAlign w:val="bottom"/>
            <w:gridSpan w:val="2"/>
          </w:tcPr>
          <w:p>
            <w:pPr>
              <w:spacing w:after="0"/>
              <w:rPr>
                <w:sz w:val="20"/>
                <w:szCs w:val="20"/>
                <w:color w:val="auto"/>
              </w:rPr>
            </w:pPr>
            <w:r>
              <w:rPr>
                <w:rFonts w:ascii="Arial" w:cs="Arial" w:eastAsia="Arial" w:hAnsi="Arial"/>
                <w:sz w:val="12"/>
                <w:szCs w:val="12"/>
                <w:color w:val="auto"/>
              </w:rPr>
              <w:t>($ in thousands)</w:t>
            </w:r>
          </w:p>
        </w:tc>
        <w:tc>
          <w:tcPr>
            <w:tcW w:w="120" w:type="dxa"/>
            <w:vAlign w:val="bottom"/>
          </w:tcPr>
          <w:p>
            <w:pPr>
              <w:spacing w:after="0"/>
              <w:rPr>
                <w:sz w:val="16"/>
                <w:szCs w:val="16"/>
                <w:color w:val="auto"/>
              </w:rPr>
            </w:pPr>
          </w:p>
        </w:tc>
        <w:tc>
          <w:tcPr>
            <w:tcW w:w="660" w:type="dxa"/>
            <w:vAlign w:val="bottom"/>
          </w:tcPr>
          <w:p>
            <w:pPr>
              <w:jc w:val="right"/>
              <w:ind w:right="199"/>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SG&amp;A</w:t>
            </w:r>
          </w:p>
        </w:tc>
        <w:tc>
          <w:tcPr>
            <w:tcW w:w="180" w:type="dxa"/>
            <w:vAlign w:val="bottom"/>
          </w:tcPr>
          <w:p>
            <w:pPr>
              <w:spacing w:after="0"/>
              <w:rPr>
                <w:sz w:val="16"/>
                <w:szCs w:val="16"/>
                <w:color w:val="auto"/>
              </w:rPr>
            </w:pPr>
          </w:p>
        </w:tc>
        <w:tc>
          <w:tcPr>
            <w:tcW w:w="620" w:type="dxa"/>
            <w:vAlign w:val="bottom"/>
          </w:tcPr>
          <w:p>
            <w:pPr>
              <w:jc w:val="right"/>
              <w:ind w:right="199"/>
              <w:spacing w:after="0"/>
              <w:rPr>
                <w:sz w:val="20"/>
                <w:szCs w:val="20"/>
                <w:color w:val="auto"/>
              </w:rPr>
            </w:pPr>
            <w:r>
              <w:rPr>
                <w:rFonts w:ascii="Arial" w:cs="Arial" w:eastAsia="Arial" w:hAnsi="Arial"/>
                <w:sz w:val="12"/>
                <w:szCs w:val="12"/>
                <w:b w:val="1"/>
                <w:bCs w:val="1"/>
                <w:color w:val="auto"/>
              </w:rPr>
              <w:t>2015</w:t>
            </w:r>
          </w:p>
        </w:tc>
        <w:tc>
          <w:tcPr>
            <w:tcW w:w="20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Arial" w:cs="Arial" w:eastAsia="Arial" w:hAnsi="Arial"/>
                <w:sz w:val="12"/>
                <w:szCs w:val="12"/>
                <w:b w:val="1"/>
                <w:bCs w:val="1"/>
                <w:color w:val="auto"/>
              </w:rPr>
              <w:t>SG&amp;A</w:t>
            </w:r>
          </w:p>
        </w:tc>
      </w:tr>
      <w:tr>
        <w:trPr>
          <w:trHeight w:val="217"/>
        </w:trPr>
        <w:tc>
          <w:tcPr>
            <w:tcW w:w="4500" w:type="dxa"/>
            <w:vAlign w:val="bottom"/>
            <w:tcBorders>
              <w:top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197"/>
        </w:trPr>
        <w:tc>
          <w:tcPr>
            <w:tcW w:w="55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Salaries and benefit costs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5,978</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5,471</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w:t>
            </w:r>
          </w:p>
        </w:tc>
      </w:tr>
      <w:tr>
        <w:trPr>
          <w:trHeight w:val="197"/>
        </w:trPr>
        <w:tc>
          <w:tcPr>
            <w:tcW w:w="5540" w:type="dxa"/>
            <w:vAlign w:val="bottom"/>
            <w:gridSpan w:val="2"/>
          </w:tcPr>
          <w:p>
            <w:pPr>
              <w:ind w:left="100"/>
              <w:spacing w:after="0"/>
              <w:rPr>
                <w:sz w:val="20"/>
                <w:szCs w:val="20"/>
                <w:color w:val="auto"/>
              </w:rPr>
            </w:pPr>
            <w:r>
              <w:rPr>
                <w:rFonts w:ascii="Arial" w:cs="Arial" w:eastAsia="Arial" w:hAnsi="Arial"/>
                <w:sz w:val="12"/>
                <w:szCs w:val="12"/>
                <w:color w:val="auto"/>
              </w:rPr>
              <w:t>Marketing related expenses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907</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668</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97"/>
        </w:trPr>
        <w:tc>
          <w:tcPr>
            <w:tcW w:w="55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Professional services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3,733</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1,621</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r>
      <w:tr>
        <w:trPr>
          <w:trHeight w:val="197"/>
        </w:trPr>
        <w:tc>
          <w:tcPr>
            <w:tcW w:w="5540" w:type="dxa"/>
            <w:vAlign w:val="bottom"/>
            <w:gridSpan w:val="2"/>
          </w:tcPr>
          <w:p>
            <w:pPr>
              <w:ind w:left="100"/>
              <w:spacing w:after="0"/>
              <w:rPr>
                <w:sz w:val="20"/>
                <w:szCs w:val="20"/>
                <w:color w:val="auto"/>
              </w:rPr>
            </w:pPr>
            <w:r>
              <w:rPr>
                <w:rFonts w:ascii="Arial" w:cs="Arial" w:eastAsia="Arial" w:hAnsi="Arial"/>
                <w:sz w:val="12"/>
                <w:szCs w:val="12"/>
                <w:color w:val="auto"/>
              </w:rPr>
              <w:t>Bad debt expense</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449</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475</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97"/>
        </w:trPr>
        <w:tc>
          <w:tcPr>
            <w:tcW w:w="55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Premises, equipment and insurance costs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997</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97"/>
        </w:trPr>
        <w:tc>
          <w:tcPr>
            <w:tcW w:w="5540" w:type="dxa"/>
            <w:vAlign w:val="bottom"/>
            <w:gridSpan w:val="2"/>
          </w:tcPr>
          <w:p>
            <w:pPr>
              <w:ind w:left="100"/>
              <w:spacing w:after="0"/>
              <w:rPr>
                <w:sz w:val="20"/>
                <w:szCs w:val="20"/>
                <w:color w:val="auto"/>
              </w:rPr>
            </w:pPr>
            <w:r>
              <w:rPr>
                <w:rFonts w:ascii="Arial" w:cs="Arial" w:eastAsia="Arial" w:hAnsi="Arial"/>
                <w:sz w:val="12"/>
                <w:szCs w:val="12"/>
                <w:color w:val="auto"/>
              </w:rPr>
              <w:t>Research and development expenses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297</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228</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97"/>
        </w:trPr>
        <w:tc>
          <w:tcPr>
            <w:tcW w:w="55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VendScreen non-recurring charges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97"/>
        </w:trPr>
        <w:tc>
          <w:tcPr>
            <w:tcW w:w="5540" w:type="dxa"/>
            <w:vAlign w:val="bottom"/>
            <w:gridSpan w:val="2"/>
          </w:tcPr>
          <w:p>
            <w:pPr>
              <w:ind w:left="100"/>
              <w:spacing w:after="0"/>
              <w:rPr>
                <w:sz w:val="20"/>
                <w:szCs w:val="20"/>
                <w:color w:val="auto"/>
              </w:rPr>
            </w:pPr>
            <w:r>
              <w:rPr>
                <w:rFonts w:ascii="Arial" w:cs="Arial" w:eastAsia="Arial" w:hAnsi="Arial"/>
                <w:sz w:val="12"/>
                <w:szCs w:val="12"/>
                <w:color w:val="auto"/>
              </w:rPr>
              <w:t>Class action professional fees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33</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0.0%</w:t>
            </w:r>
          </w:p>
        </w:tc>
      </w:tr>
      <w:tr>
        <w:trPr>
          <w:trHeight w:val="197"/>
        </w:trPr>
        <w:tc>
          <w:tcPr>
            <w:tcW w:w="55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Other expenses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2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2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r>
      <w:tr>
        <w:trPr>
          <w:trHeight w:val="170"/>
        </w:trPr>
        <w:tc>
          <w:tcPr>
            <w:tcW w:w="554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Total SG&amp;A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12,702</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9,558</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r>
      <w:tr>
        <w:trPr>
          <w:trHeight w:val="224"/>
        </w:trPr>
        <w:tc>
          <w:tcPr>
            <w:tcW w:w="4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4"/>
        </w:trPr>
        <w:tc>
          <w:tcPr>
            <w:tcW w:w="5540" w:type="dxa"/>
            <w:vAlign w:val="bottom"/>
            <w:gridSpan w:val="2"/>
          </w:tcPr>
          <w:p>
            <w:pPr>
              <w:spacing w:after="0"/>
              <w:rPr>
                <w:sz w:val="20"/>
                <w:szCs w:val="20"/>
                <w:color w:val="auto"/>
              </w:rPr>
            </w:pPr>
            <w:r>
              <w:rPr>
                <w:rFonts w:ascii="Arial" w:cs="Arial" w:eastAsia="Arial" w:hAnsi="Arial"/>
                <w:sz w:val="12"/>
                <w:szCs w:val="12"/>
                <w:color w:val="auto"/>
              </w:rPr>
              <w:t>Total Revenue</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43,344</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35,103</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SG&amp;A expenses as a percentage of revenue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 xml:space="preserve">Salaries and Benefit Costs. </w:t>
      </w:r>
      <w:r>
        <w:rPr>
          <w:rFonts w:ascii="Arial" w:cs="Arial" w:eastAsia="Arial" w:hAnsi="Arial"/>
          <w:sz w:val="16"/>
          <w:szCs w:val="16"/>
          <w:color w:val="auto"/>
        </w:rPr>
        <w:t>Includes employee compensation and benefits, directors’ fees, incentives,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The increase in cost for the six-month period ended December 31, 2016, related to increases in employee compensation, headcount (primarily due to the VendScreen acquisition), and employee health benefits.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Marketing Related. </w:t>
      </w:r>
      <w:r>
        <w:rPr>
          <w:rFonts w:ascii="Arial" w:cs="Arial" w:eastAsia="Arial" w:hAnsi="Arial"/>
          <w:sz w:val="18"/>
          <w:szCs w:val="18"/>
          <w:color w:val="auto"/>
        </w:rPr>
        <w:t>Marketing related costs increased due to marketing activities and customer promotions.</w:t>
      </w:r>
    </w:p>
    <w:p>
      <w:pPr>
        <w:spacing w:after="0" w:line="214"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Includes information technology, legal, public relations, auditing, SOX 404 and other consulting work.</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for the six-month period ended December 31, 2016 is related to SOX 404 compliance, internal audit, and audit of our financial statements driven primarily by our status as a first time accelerated filer which required an audit of our annual SOX 404 assessment.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Bad Debt expense. </w:t>
      </w:r>
      <w:r>
        <w:rPr>
          <w:rFonts w:ascii="Arial" w:cs="Arial" w:eastAsia="Arial" w:hAnsi="Arial"/>
          <w:sz w:val="18"/>
          <w:szCs w:val="18"/>
          <w:color w:val="auto"/>
        </w:rPr>
        <w:t>Provision for bad debt reflects the most current assessment of reserves required.</w:t>
      </w:r>
    </w:p>
    <w:p>
      <w:pPr>
        <w:spacing w:after="0" w:line="21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i w:val="1"/>
          <w:iCs w:val="1"/>
          <w:color w:val="auto"/>
        </w:rPr>
        <w:t xml:space="preserve">Premises, equipment and insurance costs. </w:t>
      </w:r>
      <w:r>
        <w:rPr>
          <w:rFonts w:ascii="Arial" w:cs="Arial" w:eastAsia="Arial" w:hAnsi="Arial"/>
          <w:sz w:val="16"/>
          <w:szCs w:val="16"/>
          <w:color w:val="auto"/>
        </w:rPr>
        <w:t>Includes facilities, supplies, printing and postage, sales and use taxes, and workers’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The increase for the six-month period ended December 31, 2016 compared to the same period in 2015 is primarily attributable to increases in rent expense reflecting the addition of the Portland, Oregon office in January 2016, the new lease agreement for the Malvern, Pennsylvania office, and liability insurance.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Includes product development costs that cannot be capitalized, including materials and contractors.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charges</w:t>
      </w:r>
      <w:r>
        <w:rPr>
          <w:rFonts w:ascii="Arial" w:cs="Arial" w:eastAsia="Arial" w:hAnsi="Arial"/>
          <w:sz w:val="18"/>
          <w:szCs w:val="18"/>
          <w:color w:val="auto"/>
        </w:rPr>
        <w:t>. Includes VendScreen integration expenses for professional fees.</w:t>
      </w:r>
    </w:p>
    <w:p>
      <w:pPr>
        <w:spacing w:after="0" w:line="21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Litigation related professional fees. </w:t>
      </w:r>
      <w:r>
        <w:rPr>
          <w:rFonts w:ascii="Arial" w:cs="Arial" w:eastAsia="Arial" w:hAnsi="Arial"/>
          <w:sz w:val="18"/>
          <w:szCs w:val="18"/>
          <w:color w:val="auto"/>
        </w:rPr>
        <w:t>Includes legal and other professional fees incurred in connection with the class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as well as the SLC Investigation.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Includes bank fees, recruiting expenses, non-inventory supplies, and subscriptions.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Non-GAAP Earnings (Loss)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7"/>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4"/>
                <w:szCs w:val="14"/>
                <w:color w:val="auto"/>
              </w:rPr>
            </w:pPr>
          </w:p>
        </w:tc>
        <w:tc>
          <w:tcPr>
            <w:tcW w:w="21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9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38"/>
        </w:trPr>
        <w:tc>
          <w:tcPr>
            <w:tcW w:w="47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5"/>
              <w:spacing w:after="0" w:line="138"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3"/>
              <w:spacing w:after="0" w:line="138"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5"/>
              <w:spacing w:after="0" w:line="138"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3"/>
              <w:spacing w:after="0" w:line="138"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5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233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(874)</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(2,231)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Non-cash portion of income tax provision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100"/>
              <w:spacing w:after="0"/>
              <w:rPr>
                <w:sz w:val="20"/>
                <w:szCs w:val="20"/>
                <w:color w:val="auto"/>
              </w:rPr>
            </w:pPr>
            <w:r>
              <w:rPr>
                <w:rFonts w:ascii="Arial" w:cs="Arial" w:eastAsia="Arial" w:hAnsi="Arial"/>
                <w:sz w:val="18"/>
                <w:szCs w:val="18"/>
                <w:color w:val="auto"/>
              </w:rPr>
              <w:t>Fair value of warrant adjustment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VendScreen non-recurring charges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100"/>
              <w:spacing w:after="0"/>
              <w:rPr>
                <w:sz w:val="20"/>
                <w:szCs w:val="20"/>
                <w:color w:val="auto"/>
              </w:rPr>
            </w:pPr>
            <w:r>
              <w:rPr>
                <w:rFonts w:ascii="Arial" w:cs="Arial" w:eastAsia="Arial" w:hAnsi="Arial"/>
                <w:sz w:val="18"/>
                <w:szCs w:val="18"/>
                <w:color w:val="auto"/>
              </w:rPr>
              <w:t>Litigation related professional fees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Non-GAAP net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(714)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20"/>
                <w:szCs w:val="20"/>
                <w:color w:val="auto"/>
              </w:rPr>
            </w:pPr>
            <w:r>
              <w:rPr>
                <w:rFonts w:ascii="Arial" w:cs="Arial" w:eastAsia="Arial" w:hAnsi="Arial"/>
                <w:sz w:val="18"/>
                <w:szCs w:val="18"/>
                <w:color w:val="auto"/>
              </w:rPr>
              <w:t>Cumulative preferred dividends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Net income (loss) applicable to common shares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(2,565)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20"/>
                <w:szCs w:val="20"/>
                <w:color w:val="auto"/>
              </w:rPr>
            </w:pPr>
            <w:r>
              <w:rPr>
                <w:rFonts w:ascii="Arial" w:cs="Arial" w:eastAsia="Arial" w:hAnsi="Arial"/>
                <w:sz w:val="18"/>
                <w:szCs w:val="18"/>
                <w:color w:val="auto"/>
              </w:rPr>
              <w:t>Cumulative preferred dividends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Non-GAAP net income (loss) applicable to common shares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bottom w:val="single" w:sz="8" w:color="CCEEFF"/>
            </w:tcBorders>
            <w:gridSpan w:val="2"/>
          </w:tcPr>
          <w:p>
            <w:pPr>
              <w:spacing w:after="0" w:line="197" w:lineRule="exact"/>
              <w:rPr>
                <w:sz w:val="20"/>
                <w:szCs w:val="20"/>
                <w:color w:val="auto"/>
              </w:rPr>
            </w:pPr>
            <w:r>
              <w:rPr>
                <w:rFonts w:ascii="Arial" w:cs="Arial" w:eastAsia="Arial" w:hAnsi="Arial"/>
                <w:sz w:val="18"/>
                <w:szCs w:val="18"/>
                <w:color w:val="auto"/>
              </w:rPr>
              <w:t>Net income (loss) per common share -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0.01</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(0.02)</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(0.07)</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Non-GAAP net income (loss) per common share - 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gridSpan w:val="2"/>
          </w:tcPr>
          <w:p>
            <w:pPr>
              <w:spacing w:after="0" w:line="197" w:lineRule="exact"/>
              <w:rPr>
                <w:sz w:val="20"/>
                <w:szCs w:val="20"/>
                <w:color w:val="auto"/>
              </w:rPr>
            </w:pPr>
            <w:r>
              <w:rPr>
                <w:rFonts w:ascii="Arial" w:cs="Arial" w:eastAsia="Arial" w:hAnsi="Arial"/>
                <w:sz w:val="18"/>
                <w:szCs w:val="18"/>
                <w:color w:val="auto"/>
              </w:rPr>
              <w:t>Non-GAAP net income (loss) per common share -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Basic weighted average number of common shares outstanding</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40,308,934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35,909,933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39,398,469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35,879,164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gridSpan w:val="2"/>
          </w:tcPr>
          <w:p>
            <w:pPr>
              <w:spacing w:after="0"/>
              <w:rPr>
                <w:sz w:val="20"/>
                <w:szCs w:val="20"/>
                <w:color w:val="auto"/>
              </w:rPr>
            </w:pPr>
            <w:r>
              <w:rPr>
                <w:rFonts w:ascii="Arial" w:cs="Arial" w:eastAsia="Arial" w:hAnsi="Arial"/>
                <w:sz w:val="18"/>
                <w:szCs w:val="18"/>
                <w:color w:val="auto"/>
                <w:w w:val="91"/>
              </w:rPr>
              <w:t>Diluted weighted average number of common shares outstanding</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40,730,712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35,909,933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39,398,469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35,879,164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9"/>
        </w:trPr>
        <w:tc>
          <w:tcPr>
            <w:tcW w:w="4760" w:type="dxa"/>
            <w:vAlign w:val="bottom"/>
            <w:gridSpan w:val="2"/>
          </w:tcPr>
          <w:p>
            <w:pPr>
              <w:ind w:left="44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7" w:right="139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the weighted average number of common shares was due to exercises of warrants and to stock issued through the Company’s stock based compensation programs.</w:t>
      </w:r>
    </w:p>
    <w:p>
      <w:pPr>
        <w:spacing w:after="0" w:line="181" w:lineRule="exact"/>
        <w:rPr>
          <w:sz w:val="20"/>
          <w:szCs w:val="20"/>
          <w:color w:val="auto"/>
        </w:rPr>
      </w:pPr>
    </w:p>
    <w:p>
      <w:pPr>
        <w:jc w:val="both"/>
        <w:ind w:firstLine="57"/>
        <w:spacing w:after="0" w:line="277" w:lineRule="auto"/>
        <w:rPr>
          <w:sz w:val="20"/>
          <w:szCs w:val="20"/>
          <w:color w:val="auto"/>
        </w:rPr>
      </w:pPr>
      <w:r>
        <w:rPr>
          <w:rFonts w:ascii="Arial" w:cs="Arial" w:eastAsia="Arial" w:hAnsi="Arial"/>
          <w:sz w:val="16"/>
          <w:szCs w:val="16"/>
          <w:i w:val="1"/>
          <w:iCs w:val="1"/>
          <w:color w:val="auto"/>
        </w:rPr>
        <w:t>As used herein, non-GAAP net income (loss) represents GAAP (Generally Accepted Accounting Principles) net income (loss) excluding costs or benefits relating to any adjustment for fair value of warrant liabilities and non-cash portions of the Company’s income tax benefit (provision), non-recurring fees and charges that were incurred in connection with the integration of the VendScreen business, and professional fees incurred in connection with the class action litigation and the SLC Investigation. Non-GAAP net earnings (loss) per common share - diluted is calculated by dividing non-GAAP net income (loss) applicable to common shares by the number of diluted weighted average shares outstanding.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and non-GAAP net earnings (loss) per share are important measures of the Company's business. Management uses the aforementioned non-GAAP measures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Balance Sheet as of December 31, 2016 Compared to June 30, 2016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6"/>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9"/>
                <w:szCs w:val="9"/>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52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8"/>
        </w:trPr>
        <w:tc>
          <w:tcPr>
            <w:tcW w:w="5420" w:type="dxa"/>
            <w:vAlign w:val="bottom"/>
            <w:gridSpan w:val="2"/>
          </w:tcPr>
          <w:p>
            <w:pPr>
              <w:ind w:left="220"/>
              <w:spacing w:after="0" w:line="198" w:lineRule="exact"/>
              <w:rPr>
                <w:sz w:val="20"/>
                <w:szCs w:val="20"/>
                <w:color w:val="auto"/>
              </w:rPr>
            </w:pPr>
            <w:r>
              <w:rPr>
                <w:rFonts w:ascii="Arial" w:cs="Arial" w:eastAsia="Arial" w:hAnsi="Arial"/>
                <w:sz w:val="18"/>
                <w:szCs w:val="18"/>
                <w:color w:val="auto"/>
                <w:w w:val="95"/>
              </w:rPr>
              <w:t>Accounts receivable, less allowance for doubtful accounts of $2,546</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340"/>
              <w:spacing w:after="0"/>
              <w:rPr>
                <w:sz w:val="20"/>
                <w:szCs w:val="20"/>
                <w:color w:val="auto"/>
              </w:rPr>
            </w:pPr>
            <w:r>
              <w:rPr>
                <w:rFonts w:ascii="Arial" w:cs="Arial" w:eastAsia="Arial" w:hAnsi="Arial"/>
                <w:sz w:val="18"/>
                <w:szCs w:val="18"/>
                <w:color w:val="auto"/>
              </w:rPr>
              <w:t>and $2,814, respectively</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1,897</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8"/>
        </w:trPr>
        <w:tc>
          <w:tcPr>
            <w:tcW w:w="5420" w:type="dxa"/>
            <w:vAlign w:val="bottom"/>
            <w:gridSpan w:val="2"/>
            <w:shd w:val="clear" w:color="auto" w:fill="CCEEFF"/>
          </w:tcPr>
          <w:p>
            <w:pPr>
              <w:ind w:left="220"/>
              <w:spacing w:after="0" w:line="199" w:lineRule="exact"/>
              <w:rPr>
                <w:sz w:val="20"/>
                <w:szCs w:val="20"/>
                <w:color w:val="auto"/>
              </w:rPr>
            </w:pPr>
            <w:r>
              <w:rPr>
                <w:rFonts w:ascii="Arial" w:cs="Arial" w:eastAsia="Arial" w:hAnsi="Arial"/>
                <w:sz w:val="18"/>
                <w:szCs w:val="18"/>
                <w:color w:val="auto"/>
                <w:w w:val="96"/>
              </w:rPr>
              <w:t>Finance receivables, less allowance for credit losses of $29 and $0,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(2,146)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4"/>
        </w:trPr>
        <w:tc>
          <w:tcPr>
            <w:tcW w:w="5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35,093</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33,048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2,045</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receivables, less current portion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86,398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84,833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(3,264)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(546)</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Line of credit, net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Current obligations under long-term debt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Warrant liabilities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(3,739)</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gain from sale-leaseback transactions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4"/>
        </w:trPr>
        <w:tc>
          <w:tcPr>
            <w:tcW w:w="5420" w:type="dxa"/>
            <w:vAlign w:val="bottom"/>
            <w:gridSpan w:val="2"/>
          </w:tcPr>
          <w:p>
            <w:pPr>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20,322</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28,177</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w w:val="98"/>
              </w:rPr>
              <w:t>(7,855)</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expenses, less current portion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5420" w:type="dxa"/>
            <w:vAlign w:val="bottom"/>
            <w:gridSpan w:val="2"/>
          </w:tcPr>
          <w:p>
            <w:pPr>
              <w:ind w:left="220"/>
              <w:spacing w:after="0"/>
              <w:rPr>
                <w:sz w:val="20"/>
                <w:szCs w:val="20"/>
                <w:color w:val="auto"/>
              </w:rPr>
            </w:pPr>
            <w:r>
              <w:rPr>
                <w:rFonts w:ascii="Arial" w:cs="Arial" w:eastAsia="Arial" w:hAnsi="Arial"/>
                <w:sz w:val="18"/>
                <w:szCs w:val="18"/>
                <w:color w:val="auto"/>
                <w:w w:val="95"/>
              </w:rPr>
              <w:t>Deferred gain from sale-leaseback transactions, less current portion</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4"/>
        </w:trPr>
        <w:tc>
          <w:tcPr>
            <w:tcW w:w="5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long-term liabilities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1,446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1,631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(185)</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4"/>
        </w:trPr>
        <w:tc>
          <w:tcPr>
            <w:tcW w:w="542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21,768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29,808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8"/>
              </w:rPr>
              <w:t>(8,040)</w:t>
            </w:r>
          </w:p>
        </w:tc>
        <w:tc>
          <w:tcPr>
            <w:tcW w:w="1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4"/>
        </w:trPr>
        <w:tc>
          <w:tcPr>
            <w:tcW w:w="5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stock, no par value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5420" w:type="dxa"/>
            <w:vAlign w:val="bottom"/>
            <w:gridSpan w:val="2"/>
          </w:tcPr>
          <w:p>
            <w:pPr>
              <w:ind w:left="100"/>
              <w:spacing w:after="0"/>
              <w:rPr>
                <w:sz w:val="20"/>
                <w:szCs w:val="20"/>
                <w:color w:val="auto"/>
              </w:rPr>
            </w:pPr>
            <w:r>
              <w:rPr>
                <w:rFonts w:ascii="Arial" w:cs="Arial" w:eastAsia="Arial" w:hAnsi="Arial"/>
                <w:sz w:val="18"/>
                <w:szCs w:val="18"/>
                <w:color w:val="auto"/>
              </w:rPr>
              <w:t>Common stock, no par value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245,230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233,394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11,836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(183,738)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(181,507)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(2,231)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4"/>
        </w:trPr>
        <w:tc>
          <w:tcPr>
            <w:tcW w:w="542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64,630</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55,025</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9,605</w:t>
            </w:r>
          </w:p>
        </w:tc>
        <w:tc>
          <w:tcPr>
            <w:tcW w:w="1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86,398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84,833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1,565</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working capital</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Key points from the Balance Sheet as of December 31, 2016 compared to June 30, 2016 include:</w:t>
      </w:r>
    </w:p>
    <w:p>
      <w:pPr>
        <w:spacing w:after="0" w:line="214" w:lineRule="exact"/>
        <w:rPr>
          <w:sz w:val="20"/>
          <w:szCs w:val="20"/>
          <w:color w:val="auto"/>
        </w:rPr>
      </w:pPr>
    </w:p>
    <w:p>
      <w:pPr>
        <w:ind w:left="400" w:hanging="84"/>
        <w:spacing w:after="0" w:line="324"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$9.6 million increase to shareholders’ equity primarily due to $11.8 million increase in common stock offset by our $2.2 million net loss. The increase in common stock included $6.2 million of cash proceeds and $5.2 million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color w:val="auto"/>
        </w:rPr>
        <w:t>of the reclassification of fair value of warrant liability, both attributable to warrants exercised during the September 30, 2016 quarter for 2.4 million shares of common stock;</w:t>
      </w:r>
    </w:p>
    <w:p>
      <w:pPr>
        <w:spacing w:after="0" w:line="181" w:lineRule="exact"/>
        <w:rPr>
          <w:sz w:val="20"/>
          <w:szCs w:val="20"/>
          <w:color w:val="auto"/>
        </w:rPr>
      </w:pPr>
    </w:p>
    <w:p>
      <w:pPr>
        <w:jc w:val="both"/>
        <w:ind w:left="400" w:hanging="84"/>
        <w:spacing w:after="0" w:line="284" w:lineRule="auto"/>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$9.9 million increase in net working capital primarily attributable to a $1.9 million increase in accounts receivable, a $2.8 million increase in inventory, a $3.3 million decrease in accounts payable and elimination of any warrant liabilities as of December 31, 2016. The increase of $1.9 million in accounts receivable was largely the result of the quarter ending on a Saturday, a day on which we do not receive funds due to us from our processor. The increase in inventory was to provide stock for anticipated sales in subsequent quarters. The decrease in accounts payable was attributable primarily to the last business day of the month occurring on a Friday; which is the highest level of routine customer payments of all weekdays.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Quarterly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80" w:type="dxa"/>
            <w:vAlign w:val="bottom"/>
            <w:gridSpan w:val="3"/>
          </w:tcPr>
          <w:p>
            <w:pPr>
              <w:jc w:val="right"/>
              <w:ind w:right="200"/>
              <w:spacing w:after="0" w:line="116"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ind w:left="60"/>
              <w:spacing w:after="0" w:line="116"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880" w:type="dxa"/>
            <w:vAlign w:val="bottom"/>
            <w:gridSpan w:val="2"/>
          </w:tcPr>
          <w:p>
            <w:pPr>
              <w:jc w:val="right"/>
              <w:ind w:right="340"/>
              <w:spacing w:after="0" w:line="116"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92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rPr>
              <w:t>March 31,</w:t>
            </w:r>
          </w:p>
        </w:tc>
        <w:tc>
          <w:tcPr>
            <w:tcW w:w="88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7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2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rPr>
              <w:t>OPERATING ACTIVITIES:</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Net (loss) income</w:t>
            </w: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233</w:t>
            </w:r>
          </w:p>
        </w:tc>
        <w:tc>
          <w:tcPr>
            <w:tcW w:w="140" w:type="dxa"/>
            <w:vAlign w:val="bottom"/>
          </w:tcPr>
          <w:p>
            <w:pPr>
              <w:spacing w:after="0"/>
              <w:rPr>
                <w:sz w:val="12"/>
                <w:szCs w:val="12"/>
                <w:color w:val="auto"/>
              </w:rPr>
            </w:pPr>
          </w:p>
        </w:tc>
        <w:tc>
          <w:tcPr>
            <w:tcW w:w="220" w:type="dxa"/>
            <w:vAlign w:val="bottom"/>
          </w:tcPr>
          <w:p>
            <w:pPr>
              <w:jc w:val="right"/>
              <w:ind w:right="70"/>
              <w:spacing w:after="0" w:line="145"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(2,464)</w:t>
            </w: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(872)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(5,420)</w:t>
            </w:r>
          </w:p>
        </w:tc>
        <w:tc>
          <w:tcPr>
            <w:tcW w:w="180" w:type="dxa"/>
            <w:vAlign w:val="bottom"/>
          </w:tcPr>
          <w:p>
            <w:pPr>
              <w:jc w:val="right"/>
              <w:ind w:right="30"/>
              <w:spacing w:after="0" w:line="14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(874)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96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w w:val="95"/>
              </w:rPr>
              <w:t>Adjustments to reconcile net (loss) income to net cash provided by</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(used in) operating activities:</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60" w:type="dxa"/>
            <w:vAlign w:val="bottom"/>
            <w:gridSpan w:val="2"/>
          </w:tcPr>
          <w:p>
            <w:pPr>
              <w:spacing w:after="0" w:line="127" w:lineRule="exact"/>
              <w:rPr>
                <w:sz w:val="20"/>
                <w:szCs w:val="20"/>
                <w:color w:val="auto"/>
              </w:rPr>
            </w:pPr>
            <w:r>
              <w:rPr>
                <w:rFonts w:ascii="Arial" w:cs="Arial" w:eastAsia="Arial" w:hAnsi="Arial"/>
                <w:sz w:val="14"/>
                <w:szCs w:val="14"/>
                <w:color w:val="auto"/>
                <w:w w:val="99"/>
              </w:rPr>
              <w:t>Charges incurred in connection with the vesting and issuance of</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960" w:type="dxa"/>
            <w:vAlign w:val="bottom"/>
            <w:gridSpan w:val="2"/>
          </w:tcPr>
          <w:p>
            <w:pPr>
              <w:spacing w:after="0"/>
              <w:rPr>
                <w:sz w:val="20"/>
                <w:szCs w:val="20"/>
                <w:color w:val="auto"/>
              </w:rPr>
            </w:pPr>
            <w:r>
              <w:rPr>
                <w:rFonts w:ascii="Arial" w:cs="Arial" w:eastAsia="Arial" w:hAnsi="Arial"/>
                <w:sz w:val="14"/>
                <w:szCs w:val="14"/>
                <w:color w:val="auto"/>
              </w:rPr>
              <w:t>common stock for employee and director compensation</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Gain on disposal of property and equipment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Non-cash interest and amortization of debt discount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(79)</w:t>
            </w:r>
          </w:p>
        </w:tc>
        <w:tc>
          <w:tcPr>
            <w:tcW w:w="22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Bad debt expense</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352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470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506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1,220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1,257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1,272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1,190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1,323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Impairment of intangible asset</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432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Change in fair value of warrant liabilities</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1,490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4,805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Deferred income taxes, net</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(115)</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(748)</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(93)</w:t>
            </w: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Recognition of deferred gain from sale-leaseback transactions</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(215)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(215)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(215)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Accounts receivable</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(1,309)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(1,038)</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(1,872)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Finance receivables</w:t>
            </w:r>
          </w:p>
        </w:tc>
        <w:tc>
          <w:tcPr>
            <w:tcW w:w="10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2,125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(2,587)</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(154)</w:t>
            </w: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Inventory</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(467)</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(2,223)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Prepaid expenses and other assets</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(318)</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(224)</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(397)</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(160)</w:t>
            </w: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(254)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397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(3,661)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4,154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(1,061)</w:t>
            </w:r>
          </w:p>
        </w:tc>
        <w:tc>
          <w:tcPr>
            <w:tcW w:w="22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486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1,166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Income taxes payable</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60" w:type="dxa"/>
            <w:vAlign w:val="bottom"/>
            <w:tcBorders>
              <w:bottom w:val="single" w:sz="8" w:color="CCEEFF"/>
            </w:tcBorders>
            <w:gridSpan w:val="2"/>
          </w:tcPr>
          <w:p>
            <w:pPr>
              <w:ind w:left="100"/>
              <w:spacing w:after="0" w:line="138" w:lineRule="exact"/>
              <w:rPr>
                <w:sz w:val="20"/>
                <w:szCs w:val="20"/>
                <w:color w:val="auto"/>
              </w:rPr>
            </w:pPr>
            <w:r>
              <w:rPr>
                <w:rFonts w:ascii="Arial" w:cs="Arial" w:eastAsia="Arial" w:hAnsi="Arial"/>
                <w:sz w:val="14"/>
                <w:szCs w:val="14"/>
                <w:color w:val="auto"/>
              </w:rPr>
              <w:t>Net change in operating assets and liabilities</w:t>
            </w: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(634)</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(6,675)</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808</w:t>
            </w: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3,384</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(1,545)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Net cash provided (used) by operating activities</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1,122</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(6,337)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1,273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4,328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INVESTING ACTIVITIES: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Purchase and additions of property and equipment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(1,777)</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(168)</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(207)</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(164)</w:t>
            </w: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Purchase of property for rental program</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(693)</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(642)</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Proceeds from sale of property and equipment</w:t>
            </w:r>
          </w:p>
        </w:tc>
        <w:tc>
          <w:tcPr>
            <w:tcW w:w="10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61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265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Cash paid for assets acquired from VendScreen</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(5,625)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60" w:type="dxa"/>
            <w:vAlign w:val="bottom"/>
            <w:gridSpan w:val="2"/>
          </w:tcPr>
          <w:p>
            <w:pPr>
              <w:spacing w:after="0" w:line="138" w:lineRule="exact"/>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color w:val="auto"/>
              </w:rPr>
              <w:t>(2,409)</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color w:val="auto"/>
              </w:rPr>
              <w:t>(810)</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color w:val="auto"/>
              </w:rPr>
              <w:t>(5,770)</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FINANCING ACTIVITIES: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Cash used for the retirement of common stock</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Proceeds from exercise of common stock warrants</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6,193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3,237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1,652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Proceeds (payments) from line of credit, net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Arial" w:cs="Arial" w:eastAsia="Arial" w:hAnsi="Arial"/>
                <w:sz w:val="14"/>
                <w:szCs w:val="14"/>
                <w:color w:val="auto"/>
              </w:rPr>
              <w:t>Repayment of long-term debt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(213)</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(161)</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(162)</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(151)</w:t>
            </w: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60" w:type="dxa"/>
            <w:vAlign w:val="bottom"/>
            <w:tcBorders>
              <w:top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(213)</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6,073</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3,040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1,534</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2,727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Net increase (decrease) in cash</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(1,074)</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4,371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tcBorders>
              <w:bottom w:val="single" w:sz="8" w:color="CCEEFF"/>
            </w:tcBorders>
            <w:gridSpan w:val="2"/>
          </w:tcPr>
          <w:p>
            <w:pPr>
              <w:spacing w:after="0" w:line="145" w:lineRule="exact"/>
              <w:rPr>
                <w:sz w:val="20"/>
                <w:szCs w:val="20"/>
                <w:color w:val="auto"/>
              </w:rPr>
            </w:pPr>
            <w:r>
              <w:rPr>
                <w:rFonts w:ascii="Arial" w:cs="Arial" w:eastAsia="Arial" w:hAnsi="Arial"/>
                <w:sz w:val="14"/>
                <w:szCs w:val="14"/>
                <w:color w:val="auto"/>
              </w:rPr>
              <w:t>Cash at beginning of period</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18,198</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19,272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14,901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14,809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11,592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60" w:type="dxa"/>
            <w:vAlign w:val="bottom"/>
            <w:tcBorders>
              <w:bottom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rPr>
              <w:t>Cash at end of period</w:t>
            </w:r>
          </w:p>
        </w:tc>
        <w:tc>
          <w:tcPr>
            <w:tcW w:w="10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16,698</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70"/>
              <w:spacing w:after="0" w:line="138"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18,198</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19,272</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14,901</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0"/>
              <w:spacing w:after="0" w:line="138"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14,809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i w:val="1"/>
                <w:iCs w:val="1"/>
                <w:color w:val="auto"/>
              </w:rPr>
              <w:t>Supplemental disclosures of cash flow information:</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960" w:type="dxa"/>
            <w:vAlign w:val="bottom"/>
            <w:tcBorders>
              <w:bottom w:val="single" w:sz="8" w:color="CCEEFF"/>
            </w:tcBorders>
            <w:gridSpan w:val="2"/>
          </w:tcPr>
          <w:p>
            <w:pPr>
              <w:spacing w:after="0" w:line="145" w:lineRule="exact"/>
              <w:rPr>
                <w:sz w:val="20"/>
                <w:szCs w:val="20"/>
                <w:color w:val="auto"/>
              </w:rPr>
            </w:pPr>
            <w:r>
              <w:rPr>
                <w:rFonts w:ascii="Arial" w:cs="Arial" w:eastAsia="Arial" w:hAnsi="Arial"/>
                <w:sz w:val="14"/>
                <w:szCs w:val="14"/>
                <w:color w:val="auto"/>
              </w:rPr>
              <w:t>Interest paid in cash</w:t>
            </w:r>
          </w:p>
        </w:tc>
        <w:tc>
          <w:tcPr>
            <w:tcW w:w="1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382</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70"/>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87</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147</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191</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30"/>
              <w:spacing w:after="0" w:line="14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960" w:type="dxa"/>
            <w:vAlign w:val="bottom"/>
            <w:tcBorders>
              <w:bottom w:val="single" w:sz="8" w:color="CCEEFF"/>
            </w:tcBorders>
            <w:gridSpan w:val="2"/>
            <w:shd w:val="clear" w:color="auto" w:fill="CCEEFF"/>
          </w:tcPr>
          <w:p>
            <w:pPr>
              <w:spacing w:after="0" w:line="145" w:lineRule="exact"/>
              <w:rPr>
                <w:sz w:val="20"/>
                <w:szCs w:val="20"/>
                <w:color w:val="auto"/>
              </w:rPr>
            </w:pPr>
            <w:r>
              <w:rPr>
                <w:rFonts w:ascii="Arial" w:cs="Arial" w:eastAsia="Arial" w:hAnsi="Arial"/>
                <w:sz w:val="14"/>
                <w:szCs w:val="14"/>
                <w:color w:val="auto"/>
              </w:rPr>
              <w:t>Income taxes paid by cash</w:t>
            </w:r>
          </w:p>
        </w:tc>
        <w:tc>
          <w:tcPr>
            <w:tcW w:w="1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501</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960" w:type="dxa"/>
            <w:vAlign w:val="bottom"/>
            <w:tcBorders>
              <w:bottom w:val="single" w:sz="8" w:color="CCEEFF"/>
            </w:tcBorders>
            <w:gridSpan w:val="2"/>
          </w:tcPr>
          <w:p>
            <w:pPr>
              <w:spacing w:after="0" w:line="131" w:lineRule="exact"/>
              <w:rPr>
                <w:sz w:val="20"/>
                <w:szCs w:val="20"/>
                <w:color w:val="auto"/>
              </w:rPr>
            </w:pPr>
            <w:r>
              <w:rPr>
                <w:rFonts w:ascii="Arial" w:cs="Arial" w:eastAsia="Arial" w:hAnsi="Arial"/>
                <w:sz w:val="14"/>
                <w:szCs w:val="14"/>
                <w:color w:val="auto"/>
              </w:rPr>
              <w:t>Depreciation expense allocated to cost of services</w:t>
            </w:r>
          </w:p>
        </w:tc>
        <w:tc>
          <w:tcPr>
            <w:tcW w:w="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967</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70"/>
              <w:spacing w:after="0" w:line="131"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1,083</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1,139</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1,051</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30"/>
              <w:spacing w:after="0" w:line="131"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1,186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960" w:type="dxa"/>
            <w:vAlign w:val="bottom"/>
            <w:tcBorders>
              <w:bottom w:val="single" w:sz="8" w:color="CCEEFF"/>
            </w:tcBorders>
            <w:gridSpan w:val="2"/>
            <w:shd w:val="clear" w:color="auto" w:fill="CCEEFF"/>
          </w:tcPr>
          <w:p>
            <w:pPr>
              <w:spacing w:after="0" w:line="145" w:lineRule="exact"/>
              <w:rPr>
                <w:sz w:val="20"/>
                <w:szCs w:val="20"/>
                <w:color w:val="auto"/>
              </w:rPr>
            </w:pPr>
            <w:r>
              <w:rPr>
                <w:rFonts w:ascii="Arial" w:cs="Arial" w:eastAsia="Arial" w:hAnsi="Arial"/>
                <w:sz w:val="14"/>
                <w:szCs w:val="14"/>
                <w:color w:val="auto"/>
              </w:rPr>
              <w:t>Reclass of rental program property to inventory, net</w:t>
            </w:r>
          </w:p>
        </w:tc>
        <w:tc>
          <w:tcPr>
            <w:tcW w:w="1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(55)</w:t>
            </w: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415</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347</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777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960" w:type="dxa"/>
            <w:vAlign w:val="bottom"/>
            <w:tcBorders>
              <w:bottom w:val="single" w:sz="8" w:color="CCEEFF"/>
            </w:tcBorders>
            <w:gridSpan w:val="2"/>
          </w:tcPr>
          <w:p>
            <w:pPr>
              <w:spacing w:after="0" w:line="131" w:lineRule="exact"/>
              <w:rPr>
                <w:sz w:val="20"/>
                <w:szCs w:val="20"/>
                <w:color w:val="auto"/>
              </w:rPr>
            </w:pPr>
            <w:r>
              <w:rPr>
                <w:rFonts w:ascii="Arial" w:cs="Arial" w:eastAsia="Arial" w:hAnsi="Arial"/>
                <w:sz w:val="14"/>
                <w:szCs w:val="14"/>
                <w:color w:val="auto"/>
              </w:rPr>
              <w:t>Prepaid items financed with debt</w:t>
            </w:r>
          </w:p>
        </w:tc>
        <w:tc>
          <w:tcPr>
            <w:tcW w:w="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70"/>
              <w:spacing w:after="0" w:line="131"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54</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30"/>
              <w:spacing w:after="0" w:line="131"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960" w:type="dxa"/>
            <w:vAlign w:val="bottom"/>
            <w:tcBorders>
              <w:bottom w:val="single" w:sz="8" w:color="CCEEFF"/>
            </w:tcBorders>
            <w:gridSpan w:val="2"/>
            <w:shd w:val="clear" w:color="auto" w:fill="CCEEFF"/>
          </w:tcPr>
          <w:p>
            <w:pPr>
              <w:spacing w:after="0" w:line="145" w:lineRule="exact"/>
              <w:rPr>
                <w:sz w:val="20"/>
                <w:szCs w:val="20"/>
                <w:color w:val="auto"/>
              </w:rPr>
            </w:pPr>
            <w:r>
              <w:rPr>
                <w:rFonts w:ascii="Arial" w:cs="Arial" w:eastAsia="Arial" w:hAnsi="Arial"/>
                <w:sz w:val="14"/>
                <w:szCs w:val="14"/>
                <w:color w:val="auto"/>
              </w:rPr>
              <w:t>Warrant issuance for debt discount</w:t>
            </w:r>
          </w:p>
        </w:tc>
        <w:tc>
          <w:tcPr>
            <w:tcW w:w="1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52</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960" w:type="dxa"/>
            <w:vAlign w:val="bottom"/>
            <w:tcBorders>
              <w:bottom w:val="single" w:sz="8" w:color="CCEEFF"/>
            </w:tcBorders>
            <w:gridSpan w:val="2"/>
          </w:tcPr>
          <w:p>
            <w:pPr>
              <w:spacing w:after="0" w:line="131" w:lineRule="exact"/>
              <w:rPr>
                <w:sz w:val="20"/>
                <w:szCs w:val="20"/>
                <w:color w:val="auto"/>
              </w:rPr>
            </w:pPr>
            <w:r>
              <w:rPr>
                <w:rFonts w:ascii="Arial" w:cs="Arial" w:eastAsia="Arial" w:hAnsi="Arial"/>
                <w:sz w:val="14"/>
                <w:szCs w:val="14"/>
                <w:color w:val="auto"/>
              </w:rPr>
              <w:t>Debt financing cost financed with debt</w:t>
            </w:r>
          </w:p>
        </w:tc>
        <w:tc>
          <w:tcPr>
            <w:tcW w:w="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70"/>
              <w:spacing w:after="0" w:line="131"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79</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30"/>
              <w:spacing w:after="0" w:line="131"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960" w:type="dxa"/>
            <w:vAlign w:val="bottom"/>
            <w:tcBorders>
              <w:bottom w:val="single" w:sz="8" w:color="CCEEFF"/>
            </w:tcBorders>
            <w:gridSpan w:val="2"/>
            <w:shd w:val="clear" w:color="auto" w:fill="CCEEFF"/>
          </w:tcPr>
          <w:p>
            <w:pPr>
              <w:spacing w:after="0" w:line="145" w:lineRule="exact"/>
              <w:rPr>
                <w:sz w:val="20"/>
                <w:szCs w:val="20"/>
                <w:color w:val="auto"/>
              </w:rPr>
            </w:pPr>
            <w:r>
              <w:rPr>
                <w:rFonts w:ascii="Arial" w:cs="Arial" w:eastAsia="Arial" w:hAnsi="Arial"/>
                <w:sz w:val="14"/>
                <w:szCs w:val="14"/>
                <w:color w:val="auto"/>
              </w:rPr>
              <w:t>Equipment and property acquired under capital lease</w:t>
            </w:r>
          </w:p>
        </w:tc>
        <w:tc>
          <w:tcPr>
            <w:tcW w:w="1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18</w:t>
            </w: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254</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409</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960" w:type="dxa"/>
            <w:vAlign w:val="bottom"/>
            <w:gridSpan w:val="2"/>
          </w:tcPr>
          <w:p>
            <w:pPr>
              <w:spacing w:after="0" w:line="131" w:lineRule="exact"/>
              <w:rPr>
                <w:sz w:val="20"/>
                <w:szCs w:val="20"/>
                <w:color w:val="auto"/>
              </w:rPr>
            </w:pPr>
            <w:r>
              <w:rPr>
                <w:rFonts w:ascii="Arial" w:cs="Arial" w:eastAsia="Arial" w:hAnsi="Arial"/>
                <w:sz w:val="14"/>
                <w:szCs w:val="14"/>
                <w:color w:val="auto"/>
              </w:rPr>
              <w:t>Disposal of property and equipment</w:t>
            </w:r>
          </w:p>
        </w:tc>
        <w:tc>
          <w:tcPr>
            <w:tcW w:w="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570</w:t>
            </w:r>
          </w:p>
        </w:tc>
        <w:tc>
          <w:tcPr>
            <w:tcW w:w="140" w:type="dxa"/>
            <w:vAlign w:val="bottom"/>
          </w:tcPr>
          <w:p>
            <w:pPr>
              <w:spacing w:after="0"/>
              <w:rPr>
                <w:sz w:val="11"/>
                <w:szCs w:val="11"/>
                <w:color w:val="auto"/>
              </w:rPr>
            </w:pPr>
          </w:p>
        </w:tc>
        <w:tc>
          <w:tcPr>
            <w:tcW w:w="220" w:type="dxa"/>
            <w:vAlign w:val="bottom"/>
            <w:tcBorders>
              <w:bottom w:val="single" w:sz="8" w:color="auto"/>
            </w:tcBorders>
          </w:tcPr>
          <w:p>
            <w:pPr>
              <w:jc w:val="right"/>
              <w:ind w:right="70"/>
              <w:spacing w:after="0" w:line="131"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555</w:t>
            </w:r>
          </w:p>
        </w:tc>
        <w:tc>
          <w:tcPr>
            <w:tcW w:w="1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189</w:t>
            </w:r>
          </w:p>
        </w:tc>
        <w:tc>
          <w:tcPr>
            <w:tcW w:w="140" w:type="dxa"/>
            <w:vAlign w:val="bottom"/>
          </w:tcPr>
          <w:p>
            <w:pPr>
              <w:spacing w:after="0"/>
              <w:rPr>
                <w:sz w:val="11"/>
                <w:szCs w:val="11"/>
                <w:color w:val="auto"/>
              </w:rPr>
            </w:pPr>
          </w:p>
        </w:tc>
        <w:tc>
          <w:tcPr>
            <w:tcW w:w="180" w:type="dxa"/>
            <w:vAlign w:val="bottom"/>
            <w:tcBorders>
              <w:bottom w:val="single" w:sz="8" w:color="auto"/>
            </w:tcBorders>
          </w:tcPr>
          <w:p>
            <w:pPr>
              <w:jc w:val="right"/>
              <w:ind w:right="30"/>
              <w:spacing w:after="0" w:line="131"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238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cash flow for the quarter ended December 31, 2016 improved by $0.6 million from the quarter ended December 31, 2015. The improvement is primarily due to:</w:t>
      </w:r>
    </w:p>
    <w:p>
      <w:pPr>
        <w:spacing w:after="0" w:line="115" w:lineRule="exact"/>
        <w:rPr>
          <w:sz w:val="20"/>
          <w:szCs w:val="20"/>
          <w:color w:val="auto"/>
        </w:rPr>
      </w:pPr>
    </w:p>
    <w:p>
      <w:pPr>
        <w:ind w:left="4440" w:right="4320" w:hanging="4124"/>
        <w:spacing w:after="0" w:line="593" w:lineRule="auto"/>
        <w:tabs>
          <w:tab w:leader="none" w:pos="428" w:val="left"/>
        </w:tabs>
        <w:numPr>
          <w:ilvl w:val="0"/>
          <w:numId w:val="12"/>
        </w:numPr>
        <w:rPr>
          <w:rFonts w:ascii="Arial" w:cs="Arial" w:eastAsia="Arial" w:hAnsi="Arial"/>
          <w:sz w:val="15"/>
          <w:szCs w:val="15"/>
          <w:color w:val="auto"/>
        </w:rPr>
      </w:pPr>
      <w:r>
        <w:rPr>
          <w:rFonts w:ascii="Arial" w:cs="Arial" w:eastAsia="Arial" w:hAnsi="Arial"/>
          <w:sz w:val="15"/>
          <w:szCs w:val="15"/>
          <w:color w:val="auto"/>
        </w:rPr>
        <w:t>$1.0 million less cash used by operating assets and liabilities: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76326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p>
      <w:pPr>
        <w:ind w:left="400" w:hanging="84"/>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Offset by a $0.4 million decrease in net income as adjusted for non-cash operating items, as follows:</w:t>
      </w:r>
    </w:p>
    <w:p>
      <w:pPr>
        <w:spacing w:after="0" w:line="213" w:lineRule="exact"/>
        <w:rPr>
          <w:rFonts w:ascii="Arial" w:cs="Arial" w:eastAsia="Arial" w:hAnsi="Arial"/>
          <w:sz w:val="18"/>
          <w:szCs w:val="18"/>
          <w:color w:val="auto"/>
        </w:rPr>
      </w:pPr>
    </w:p>
    <w:p>
      <w:pPr>
        <w:ind w:left="1060" w:hanging="86"/>
        <w:spacing w:after="0" w:line="261" w:lineRule="auto"/>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$0.2 million net income and $1.4 million of non-cash operating items for the quarter ended December 31, 2016, as compared to</w:t>
      </w:r>
    </w:p>
    <w:p>
      <w:pPr>
        <w:spacing w:after="0" w:line="181" w:lineRule="exact"/>
        <w:rPr>
          <w:rFonts w:ascii="Arial" w:cs="Arial" w:eastAsia="Arial" w:hAnsi="Arial"/>
          <w:sz w:val="18"/>
          <w:szCs w:val="18"/>
          <w:color w:val="auto"/>
        </w:rPr>
      </w:pPr>
    </w:p>
    <w:p>
      <w:pPr>
        <w:ind w:left="1060" w:hanging="86"/>
        <w:spacing w:after="0" w:line="261" w:lineRule="auto"/>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$0.9 million of net loss offset by $2.9 million of non-cash operating items for the quarter ended December 31, 2015.</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used by investing activities increased by $1.1 million from the prior corresponding quarter, reflecting $0.4 for equipment and furniture purchased in connection with the relocation of the Malvern office, $0.2 for internally developed software, and $0.7 million for ePort units purchased for use in the JumpStart rental program.</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September 2014, the Company reintroduced QuickStart, a program whereby our customers are able to purchase our ePort hardware via a five-year, non-cancellable finance agreement. Under the QuickStart program, the Company sells the equipment to customers and creates a long-term and current finance receivable for five-year agreements. In the third and fourth quarters of fiscal 2015, the Company signed vendor agreements with two finance companies, whereby our customers would enter into agreements directly with the finance companies as part of our QuickStart program. Under this scenario, the Company invoices the finance company for the equipment financed by our customer, and typically receives full payment within thirty days. Prior to the reintroduction of QuickStart, the Company had financed its customers’ acquisition of ePort equipment primarily through the JumpStart rental program. Under Jumpstart, the Company records an investing capital expenditure cash outflow for the equipment provided and fixed assets on the balance sheet, and then receives rental income from a month-to-month lease. QuickStart through third-party finance companies reduces cash flow needed for investing activities and improves the cash flow from operations.</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entering into vendor agreements with two third-party finance companies, the majority of QuickStart sales consummated have been with customers entering into agreements directly with the finance companies. Our customers have shifted from acquiring our products via JumpStart, which accounted for 65% of our gross connections in fiscal year 2014, to QuickStart and sales under normal trade receivable terms, which accounted for 89% and 91% of our gross connections in fiscal year 2015 and 2016, respectively. JumpStart was approximately 7% of gross connections in the three months ending December 31, 2016.</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is seeking to expand its outside financing partners. The goal of the program would be to have enough finance partners so that the Company would not need to provide financing to its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22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Company’s net working capital, which is defined as current assets less current liabilities, was $14.8 million, $14.0 million, $4.9 million, ($0.2) million, and $9.9 million over the last five quarter-end reporting dates beginning December 31, 2016 and working backwards. As of December 31, 2016, the Company’s primary sources of cash include:</w:t>
      </w:r>
    </w:p>
    <w:p>
      <w:pPr>
        <w:spacing w:after="0" w:line="154" w:lineRule="exact"/>
        <w:rPr>
          <w:sz w:val="20"/>
          <w:szCs w:val="20"/>
          <w:color w:val="auto"/>
        </w:rPr>
      </w:pPr>
    </w:p>
    <w:p>
      <w:pPr>
        <w:ind w:left="480" w:hanging="16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on hand of approximately $18.0 million;</w:t>
      </w:r>
    </w:p>
    <w:p>
      <w:pPr>
        <w:spacing w:after="0" w:line="213" w:lineRule="exact"/>
        <w:rPr>
          <w:rFonts w:ascii="Arial" w:cs="Arial" w:eastAsia="Arial" w:hAnsi="Arial"/>
          <w:sz w:val="18"/>
          <w:szCs w:val="18"/>
          <w:color w:val="auto"/>
        </w:rPr>
      </w:pPr>
    </w:p>
    <w:p>
      <w:pPr>
        <w:jc w:val="both"/>
        <w:ind w:left="400" w:hanging="84"/>
        <w:spacing w:after="0" w:line="249" w:lineRule="auto"/>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$4.9 million available under the line of credit provided we continue to satisfy the various covenants set forth in the loan agreement, including the requirement to meet minimum quarterly adjusted EBITDA, as defined in the loan agreement. Although the line expires on March 29, 2017, we anticipate renewing the line with Heritage Bank or obtaining a new line of credit from another financial institution;</w:t>
      </w:r>
    </w:p>
    <w:p>
      <w:pPr>
        <w:spacing w:after="0" w:line="193" w:lineRule="exact"/>
        <w:rPr>
          <w:rFonts w:ascii="Arial" w:cs="Arial" w:eastAsia="Arial" w:hAnsi="Arial"/>
          <w:sz w:val="18"/>
          <w:szCs w:val="18"/>
          <w:color w:val="auto"/>
        </w:rPr>
      </w:pPr>
    </w:p>
    <w:p>
      <w:pPr>
        <w:ind w:left="420" w:hanging="104"/>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to third party lenders of all or a portion of our finance receivables; and</w:t>
      </w:r>
    </w:p>
    <w:p>
      <w:pPr>
        <w:spacing w:after="0" w:line="213" w:lineRule="exact"/>
        <w:rPr>
          <w:rFonts w:ascii="Arial" w:cs="Arial" w:eastAsia="Arial" w:hAnsi="Arial"/>
          <w:sz w:val="18"/>
          <w:szCs w:val="18"/>
          <w:color w:val="auto"/>
        </w:rPr>
      </w:pPr>
    </w:p>
    <w:p>
      <w:pPr>
        <w:ind w:left="400" w:hanging="84"/>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Anticipated cash which may be provided by operating activities in future quarters.</w:t>
      </w:r>
    </w:p>
    <w:p>
      <w:pPr>
        <w:spacing w:after="0" w:line="30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believes its existing cash and available cash resources described above, would provide sufficient capital resources to operate its anticipated business over the next twelve months.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326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have been no significant changes to our market risk since June 30, 2016. For a discussion of our exposure to market risk, refer to Part II, Item 7A. “Quantitative and Qualitative Disclosures about Market Risk,” contained in our Annual Report on Form 10-K for the year ended June 30,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our disclosure controls and procedures were not effective as of the end of such period because of the material weakness in our internal control over financial reporting identified in our Annual Report on Form 10-K for the fiscal year ended June 30, 2016 (the "2016 Form 10-K"), as described below. Notwithstanding the material weakness identified in the 2016 Form 10-K, our management, including our chief executive officer and chief financial officer, has concluded that the consolidated financial statements included in this Form 10-Q present fairly, in all material respects, our financial position, results of operations and cash flows for the periods presented in conformity with accounting principles generally accepted in the 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9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There were no changes in our internal controls over financial reporting that occurred during our fiscal quarter ended December 31, 2016 that materially affected, or are reasonably likely to materially affect, our internal controls over financial reporting.</w:t>
      </w:r>
    </w:p>
    <w:p>
      <w:pPr>
        <w:spacing w:after="0" w:line="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our Form 2016 10-K, we stated that management had identified control deficiencies, including three significant deficiencies, in the design or operating effectiveness of the Company's internal control over financial reporting, which when aggregated, represent a material weakness in internal control. The significant deficiencies included that the operation of an existing control did not result in timely resolution of account receivable aging issues; the design of certain of our internal controls allowed for errors or omissions in the accrual process; and one operational control did not identify certain merchant receivables as one of the critical accounts to be audited on a monthly basis. In order to address the significant deficiencies identified in our 2016 Form 10-K, the Company implemented changes in its internal controls over financial reporting during the quarter ended September 30, 2016, and remains committed to remediating the control deficiencies that gave rise to the material weakness.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0" w:lineRule="exact"/>
        <w:rPr>
          <w:sz w:val="20"/>
          <w:szCs w:val="20"/>
          <w:color w:val="auto"/>
        </w:rPr>
      </w:pPr>
    </w:p>
    <w:p>
      <w:pPr>
        <w:jc w:val="both"/>
        <w:ind w:left="200" w:hanging="196"/>
        <w:spacing w:after="0" w:line="284" w:lineRule="auto"/>
        <w:rPr>
          <w:sz w:val="20"/>
          <w:szCs w:val="20"/>
          <w:color w:val="auto"/>
        </w:rPr>
      </w:pPr>
      <w:r>
        <w:rPr>
          <w:rFonts w:ascii="Arial" w:cs="Arial" w:eastAsia="Arial" w:hAnsi="Arial"/>
          <w:sz w:val="16"/>
          <w:szCs w:val="16"/>
          <w:color w:val="auto"/>
        </w:rPr>
        <w:t>(a)On November 18, 2016, the Company issued to AvidBank Holdings, Inc. (“AvidBank”), 24,733 shares of common stock in connection with the exercise, on a cashless basis, of warrants to purchase 24,733 shares at an exercise price of $2.10 per share. The warrants were previously issued to AvidBank as of January 1, 2013, pursuant to a First Amendment dated as of January 1, 2013 to the Loan and Security Agreement by and between the Company and AvidBank Corporate Finance. The shares were issued by the Company in reliance on the exemption under Section 4(a)(2) of the Securities Act of 1933, as amended, in a transaction not involving a public offering.</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9, 2016, the Company and Heritage Bank of Commerce (the “Bank”), entered into a Second Amendment (the "Second Amendment”) to the Loan and Security Agreement dated as of March 29, 2016, as amended (collectively, the “Loan Agreement”).</w:t>
      </w:r>
    </w:p>
    <w:p>
      <w:pPr>
        <w:spacing w:after="0" w:line="5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Loan Agreement provides for a secured asset-based revolving line of credit facility of up to $12.0 million. The Second Amendment, among other things, (i) specifies the minimum Adjusted EBITDA (as defined in the Loan Agreement) that the Company must achieve during each quarter of the Company’s fiscal year ending June 30, 2017, (ii) provides that the number of the Company’s connections as of the end of each fiscal quarter shall not decrease below a specified number or by more than five percent as compared to the number of the Company’s connections as of the end of the immediately prior fiscal quarter, and (iii) provides that the Company shall maintain a minimum balance of unrestricted cash at the Bank.</w:t>
      </w:r>
    </w:p>
    <w:p>
      <w:pPr>
        <w:spacing w:after="0" w:line="4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foregoing summary of the Second Amendment does not purport to be complete and is qualified in its entirety by reference to the Second Amendment, which is filed hereto as Exhibit 10.1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2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755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 w:type="dxa"/>
            <w:vAlign w:val="bottom"/>
          </w:tcPr>
          <w:p>
            <w:pPr>
              <w:jc w:val="right"/>
              <w:ind w:right="372"/>
              <w:spacing w:after="0"/>
              <w:rPr>
                <w:sz w:val="20"/>
                <w:szCs w:val="20"/>
                <w:color w:val="auto"/>
              </w:rPr>
            </w:pPr>
            <w:r>
              <w:rPr>
                <w:rFonts w:ascii="Arial" w:cs="Arial" w:eastAsia="Arial" w:hAnsi="Arial"/>
                <w:sz w:val="18"/>
                <w:szCs w:val="18"/>
                <w:color w:val="auto"/>
                <w:w w:val="79"/>
              </w:rPr>
              <w:t>10.1</w:t>
            </w:r>
          </w:p>
        </w:tc>
        <w:tc>
          <w:tcPr>
            <w:tcW w:w="8240" w:type="dxa"/>
            <w:vAlign w:val="bottom"/>
          </w:tcPr>
          <w:p>
            <w:pPr>
              <w:ind w:left="460"/>
              <w:spacing w:after="0"/>
              <w:rPr>
                <w:sz w:val="20"/>
                <w:szCs w:val="20"/>
                <w:color w:val="auto"/>
              </w:rPr>
            </w:pPr>
            <w:r>
              <w:rPr>
                <w:rFonts w:ascii="Arial" w:cs="Arial" w:eastAsia="Arial" w:hAnsi="Arial"/>
                <w:sz w:val="18"/>
                <w:szCs w:val="18"/>
                <w:color w:val="auto"/>
                <w:w w:val="91"/>
              </w:rPr>
              <w:t>Second Amendment to Loan and Security Agreement dated as of September 30, 2016 by and between the</w:t>
            </w:r>
          </w:p>
        </w:tc>
      </w:tr>
      <w:tr>
        <w:trPr>
          <w:trHeight w:val="210"/>
        </w:trPr>
        <w:tc>
          <w:tcPr>
            <w:tcW w:w="760" w:type="dxa"/>
            <w:vAlign w:val="bottom"/>
          </w:tcPr>
          <w:p>
            <w:pPr>
              <w:spacing w:after="0"/>
              <w:rPr>
                <w:sz w:val="18"/>
                <w:szCs w:val="18"/>
                <w:color w:val="auto"/>
              </w:rPr>
            </w:pPr>
          </w:p>
        </w:tc>
        <w:tc>
          <w:tcPr>
            <w:tcW w:w="8240" w:type="dxa"/>
            <w:vAlign w:val="bottom"/>
          </w:tcPr>
          <w:p>
            <w:pPr>
              <w:ind w:left="460"/>
              <w:spacing w:after="0"/>
              <w:rPr>
                <w:sz w:val="20"/>
                <w:szCs w:val="20"/>
                <w:color w:val="auto"/>
              </w:rPr>
            </w:pPr>
            <w:r>
              <w:rPr>
                <w:rFonts w:ascii="Arial" w:cs="Arial" w:eastAsia="Arial" w:hAnsi="Arial"/>
                <w:sz w:val="18"/>
                <w:szCs w:val="18"/>
                <w:color w:val="auto"/>
                <w:w w:val="88"/>
              </w:rPr>
              <w:t>Company and Heritage Bank of Commerce (Portions of this exhibit were redacted pursuant to a confidentiality</w:t>
            </w:r>
          </w:p>
        </w:tc>
      </w:tr>
      <w:tr>
        <w:trPr>
          <w:trHeight w:val="210"/>
        </w:trPr>
        <w:tc>
          <w:tcPr>
            <w:tcW w:w="760" w:type="dxa"/>
            <w:vAlign w:val="bottom"/>
          </w:tcPr>
          <w:p>
            <w:pPr>
              <w:spacing w:after="0"/>
              <w:rPr>
                <w:sz w:val="18"/>
                <w:szCs w:val="18"/>
                <w:color w:val="auto"/>
              </w:rPr>
            </w:pPr>
          </w:p>
        </w:tc>
        <w:tc>
          <w:tcPr>
            <w:tcW w:w="8240" w:type="dxa"/>
            <w:vAlign w:val="bottom"/>
          </w:tcPr>
          <w:p>
            <w:pPr>
              <w:ind w:left="460"/>
              <w:spacing w:after="0"/>
              <w:rPr>
                <w:sz w:val="20"/>
                <w:szCs w:val="20"/>
                <w:color w:val="auto"/>
              </w:rPr>
            </w:pPr>
            <w:r>
              <w:rPr>
                <w:rFonts w:ascii="Arial" w:cs="Arial" w:eastAsia="Arial" w:hAnsi="Arial"/>
                <w:sz w:val="18"/>
                <w:szCs w:val="18"/>
                <w:color w:val="auto"/>
              </w:rPr>
              <w:t>treatment request)</w:t>
            </w:r>
          </w:p>
        </w:tc>
      </w:tr>
      <w:tr>
        <w:trPr>
          <w:trHeight w:val="210"/>
        </w:trPr>
        <w:tc>
          <w:tcPr>
            <w:tcW w:w="760" w:type="dxa"/>
            <w:vAlign w:val="bottom"/>
          </w:tcPr>
          <w:p>
            <w:pPr>
              <w:jc w:val="right"/>
              <w:ind w:right="372"/>
              <w:spacing w:after="0"/>
              <w:rPr>
                <w:sz w:val="20"/>
                <w:szCs w:val="20"/>
                <w:color w:val="auto"/>
              </w:rPr>
            </w:pPr>
            <w:r>
              <w:rPr>
                <w:rFonts w:ascii="Arial" w:cs="Arial" w:eastAsia="Arial" w:hAnsi="Arial"/>
                <w:sz w:val="18"/>
                <w:szCs w:val="18"/>
                <w:color w:val="auto"/>
                <w:w w:val="79"/>
              </w:rPr>
              <w:t>31.1</w:t>
            </w:r>
          </w:p>
        </w:tc>
        <w:tc>
          <w:tcPr>
            <w:tcW w:w="8240" w:type="dxa"/>
            <w:vAlign w:val="bottom"/>
          </w:tcPr>
          <w:p>
            <w:pPr>
              <w:ind w:left="460"/>
              <w:spacing w:after="0"/>
              <w:rPr>
                <w:sz w:val="20"/>
                <w:szCs w:val="20"/>
                <w:color w:val="auto"/>
              </w:rPr>
            </w:pPr>
            <w:r>
              <w:rPr>
                <w:rFonts w:ascii="Arial" w:cs="Arial" w:eastAsia="Arial" w:hAnsi="Arial"/>
                <w:sz w:val="18"/>
                <w:szCs w:val="18"/>
                <w:color w:val="auto"/>
                <w:w w:val="93"/>
              </w:rPr>
              <w:t>Certifications of Chief Executive Officer pursuant to Rule 13a-14(a) under the Securities Exchange Act of</w:t>
            </w:r>
          </w:p>
        </w:tc>
      </w:tr>
      <w:tr>
        <w:trPr>
          <w:trHeight w:val="222"/>
        </w:trPr>
        <w:tc>
          <w:tcPr>
            <w:tcW w:w="760" w:type="dxa"/>
            <w:vAlign w:val="bottom"/>
          </w:tcPr>
          <w:p>
            <w:pPr>
              <w:spacing w:after="0"/>
              <w:rPr>
                <w:sz w:val="19"/>
                <w:szCs w:val="19"/>
                <w:color w:val="auto"/>
              </w:rPr>
            </w:pPr>
          </w:p>
        </w:tc>
        <w:tc>
          <w:tcPr>
            <w:tcW w:w="8240" w:type="dxa"/>
            <w:vAlign w:val="bottom"/>
          </w:tcPr>
          <w:p>
            <w:pPr>
              <w:ind w:left="460"/>
              <w:spacing w:after="0"/>
              <w:rPr>
                <w:sz w:val="20"/>
                <w:szCs w:val="20"/>
                <w:color w:val="auto"/>
              </w:rPr>
            </w:pPr>
            <w:r>
              <w:rPr>
                <w:rFonts w:ascii="Arial" w:cs="Arial" w:eastAsia="Arial" w:hAnsi="Arial"/>
                <w:sz w:val="18"/>
                <w:szCs w:val="18"/>
                <w:color w:val="auto"/>
              </w:rPr>
              <w:t>1934.</w:t>
            </w:r>
          </w:p>
        </w:tc>
      </w:tr>
      <w:tr>
        <w:trPr>
          <w:trHeight w:val="409"/>
        </w:trPr>
        <w:tc>
          <w:tcPr>
            <w:tcW w:w="760" w:type="dxa"/>
            <w:vAlign w:val="bottom"/>
          </w:tcPr>
          <w:p>
            <w:pPr>
              <w:jc w:val="right"/>
              <w:ind w:right="372"/>
              <w:spacing w:after="0"/>
              <w:rPr>
                <w:sz w:val="20"/>
                <w:szCs w:val="20"/>
                <w:color w:val="auto"/>
              </w:rPr>
            </w:pPr>
            <w:r>
              <w:rPr>
                <w:rFonts w:ascii="Arial" w:cs="Arial" w:eastAsia="Arial" w:hAnsi="Arial"/>
                <w:sz w:val="18"/>
                <w:szCs w:val="18"/>
                <w:color w:val="auto"/>
                <w:w w:val="79"/>
              </w:rPr>
              <w:t>31.2</w:t>
            </w:r>
          </w:p>
        </w:tc>
        <w:tc>
          <w:tcPr>
            <w:tcW w:w="8240" w:type="dxa"/>
            <w:vAlign w:val="bottom"/>
          </w:tcPr>
          <w:p>
            <w:pPr>
              <w:ind w:left="460"/>
              <w:spacing w:after="0"/>
              <w:rPr>
                <w:sz w:val="20"/>
                <w:szCs w:val="20"/>
                <w:color w:val="auto"/>
              </w:rPr>
            </w:pPr>
            <w:r>
              <w:rPr>
                <w:rFonts w:ascii="Arial" w:cs="Arial" w:eastAsia="Arial" w:hAnsi="Arial"/>
                <w:sz w:val="18"/>
                <w:szCs w:val="18"/>
                <w:color w:val="auto"/>
                <w:w w:val="93"/>
              </w:rPr>
              <w:t>Certifications of Chief Financial Officer pursuant to Rule 13a-14(a) under the Securities Exchange Act of</w:t>
            </w:r>
          </w:p>
        </w:tc>
      </w:tr>
      <w:tr>
        <w:trPr>
          <w:trHeight w:val="222"/>
        </w:trPr>
        <w:tc>
          <w:tcPr>
            <w:tcW w:w="760" w:type="dxa"/>
            <w:vAlign w:val="bottom"/>
          </w:tcPr>
          <w:p>
            <w:pPr>
              <w:spacing w:after="0"/>
              <w:rPr>
                <w:sz w:val="19"/>
                <w:szCs w:val="19"/>
                <w:color w:val="auto"/>
              </w:rPr>
            </w:pPr>
          </w:p>
        </w:tc>
        <w:tc>
          <w:tcPr>
            <w:tcW w:w="8240" w:type="dxa"/>
            <w:vAlign w:val="bottom"/>
          </w:tcPr>
          <w:p>
            <w:pPr>
              <w:ind w:left="460"/>
              <w:spacing w:after="0"/>
              <w:rPr>
                <w:sz w:val="20"/>
                <w:szCs w:val="20"/>
                <w:color w:val="auto"/>
              </w:rPr>
            </w:pPr>
            <w:r>
              <w:rPr>
                <w:rFonts w:ascii="Arial" w:cs="Arial" w:eastAsia="Arial" w:hAnsi="Arial"/>
                <w:sz w:val="18"/>
                <w:szCs w:val="18"/>
                <w:color w:val="auto"/>
              </w:rPr>
              <w:t>1934.</w:t>
            </w:r>
          </w:p>
        </w:tc>
      </w:tr>
      <w:tr>
        <w:trPr>
          <w:trHeight w:val="409"/>
        </w:trPr>
        <w:tc>
          <w:tcPr>
            <w:tcW w:w="760" w:type="dxa"/>
            <w:vAlign w:val="bottom"/>
          </w:tcPr>
          <w:p>
            <w:pPr>
              <w:jc w:val="right"/>
              <w:ind w:right="372"/>
              <w:spacing w:after="0"/>
              <w:rPr>
                <w:sz w:val="20"/>
                <w:szCs w:val="20"/>
                <w:color w:val="auto"/>
              </w:rPr>
            </w:pPr>
            <w:r>
              <w:rPr>
                <w:rFonts w:ascii="Arial" w:cs="Arial" w:eastAsia="Arial" w:hAnsi="Arial"/>
                <w:sz w:val="18"/>
                <w:szCs w:val="18"/>
                <w:color w:val="auto"/>
                <w:w w:val="79"/>
              </w:rPr>
              <w:t>32.1</w:t>
            </w:r>
          </w:p>
        </w:tc>
        <w:tc>
          <w:tcPr>
            <w:tcW w:w="8240" w:type="dxa"/>
            <w:vAlign w:val="bottom"/>
          </w:tcPr>
          <w:p>
            <w:pPr>
              <w:ind w:left="460"/>
              <w:spacing w:after="0"/>
              <w:rPr>
                <w:sz w:val="20"/>
                <w:szCs w:val="20"/>
                <w:color w:val="auto"/>
              </w:rPr>
            </w:pPr>
            <w:r>
              <w:rPr>
                <w:rFonts w:ascii="Arial" w:cs="Arial" w:eastAsia="Arial" w:hAnsi="Arial"/>
                <w:sz w:val="18"/>
                <w:szCs w:val="18"/>
                <w:color w:val="auto"/>
                <w:w w:val="89"/>
              </w:rPr>
              <w:t>Certification of the Chief Executive Officer pursuant to 18 USC Section 1350, as adopted pursuant to Section</w:t>
            </w:r>
          </w:p>
        </w:tc>
      </w:tr>
      <w:tr>
        <w:trPr>
          <w:trHeight w:val="222"/>
        </w:trPr>
        <w:tc>
          <w:tcPr>
            <w:tcW w:w="760" w:type="dxa"/>
            <w:vAlign w:val="bottom"/>
          </w:tcPr>
          <w:p>
            <w:pPr>
              <w:spacing w:after="0"/>
              <w:rPr>
                <w:sz w:val="19"/>
                <w:szCs w:val="19"/>
                <w:color w:val="auto"/>
              </w:rPr>
            </w:pPr>
          </w:p>
        </w:tc>
        <w:tc>
          <w:tcPr>
            <w:tcW w:w="8240" w:type="dxa"/>
            <w:vAlign w:val="bottom"/>
          </w:tcPr>
          <w:p>
            <w:pPr>
              <w:ind w:left="460"/>
              <w:spacing w:after="0"/>
              <w:rPr>
                <w:sz w:val="20"/>
                <w:szCs w:val="20"/>
                <w:color w:val="auto"/>
              </w:rPr>
            </w:pPr>
            <w:r>
              <w:rPr>
                <w:rFonts w:ascii="Arial" w:cs="Arial" w:eastAsia="Arial" w:hAnsi="Arial"/>
                <w:sz w:val="18"/>
                <w:szCs w:val="18"/>
                <w:color w:val="auto"/>
              </w:rPr>
              <w:t>906 of the Sarbanes-Oxley Act of 2002.</w:t>
            </w:r>
          </w:p>
        </w:tc>
      </w:tr>
      <w:tr>
        <w:trPr>
          <w:trHeight w:val="409"/>
        </w:trPr>
        <w:tc>
          <w:tcPr>
            <w:tcW w:w="760" w:type="dxa"/>
            <w:vAlign w:val="bottom"/>
          </w:tcPr>
          <w:p>
            <w:pPr>
              <w:jc w:val="right"/>
              <w:ind w:right="372"/>
              <w:spacing w:after="0"/>
              <w:rPr>
                <w:sz w:val="20"/>
                <w:szCs w:val="20"/>
                <w:color w:val="auto"/>
              </w:rPr>
            </w:pPr>
            <w:r>
              <w:rPr>
                <w:rFonts w:ascii="Arial" w:cs="Arial" w:eastAsia="Arial" w:hAnsi="Arial"/>
                <w:sz w:val="18"/>
                <w:szCs w:val="18"/>
                <w:color w:val="auto"/>
                <w:w w:val="79"/>
              </w:rPr>
              <w:t>32.2</w:t>
            </w:r>
          </w:p>
        </w:tc>
        <w:tc>
          <w:tcPr>
            <w:tcW w:w="8240" w:type="dxa"/>
            <w:vAlign w:val="bottom"/>
          </w:tcPr>
          <w:p>
            <w:pPr>
              <w:ind w:left="460"/>
              <w:spacing w:after="0"/>
              <w:rPr>
                <w:sz w:val="20"/>
                <w:szCs w:val="20"/>
                <w:color w:val="auto"/>
              </w:rPr>
            </w:pPr>
            <w:r>
              <w:rPr>
                <w:rFonts w:ascii="Arial" w:cs="Arial" w:eastAsia="Arial" w:hAnsi="Arial"/>
                <w:sz w:val="18"/>
                <w:szCs w:val="18"/>
                <w:color w:val="auto"/>
                <w:w w:val="90"/>
              </w:rPr>
              <w:t>Certification of the Chief Financial Officer pursuant to 18 USC Section 1350, as adopted pursuant to Section</w:t>
            </w:r>
          </w:p>
        </w:tc>
      </w:tr>
      <w:tr>
        <w:trPr>
          <w:trHeight w:val="222"/>
        </w:trPr>
        <w:tc>
          <w:tcPr>
            <w:tcW w:w="760" w:type="dxa"/>
            <w:vAlign w:val="bottom"/>
          </w:tcPr>
          <w:p>
            <w:pPr>
              <w:spacing w:after="0"/>
              <w:rPr>
                <w:sz w:val="19"/>
                <w:szCs w:val="19"/>
                <w:color w:val="auto"/>
              </w:rPr>
            </w:pPr>
          </w:p>
        </w:tc>
        <w:tc>
          <w:tcPr>
            <w:tcW w:w="8240" w:type="dxa"/>
            <w:vAlign w:val="bottom"/>
          </w:tcPr>
          <w:p>
            <w:pPr>
              <w:ind w:left="460"/>
              <w:spacing w:after="0"/>
              <w:rPr>
                <w:sz w:val="20"/>
                <w:szCs w:val="20"/>
                <w:color w:val="auto"/>
              </w:rPr>
            </w:pPr>
            <w:r>
              <w:rPr>
                <w:rFonts w:ascii="Arial" w:cs="Arial" w:eastAsia="Arial" w:hAnsi="Arial"/>
                <w:sz w:val="18"/>
                <w:szCs w:val="18"/>
                <w:color w:val="auto"/>
              </w:rPr>
              <w:t>906 of the Sarbanes-Oxley Act of 2002.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Date: February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2"/>
        </w:trPr>
        <w:tc>
          <w:tcPr>
            <w:tcW w:w="4540" w:type="dxa"/>
            <w:vAlign w:val="bottom"/>
          </w:tcPr>
          <w:p>
            <w:pPr>
              <w:spacing w:after="0"/>
              <w:rPr>
                <w:sz w:val="16"/>
                <w:szCs w:val="16"/>
                <w:color w:val="auto"/>
              </w:rPr>
            </w:pPr>
          </w:p>
        </w:tc>
        <w:tc>
          <w:tcPr>
            <w:tcW w:w="4520" w:type="dxa"/>
            <w:vAlign w:val="bottom"/>
          </w:tcPr>
          <w:p>
            <w:pPr>
              <w:spacing w:after="0" w:line="192" w:lineRule="exact"/>
              <w:rPr>
                <w:sz w:val="20"/>
                <w:szCs w:val="20"/>
                <w:color w:val="auto"/>
              </w:rPr>
            </w:pPr>
            <w:r>
              <w:rPr>
                <w:rFonts w:ascii="Arial" w:cs="Arial" w:eastAsia="Arial" w:hAnsi="Arial"/>
                <w:sz w:val="18"/>
                <w:szCs w:val="18"/>
                <w:color w:val="auto"/>
              </w:rPr>
              <w:t>Stephen P. Herbert,</w:t>
            </w:r>
          </w:p>
        </w:tc>
      </w:tr>
      <w:tr>
        <w:trPr>
          <w:trHeight w:val="222"/>
        </w:trPr>
        <w:tc>
          <w:tcPr>
            <w:tcW w:w="45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Date: February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r>
      <w:tr>
        <w:trPr>
          <w:trHeight w:val="192"/>
        </w:trPr>
        <w:tc>
          <w:tcPr>
            <w:tcW w:w="4540" w:type="dxa"/>
            <w:vAlign w:val="bottom"/>
          </w:tcPr>
          <w:p>
            <w:pPr>
              <w:spacing w:after="0"/>
              <w:rPr>
                <w:sz w:val="16"/>
                <w:szCs w:val="16"/>
                <w:color w:val="auto"/>
              </w:rPr>
            </w:pPr>
          </w:p>
        </w:tc>
        <w:tc>
          <w:tcPr>
            <w:tcW w:w="4520" w:type="dxa"/>
            <w:vAlign w:val="bottom"/>
          </w:tcPr>
          <w:p>
            <w:pPr>
              <w:spacing w:after="0" w:line="192" w:lineRule="exact"/>
              <w:rPr>
                <w:sz w:val="20"/>
                <w:szCs w:val="20"/>
                <w:color w:val="auto"/>
              </w:rPr>
            </w:pPr>
            <w:r>
              <w:rPr>
                <w:rFonts w:ascii="Arial" w:cs="Arial" w:eastAsia="Arial" w:hAnsi="Arial"/>
                <w:sz w:val="18"/>
                <w:szCs w:val="18"/>
                <w:color w:val="auto"/>
              </w:rPr>
              <w:t>Leland P. Maxwell</w:t>
            </w:r>
          </w:p>
        </w:tc>
      </w:tr>
      <w:tr>
        <w:trPr>
          <w:trHeight w:val="222"/>
        </w:trPr>
        <w:tc>
          <w:tcPr>
            <w:tcW w:w="45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576326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3260"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9" w:name="page40"/>
    <w:bookmarkEnd w:id="39"/>
    <w:p>
      <w:pPr>
        <w:ind w:left="8060"/>
        <w:spacing w:after="0"/>
        <w:rPr>
          <w:sz w:val="20"/>
          <w:szCs w:val="20"/>
          <w:color w:val="auto"/>
        </w:rPr>
      </w:pPr>
      <w:r>
        <w:rPr>
          <w:rFonts w:ascii="Arial" w:cs="Arial" w:eastAsia="Arial" w:hAnsi="Arial"/>
          <w:sz w:val="14"/>
          <w:szCs w:val="14"/>
          <w:b w:val="1"/>
          <w:bCs w:val="1"/>
          <w:color w:val="auto"/>
        </w:rPr>
        <w:t>Exhibit 10.1</w:t>
      </w:r>
    </w:p>
    <w:p>
      <w:pPr>
        <w:spacing w:after="0" w:line="248" w:lineRule="exact"/>
        <w:rPr>
          <w:sz w:val="20"/>
          <w:szCs w:val="20"/>
          <w:color w:val="auto"/>
        </w:rPr>
      </w:pPr>
    </w:p>
    <w:p>
      <w:pPr>
        <w:jc w:val="center"/>
        <w:ind w:left="140" w:right="139"/>
        <w:spacing w:after="0" w:line="252" w:lineRule="auto"/>
        <w:rPr>
          <w:sz w:val="20"/>
          <w:szCs w:val="20"/>
          <w:color w:val="auto"/>
        </w:rPr>
      </w:pPr>
      <w:r>
        <w:rPr>
          <w:rFonts w:ascii="Arial" w:cs="Arial" w:eastAsia="Arial" w:hAnsi="Arial"/>
          <w:sz w:val="18"/>
          <w:szCs w:val="18"/>
          <w:color w:val="auto"/>
        </w:rPr>
        <w:t>PORTIONS OF THIS AGREEMENT HAVE BEEN OMITTED AND FILED SEPARATELY WITH THE SECURITIES AND EXCHANGE COMMISSION. CONFIDENTIAL TREATMENT HAS BEEN REQUESTED WITH RESPECT TO THE OMITTED PORTIONS, WHICH ARE MARKED BY ASTERISKS (“***”).</w:t>
      </w:r>
    </w:p>
    <w:p>
      <w:pPr>
        <w:spacing w:after="0" w:line="184"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SECOND AMENDMENT AND WAIVER TO</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LOAN AND SECURITY AGREEMENT</w:t>
      </w:r>
    </w:p>
    <w:p>
      <w:pPr>
        <w:spacing w:after="0" w:line="202" w:lineRule="exact"/>
        <w:rPr>
          <w:sz w:val="20"/>
          <w:szCs w:val="20"/>
          <w:color w:val="auto"/>
        </w:rPr>
      </w:pPr>
    </w:p>
    <w:p>
      <w:pPr>
        <w:jc w:val="both"/>
        <w:ind w:left="140" w:right="139" w:firstLine="631"/>
        <w:spacing w:after="0" w:line="252" w:lineRule="auto"/>
        <w:rPr>
          <w:sz w:val="20"/>
          <w:szCs w:val="20"/>
          <w:color w:val="auto"/>
        </w:rPr>
      </w:pPr>
      <w:r>
        <w:rPr>
          <w:rFonts w:ascii="Arial" w:cs="Arial" w:eastAsia="Arial" w:hAnsi="Arial"/>
          <w:sz w:val="18"/>
          <w:szCs w:val="18"/>
          <w:color w:val="auto"/>
        </w:rPr>
        <w:t>This Second Amendment and Waiver to Loan and Security Agreement (the “Amendment”) is entered into effective as of September 30, 2016 by and between HERITAGE BANK OF COMMERCE (“Bank”) and USA TECHNOLOGIES, INC. (“Borrower”).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4" w:lineRule="exact"/>
        <w:rPr>
          <w:sz w:val="20"/>
          <w:szCs w:val="20"/>
          <w:color w:val="auto"/>
        </w:rPr>
      </w:pPr>
    </w:p>
    <w:p>
      <w:pPr>
        <w:ind w:left="140" w:right="159" w:firstLine="640"/>
        <w:spacing w:after="0" w:line="324" w:lineRule="auto"/>
        <w:tabs>
          <w:tab w:leader="none" w:pos="14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Borrower and Bank are parties to that certain Loan and Security Agreement dated as of March 29, 2016 (as the same may from time to time be amended, modified, supplemented or restated, the “Agreement”).</w:t>
      </w:r>
    </w:p>
    <w:p>
      <w:pPr>
        <w:spacing w:after="0" w:line="134" w:lineRule="exact"/>
        <w:rPr>
          <w:rFonts w:ascii="Arial" w:cs="Arial" w:eastAsia="Arial" w:hAnsi="Arial"/>
          <w:sz w:val="16"/>
          <w:szCs w:val="16"/>
          <w:color w:val="auto"/>
        </w:rPr>
      </w:pPr>
    </w:p>
    <w:p>
      <w:pPr>
        <w:ind w:left="140" w:right="159" w:firstLine="640"/>
        <w:spacing w:after="0" w:line="324" w:lineRule="auto"/>
        <w:tabs>
          <w:tab w:leader="none" w:pos="14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Event of Default has occurred under the Agreement by virtue of Borrower’s failure to comply with Section 6.9(b) of the Agreement for the quarterly period ending September 30, 2016 (the “Covenant Default”).</w:t>
      </w:r>
    </w:p>
    <w:p>
      <w:pPr>
        <w:spacing w:after="0" w:line="134" w:lineRule="exact"/>
        <w:rPr>
          <w:rFonts w:ascii="Arial" w:cs="Arial" w:eastAsia="Arial" w:hAnsi="Arial"/>
          <w:sz w:val="16"/>
          <w:szCs w:val="16"/>
          <w:color w:val="auto"/>
        </w:rPr>
      </w:pPr>
    </w:p>
    <w:p>
      <w:pPr>
        <w:jc w:val="both"/>
        <w:ind w:left="140" w:right="159" w:firstLine="640"/>
        <w:spacing w:after="0" w:line="252" w:lineRule="auto"/>
        <w:tabs>
          <w:tab w:leader="none" w:pos="14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Borrower has asked Bank to waive its rights and remedies arising out of the Covenant Default and to amend certain provisions of the Agreement. Bank is willing to do so, on the terms and conditions and in reliance upon the representations and warranties set forth in this Amendment.</w:t>
      </w:r>
    </w:p>
    <w:p>
      <w:pPr>
        <w:spacing w:after="0" w:line="184"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AGREEMENT</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NOW, THEREFORE, the parties agree as follows:</w:t>
      </w:r>
    </w:p>
    <w:p>
      <w:pPr>
        <w:spacing w:after="0" w:line="214" w:lineRule="exact"/>
        <w:rPr>
          <w:sz w:val="20"/>
          <w:szCs w:val="20"/>
          <w:color w:val="auto"/>
        </w:rPr>
      </w:pPr>
    </w:p>
    <w:p>
      <w:pPr>
        <w:ind w:left="140" w:right="159" w:firstLine="640"/>
        <w:spacing w:after="0" w:line="261"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Definitions. Capitalized terms used but not defined in this Amendment shall have the meanings given to them in the Agreement.</w:t>
      </w:r>
    </w:p>
    <w:p>
      <w:pPr>
        <w:spacing w:after="0" w:line="181" w:lineRule="exact"/>
        <w:rPr>
          <w:rFonts w:ascii="Arial" w:cs="Arial" w:eastAsia="Arial" w:hAnsi="Arial"/>
          <w:sz w:val="18"/>
          <w:szCs w:val="18"/>
          <w:color w:val="auto"/>
        </w:rPr>
      </w:pPr>
    </w:p>
    <w:p>
      <w:pPr>
        <w:jc w:val="both"/>
        <w:ind w:left="140" w:right="159" w:firstLine="640"/>
        <w:spacing w:after="0" w:line="248"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Waiver of Covenant Default. Bank waives the Covenant Default and any right to enforce any rights and remedies it may have against Borrower with respect to the Covenant Default. This waiver applies only to the Covenant Default for the quarterly period ending September 30, 2016. Borrower shall comply with the Agreement after the date hereof. Bank’s agreement to waive the Covenant Default shall not limit or impair the Bank’s right to demand strict performance of such financial covenant as of all other dates.</w:t>
      </w:r>
    </w:p>
    <w:p>
      <w:pPr>
        <w:spacing w:after="0" w:line="193" w:lineRule="exact"/>
        <w:rPr>
          <w:rFonts w:ascii="Arial" w:cs="Arial" w:eastAsia="Arial" w:hAnsi="Arial"/>
          <w:sz w:val="18"/>
          <w:szCs w:val="18"/>
          <w:color w:val="auto"/>
        </w:rPr>
      </w:pPr>
    </w:p>
    <w:p>
      <w:pPr>
        <w:ind w:left="1420" w:hanging="640"/>
        <w:spacing w:after="0"/>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Amendments to Agreement. Bank and Borrower agree to amend the terms of the Agreement as follows:</w:t>
      </w:r>
    </w:p>
    <w:p>
      <w:pPr>
        <w:spacing w:after="0" w:line="236" w:lineRule="exact"/>
        <w:rPr>
          <w:rFonts w:ascii="Arial" w:cs="Arial" w:eastAsia="Arial" w:hAnsi="Arial"/>
          <w:sz w:val="16"/>
          <w:szCs w:val="16"/>
          <w:color w:val="auto"/>
        </w:rPr>
      </w:pPr>
    </w:p>
    <w:p>
      <w:pPr>
        <w:ind w:left="2040" w:hanging="629"/>
        <w:spacing w:after="0"/>
        <w:tabs>
          <w:tab w:leader="none" w:pos="2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Section 6.9(b) of the Agreement is amended to read as follows:</w:t>
      </w:r>
    </w:p>
    <w:p>
      <w:pPr>
        <w:spacing w:after="0" w:line="208" w:lineRule="exact"/>
        <w:rPr>
          <w:sz w:val="20"/>
          <w:szCs w:val="20"/>
          <w:color w:val="auto"/>
        </w:rPr>
      </w:pPr>
    </w:p>
    <w:p>
      <w:pPr>
        <w:ind w:left="2040"/>
        <w:spacing w:after="0"/>
        <w:tabs>
          <w:tab w:leader="none" w:pos="28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5"/>
          <w:szCs w:val="15"/>
          <w:b w:val="1"/>
          <w:bCs w:val="1"/>
          <w:color w:val="auto"/>
        </w:rPr>
        <w:t>Financial Covenants.</w:t>
      </w:r>
    </w:p>
    <w:p>
      <w:pPr>
        <w:spacing w:after="0" w:line="214" w:lineRule="exact"/>
        <w:rPr>
          <w:sz w:val="20"/>
          <w:szCs w:val="20"/>
          <w:color w:val="auto"/>
        </w:rPr>
      </w:pPr>
    </w:p>
    <w:p>
      <w:pPr>
        <w:jc w:val="both"/>
        <w:ind w:left="2040" w:right="139" w:firstLine="3"/>
        <w:spacing w:after="0" w:line="282" w:lineRule="auto"/>
        <w:tabs>
          <w:tab w:leader="none" w:pos="2933"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Maximum Churn Rate. </w:t>
      </w:r>
      <w:r>
        <w:rPr>
          <w:rFonts w:ascii="Arial" w:cs="Arial" w:eastAsia="Arial" w:hAnsi="Arial"/>
          <w:sz w:val="16"/>
          <w:szCs w:val="16"/>
          <w:color w:val="auto"/>
        </w:rPr>
        <w:t>Borrower’s number of connections as at the end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fiscal quarter shall not decrease (i) by more than five percent (5%) as compared to Borrower’s number of connections as at the end of the immediately preceding fiscal quarter, or (ii) below</w:t>
      </w:r>
    </w:p>
    <w:p>
      <w:pPr>
        <w:ind w:left="2040"/>
        <w:spacing w:after="0"/>
        <w:rPr>
          <w:rFonts w:ascii="Arial" w:cs="Arial" w:eastAsia="Arial" w:hAnsi="Arial"/>
          <w:sz w:val="16"/>
          <w:szCs w:val="16"/>
          <w:b w:val="1"/>
          <w:bCs w:val="1"/>
          <w:color w:val="auto"/>
        </w:rPr>
      </w:pPr>
      <w:r>
        <w:rPr>
          <w:rFonts w:ascii="Arial" w:cs="Arial" w:eastAsia="Arial" w:hAnsi="Arial"/>
          <w:sz w:val="18"/>
          <w:szCs w:val="18"/>
          <w:color w:val="auto"/>
        </w:rPr>
        <w:t>*** connections.</w:t>
      </w:r>
    </w:p>
    <w:p>
      <w:pPr>
        <w:spacing w:after="0" w:line="196" w:lineRule="exact"/>
        <w:rPr>
          <w:rFonts w:ascii="Arial" w:cs="Arial" w:eastAsia="Arial" w:hAnsi="Arial"/>
          <w:sz w:val="16"/>
          <w:szCs w:val="16"/>
          <w:b w:val="1"/>
          <w:bCs w:val="1"/>
          <w:color w:val="auto"/>
        </w:rPr>
      </w:pPr>
    </w:p>
    <w:p>
      <w:pPr>
        <w:ind w:left="2040" w:right="139" w:firstLine="99"/>
        <w:spacing w:after="0" w:line="268" w:lineRule="auto"/>
        <w:tabs>
          <w:tab w:leader="none" w:pos="2982"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Adjusted EBITDA. </w:t>
      </w:r>
      <w:r>
        <w:rPr>
          <w:rFonts w:ascii="Arial" w:cs="Arial" w:eastAsia="Arial" w:hAnsi="Arial"/>
          <w:sz w:val="18"/>
          <w:szCs w:val="18"/>
          <w:color w:val="auto"/>
        </w:rPr>
        <w:t>Borrower shall maintain quarterly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EBITDA, as set forth below, tested quarterly:</w:t>
      </w:r>
    </w:p>
    <w:p>
      <w:pPr>
        <w:spacing w:after="0" w:line="168" w:lineRule="exact"/>
        <w:rPr>
          <w:sz w:val="20"/>
          <w:szCs w:val="20"/>
          <w:color w:val="auto"/>
        </w:rPr>
      </w:pPr>
    </w:p>
    <w:tbl>
      <w:tblPr>
        <w:tblLayout w:type="fixed"/>
        <w:tblInd w:w="140" w:type="dxa"/>
        <w:tblCellMar>
          <w:top w:w="0" w:type="dxa"/>
          <w:left w:w="0" w:type="dxa"/>
          <w:bottom w:w="0" w:type="dxa"/>
          <w:right w:w="0" w:type="dxa"/>
        </w:tblCellMar>
      </w:tblPr>
      <w:tr>
        <w:trPr>
          <w:trHeight w:val="289"/>
        </w:trPr>
        <w:tc>
          <w:tcPr>
            <w:tcW w:w="202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w w:val="88"/>
              </w:rPr>
              <w:t>Quarterly Period ending</w:t>
            </w:r>
          </w:p>
        </w:tc>
        <w:tc>
          <w:tcPr>
            <w:tcW w:w="480" w:type="dxa"/>
            <w:vAlign w:val="bottom"/>
            <w:tcBorders>
              <w:top w:val="single" w:sz="8" w:color="auto"/>
              <w:right w:val="single" w:sz="8" w:color="auto"/>
            </w:tcBorders>
          </w:tcPr>
          <w:p>
            <w:pPr>
              <w:spacing w:after="0"/>
              <w:rPr>
                <w:sz w:val="24"/>
                <w:szCs w:val="24"/>
                <w:color w:val="auto"/>
              </w:rPr>
            </w:pPr>
          </w:p>
        </w:tc>
        <w:tc>
          <w:tcPr>
            <w:tcW w:w="3520" w:type="dxa"/>
            <w:vAlign w:val="bottom"/>
            <w:tcBorders>
              <w:top w:val="single" w:sz="8" w:color="auto"/>
              <w:right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Minimum Adjusted EBITDA</w:t>
            </w:r>
          </w:p>
        </w:tc>
        <w:tc>
          <w:tcPr>
            <w:tcW w:w="420" w:type="dxa"/>
            <w:vAlign w:val="bottom"/>
          </w:tcPr>
          <w:p>
            <w:pPr>
              <w:spacing w:after="0"/>
              <w:rPr>
                <w:sz w:val="24"/>
                <w:szCs w:val="24"/>
                <w:color w:val="auto"/>
              </w:rPr>
            </w:pPr>
          </w:p>
        </w:tc>
      </w:tr>
      <w:tr>
        <w:trPr>
          <w:trHeight w:val="66"/>
        </w:trPr>
        <w:tc>
          <w:tcPr>
            <w:tcW w:w="2020" w:type="dxa"/>
            <w:vAlign w:val="bottom"/>
            <w:tcBorders>
              <w:right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3520" w:type="dxa"/>
            <w:vAlign w:val="bottom"/>
            <w:tcBorders>
              <w:bottom w:val="single" w:sz="8" w:color="auto"/>
              <w:right w:val="single" w:sz="8" w:color="auto"/>
            </w:tcBorders>
          </w:tcPr>
          <w:p>
            <w:pPr>
              <w:spacing w:after="0"/>
              <w:rPr>
                <w:sz w:val="5"/>
                <w:szCs w:val="5"/>
                <w:color w:val="auto"/>
              </w:rPr>
            </w:pPr>
          </w:p>
        </w:tc>
        <w:tc>
          <w:tcPr>
            <w:tcW w:w="420" w:type="dxa"/>
            <w:vAlign w:val="bottom"/>
          </w:tcPr>
          <w:p>
            <w:pPr>
              <w:spacing w:after="0"/>
              <w:rPr>
                <w:sz w:val="5"/>
                <w:szCs w:val="5"/>
                <w:color w:val="auto"/>
              </w:rPr>
            </w:pPr>
          </w:p>
        </w:tc>
      </w:tr>
      <w:tr>
        <w:trPr>
          <w:trHeight w:val="269"/>
        </w:trPr>
        <w:tc>
          <w:tcPr>
            <w:tcW w:w="2020" w:type="dxa"/>
            <w:vAlign w:val="bottom"/>
            <w:tcBorders>
              <w:right w:val="single" w:sz="8" w:color="auto"/>
            </w:tcBorders>
          </w:tcPr>
          <w:p>
            <w:pPr>
              <w:spacing w:after="0"/>
              <w:rPr>
                <w:sz w:val="23"/>
                <w:szCs w:val="23"/>
                <w:color w:val="auto"/>
              </w:rPr>
            </w:pPr>
          </w:p>
        </w:tc>
        <w:tc>
          <w:tcPr>
            <w:tcW w:w="2300" w:type="dxa"/>
            <w:vAlign w:val="bottom"/>
          </w:tcPr>
          <w:p>
            <w:pPr>
              <w:ind w:left="100"/>
              <w:spacing w:after="0"/>
              <w:rPr>
                <w:sz w:val="20"/>
                <w:szCs w:val="20"/>
                <w:color w:val="auto"/>
              </w:rPr>
            </w:pPr>
            <w:r>
              <w:rPr>
                <w:rFonts w:ascii="Arial" w:cs="Arial" w:eastAsia="Arial" w:hAnsi="Arial"/>
                <w:sz w:val="18"/>
                <w:szCs w:val="18"/>
                <w:color w:val="auto"/>
              </w:rPr>
              <w:t>December 31, 2016</w:t>
            </w:r>
          </w:p>
        </w:tc>
        <w:tc>
          <w:tcPr>
            <w:tcW w:w="480" w:type="dxa"/>
            <w:vAlign w:val="bottom"/>
            <w:tcBorders>
              <w:right w:val="single" w:sz="8" w:color="auto"/>
            </w:tcBorders>
          </w:tcPr>
          <w:p>
            <w:pPr>
              <w:spacing w:after="0"/>
              <w:rPr>
                <w:sz w:val="23"/>
                <w:szCs w:val="23"/>
                <w:color w:val="auto"/>
              </w:rPr>
            </w:pPr>
          </w:p>
        </w:tc>
        <w:tc>
          <w:tcPr>
            <w:tcW w:w="3520" w:type="dxa"/>
            <w:vAlign w:val="bottom"/>
            <w:tcBorders>
              <w:right w:val="single" w:sz="8" w:color="auto"/>
            </w:tcBorders>
          </w:tcPr>
          <w:p>
            <w:pPr>
              <w:jc w:val="right"/>
              <w:ind w:right="2652"/>
              <w:spacing w:after="0"/>
              <w:rPr>
                <w:sz w:val="20"/>
                <w:szCs w:val="20"/>
                <w:color w:val="auto"/>
              </w:rPr>
            </w:pPr>
            <w:r>
              <w:rPr>
                <w:rFonts w:ascii="Arial" w:cs="Arial" w:eastAsia="Arial" w:hAnsi="Arial"/>
                <w:sz w:val="18"/>
                <w:szCs w:val="18"/>
                <w:color w:val="auto"/>
              </w:rPr>
              <w:t>$572,000</w:t>
            </w:r>
          </w:p>
        </w:tc>
        <w:tc>
          <w:tcPr>
            <w:tcW w:w="420" w:type="dxa"/>
            <w:vAlign w:val="bottom"/>
          </w:tcPr>
          <w:p>
            <w:pPr>
              <w:spacing w:after="0"/>
              <w:rPr>
                <w:sz w:val="23"/>
                <w:szCs w:val="23"/>
                <w:color w:val="auto"/>
              </w:rPr>
            </w:pPr>
          </w:p>
        </w:tc>
      </w:tr>
      <w:tr>
        <w:trPr>
          <w:trHeight w:val="66"/>
        </w:trPr>
        <w:tc>
          <w:tcPr>
            <w:tcW w:w="2020" w:type="dxa"/>
            <w:vAlign w:val="bottom"/>
            <w:tcBorders>
              <w:right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3520" w:type="dxa"/>
            <w:vAlign w:val="bottom"/>
            <w:tcBorders>
              <w:bottom w:val="single" w:sz="8" w:color="auto"/>
              <w:right w:val="single" w:sz="8" w:color="auto"/>
            </w:tcBorders>
          </w:tcPr>
          <w:p>
            <w:pPr>
              <w:spacing w:after="0"/>
              <w:rPr>
                <w:sz w:val="5"/>
                <w:szCs w:val="5"/>
                <w:color w:val="auto"/>
              </w:rPr>
            </w:pPr>
          </w:p>
        </w:tc>
        <w:tc>
          <w:tcPr>
            <w:tcW w:w="420" w:type="dxa"/>
            <w:vAlign w:val="bottom"/>
          </w:tcPr>
          <w:p>
            <w:pPr>
              <w:spacing w:after="0"/>
              <w:rPr>
                <w:sz w:val="5"/>
                <w:szCs w:val="5"/>
                <w:color w:val="auto"/>
              </w:rPr>
            </w:pPr>
          </w:p>
        </w:tc>
      </w:tr>
      <w:tr>
        <w:trPr>
          <w:trHeight w:val="413"/>
        </w:trPr>
        <w:tc>
          <w:tcPr>
            <w:tcW w:w="2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1</w:t>
            </w:r>
          </w:p>
        </w:tc>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2"/>
        </w:trPr>
        <w:tc>
          <w:tcPr>
            <w:tcW w:w="202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r>
    </w:tbl>
    <w:p>
      <w:pPr>
        <w:sectPr>
          <w:pgSz w:w="11900" w:h="16838" w:orient="portrait"/>
          <w:cols w:equalWidth="0" w:num="1">
            <w:col w:w="9019"/>
          </w:cols>
          <w:pgMar w:left="1440" w:top="126" w:right="1440" w:bottom="1440" w:gutter="0" w:footer="0" w:header="0"/>
        </w:sectPr>
      </w:pPr>
    </w:p>
    <w:bookmarkStart w:id="40" w:name="page41"/>
    <w:bookmarkEnd w:id="40"/>
    <w:p>
      <w:pPr>
        <w:spacing w:after="0" w:line="1" w:lineRule="exact"/>
        <w:rPr>
          <w:sz w:val="20"/>
          <w:szCs w:val="20"/>
          <w:color w:val="auto"/>
        </w:rPr>
      </w:pPr>
    </w:p>
    <w:tbl>
      <w:tblPr>
        <w:tblLayout w:type="fixed"/>
        <w:tblInd w:w="2150" w:type="dxa"/>
        <w:tblCellMar>
          <w:top w:w="0" w:type="dxa"/>
          <w:left w:w="0" w:type="dxa"/>
          <w:bottom w:w="0" w:type="dxa"/>
          <w:right w:w="0" w:type="dxa"/>
        </w:tblCellMar>
      </w:tblPr>
      <w:tr>
        <w:trPr>
          <w:trHeight w:val="159"/>
        </w:trPr>
        <w:tc>
          <w:tcPr>
            <w:tcW w:w="2800" w:type="dxa"/>
            <w:vAlign w:val="bottom"/>
            <w:tcBorders>
              <w:top w:val="single" w:sz="8" w:color="auto"/>
              <w:left w:val="single" w:sz="8" w:color="auto"/>
              <w:right w:val="single" w:sz="8" w:color="auto"/>
            </w:tcBorders>
          </w:tcPr>
          <w:p>
            <w:pPr>
              <w:ind w:left="120"/>
              <w:spacing w:after="0" w:line="158" w:lineRule="exact"/>
              <w:rPr>
                <w:sz w:val="20"/>
                <w:szCs w:val="20"/>
                <w:color w:val="auto"/>
              </w:rPr>
            </w:pPr>
            <w:r>
              <w:rPr>
                <w:rFonts w:ascii="Arial" w:cs="Arial" w:eastAsia="Arial" w:hAnsi="Arial"/>
                <w:sz w:val="18"/>
                <w:szCs w:val="18"/>
                <w:color w:val="auto"/>
                <w:w w:val="98"/>
              </w:rPr>
              <w:t>March 31, 2017 (applicable only if</w:t>
            </w:r>
          </w:p>
        </w:tc>
        <w:tc>
          <w:tcPr>
            <w:tcW w:w="3520" w:type="dxa"/>
            <w:vAlign w:val="bottom"/>
            <w:tcBorders>
              <w:top w:val="single" w:sz="8" w:color="auto"/>
              <w:right w:val="single" w:sz="8" w:color="auto"/>
            </w:tcBorders>
            <w:vMerge w:val="restart"/>
          </w:tcPr>
          <w:p>
            <w:pPr>
              <w:jc w:val="right"/>
              <w:ind w:right="2652"/>
              <w:spacing w:after="0"/>
              <w:rPr>
                <w:sz w:val="20"/>
                <w:szCs w:val="20"/>
                <w:color w:val="auto"/>
              </w:rPr>
            </w:pPr>
            <w:r>
              <w:rPr>
                <w:rFonts w:ascii="Arial" w:cs="Arial" w:eastAsia="Arial" w:hAnsi="Arial"/>
                <w:sz w:val="18"/>
                <w:szCs w:val="18"/>
                <w:color w:val="auto"/>
              </w:rPr>
              <w:t>$780,000</w:t>
            </w:r>
          </w:p>
        </w:tc>
        <w:tc>
          <w:tcPr>
            <w:tcW w:w="0" w:type="dxa"/>
            <w:vAlign w:val="bottom"/>
          </w:tcPr>
          <w:p>
            <w:pPr>
              <w:spacing w:after="0"/>
              <w:rPr>
                <w:sz w:val="1"/>
                <w:szCs w:val="1"/>
                <w:color w:val="auto"/>
              </w:rPr>
            </w:pPr>
          </w:p>
        </w:tc>
      </w:tr>
      <w:tr>
        <w:trPr>
          <w:trHeight w:val="130"/>
        </w:trPr>
        <w:tc>
          <w:tcPr>
            <w:tcW w:w="2800" w:type="dxa"/>
            <w:vAlign w:val="bottom"/>
            <w:tcBorders>
              <w:left w:val="single" w:sz="8" w:color="auto"/>
              <w:right w:val="single" w:sz="8" w:color="auto"/>
            </w:tcBorders>
            <w:vMerge w:val="restart"/>
          </w:tcPr>
          <w:p>
            <w:pPr>
              <w:ind w:left="120"/>
              <w:spacing w:after="0" w:line="171" w:lineRule="exact"/>
              <w:rPr>
                <w:sz w:val="20"/>
                <w:szCs w:val="20"/>
                <w:color w:val="auto"/>
              </w:rPr>
            </w:pPr>
            <w:r>
              <w:rPr>
                <w:rFonts w:ascii="Arial" w:cs="Arial" w:eastAsia="Arial" w:hAnsi="Arial"/>
                <w:sz w:val="18"/>
                <w:szCs w:val="18"/>
                <w:color w:val="auto"/>
              </w:rPr>
              <w:t>the  Revolving  Maturity  Date  is</w:t>
            </w:r>
          </w:p>
        </w:tc>
        <w:tc>
          <w:tcPr>
            <w:tcW w:w="3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800" w:type="dxa"/>
            <w:vAlign w:val="bottom"/>
            <w:tcBorders>
              <w:left w:val="single" w:sz="8" w:color="auto"/>
              <w:right w:val="single" w:sz="8" w:color="auto"/>
            </w:tcBorders>
            <w:vMerge w:val="continue"/>
          </w:tcPr>
          <w:p>
            <w:pPr>
              <w:spacing w:after="0"/>
              <w:rPr>
                <w:sz w:val="3"/>
                <w:szCs w:val="3"/>
                <w:color w:val="auto"/>
              </w:rPr>
            </w:pPr>
          </w:p>
        </w:tc>
        <w:tc>
          <w:tcPr>
            <w:tcW w:w="3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8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extended)</w:t>
            </w:r>
          </w:p>
        </w:tc>
        <w:tc>
          <w:tcPr>
            <w:tcW w:w="3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800" w:type="dxa"/>
            <w:vAlign w:val="bottom"/>
            <w:tcBorders>
              <w:left w:val="single" w:sz="8" w:color="auto"/>
              <w:right w:val="single" w:sz="8" w:color="auto"/>
            </w:tcBorders>
          </w:tcPr>
          <w:p>
            <w:pPr>
              <w:ind w:left="120"/>
              <w:spacing w:after="0" w:line="138" w:lineRule="exact"/>
              <w:rPr>
                <w:sz w:val="20"/>
                <w:szCs w:val="20"/>
                <w:color w:val="auto"/>
              </w:rPr>
            </w:pPr>
            <w:r>
              <w:rPr>
                <w:rFonts w:ascii="Arial" w:cs="Arial" w:eastAsia="Arial" w:hAnsi="Arial"/>
                <w:sz w:val="16"/>
                <w:szCs w:val="16"/>
                <w:color w:val="auto"/>
              </w:rPr>
              <w:t>June 30, 2017 (applicable only if</w:t>
            </w:r>
          </w:p>
        </w:tc>
        <w:tc>
          <w:tcPr>
            <w:tcW w:w="3520" w:type="dxa"/>
            <w:vAlign w:val="bottom"/>
            <w:tcBorders>
              <w:right w:val="single" w:sz="8" w:color="auto"/>
            </w:tcBorders>
            <w:vMerge w:val="restart"/>
          </w:tcPr>
          <w:p>
            <w:pPr>
              <w:jc w:val="right"/>
              <w:ind w:right="2652"/>
              <w:spacing w:after="0"/>
              <w:rPr>
                <w:sz w:val="20"/>
                <w:szCs w:val="20"/>
                <w:color w:val="auto"/>
              </w:rPr>
            </w:pPr>
            <w:r>
              <w:rPr>
                <w:rFonts w:ascii="Arial" w:cs="Arial" w:eastAsia="Arial" w:hAnsi="Arial"/>
                <w:sz w:val="18"/>
                <w:szCs w:val="18"/>
                <w:color w:val="auto"/>
              </w:rPr>
              <w:t>$982,000</w:t>
            </w:r>
          </w:p>
        </w:tc>
        <w:tc>
          <w:tcPr>
            <w:tcW w:w="0" w:type="dxa"/>
            <w:vAlign w:val="bottom"/>
          </w:tcPr>
          <w:p>
            <w:pPr>
              <w:spacing w:after="0"/>
              <w:rPr>
                <w:sz w:val="1"/>
                <w:szCs w:val="1"/>
                <w:color w:val="auto"/>
              </w:rPr>
            </w:pPr>
          </w:p>
        </w:tc>
      </w:tr>
      <w:tr>
        <w:trPr>
          <w:trHeight w:val="130"/>
        </w:trPr>
        <w:tc>
          <w:tcPr>
            <w:tcW w:w="2800" w:type="dxa"/>
            <w:vAlign w:val="bottom"/>
            <w:tcBorders>
              <w:left w:val="single" w:sz="8" w:color="auto"/>
              <w:right w:val="single" w:sz="8" w:color="auto"/>
            </w:tcBorders>
            <w:vMerge w:val="restart"/>
          </w:tcPr>
          <w:p>
            <w:pPr>
              <w:ind w:left="120"/>
              <w:spacing w:after="0" w:line="171" w:lineRule="exact"/>
              <w:rPr>
                <w:sz w:val="20"/>
                <w:szCs w:val="20"/>
                <w:color w:val="auto"/>
              </w:rPr>
            </w:pPr>
            <w:r>
              <w:rPr>
                <w:rFonts w:ascii="Arial" w:cs="Arial" w:eastAsia="Arial" w:hAnsi="Arial"/>
                <w:sz w:val="18"/>
                <w:szCs w:val="18"/>
                <w:color w:val="auto"/>
              </w:rPr>
              <w:t>the  Revolving  Maturity  Date  is</w:t>
            </w:r>
          </w:p>
        </w:tc>
        <w:tc>
          <w:tcPr>
            <w:tcW w:w="3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800" w:type="dxa"/>
            <w:vAlign w:val="bottom"/>
            <w:tcBorders>
              <w:left w:val="single" w:sz="8" w:color="auto"/>
              <w:right w:val="single" w:sz="8" w:color="auto"/>
            </w:tcBorders>
            <w:vMerge w:val="continue"/>
          </w:tcPr>
          <w:p>
            <w:pPr>
              <w:spacing w:after="0"/>
              <w:rPr>
                <w:sz w:val="3"/>
                <w:szCs w:val="3"/>
                <w:color w:val="auto"/>
              </w:rPr>
            </w:pPr>
          </w:p>
        </w:tc>
        <w:tc>
          <w:tcPr>
            <w:tcW w:w="3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8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extended)</w:t>
            </w:r>
          </w:p>
        </w:tc>
        <w:tc>
          <w:tcPr>
            <w:tcW w:w="3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2040" w:right="159" w:firstLine="46"/>
        <w:spacing w:after="0" w:line="268" w:lineRule="auto"/>
        <w:tabs>
          <w:tab w:leader="none" w:pos="2910" w:val="left"/>
        </w:tabs>
        <w:numPr>
          <w:ilvl w:val="2"/>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Cash. </w:t>
      </w:r>
      <w:r>
        <w:rPr>
          <w:rFonts w:ascii="Arial" w:cs="Arial" w:eastAsia="Arial" w:hAnsi="Arial"/>
          <w:sz w:val="18"/>
          <w:szCs w:val="18"/>
          <w:color w:val="auto"/>
        </w:rPr>
        <w:t>Borrower shall maintain a minimum balance of unrestricted cash</w:t>
      </w:r>
      <w:r>
        <w:rPr>
          <w:rFonts w:ascii="Arial" w:cs="Arial" w:eastAsia="Arial" w:hAnsi="Arial"/>
          <w:sz w:val="18"/>
          <w:szCs w:val="18"/>
          <w:b w:val="1"/>
          <w:bCs w:val="1"/>
          <w:color w:val="auto"/>
        </w:rPr>
        <w:t xml:space="preserve"> </w:t>
      </w:r>
      <w:r>
        <w:rPr>
          <w:rFonts w:ascii="Arial" w:cs="Arial" w:eastAsia="Arial" w:hAnsi="Arial"/>
          <w:sz w:val="18"/>
          <w:szCs w:val="18"/>
          <w:color w:val="auto"/>
        </w:rPr>
        <w:t>at Bank of $*** at all times.</w:t>
      </w:r>
    </w:p>
    <w:p>
      <w:pPr>
        <w:spacing w:after="0" w:line="175" w:lineRule="exact"/>
        <w:rPr>
          <w:rFonts w:ascii="Arial" w:cs="Arial" w:eastAsia="Arial" w:hAnsi="Arial"/>
          <w:sz w:val="18"/>
          <w:szCs w:val="18"/>
          <w:b w:val="1"/>
          <w:bCs w:val="1"/>
          <w:color w:val="auto"/>
        </w:rPr>
      </w:pPr>
    </w:p>
    <w:p>
      <w:pPr>
        <w:ind w:left="2060" w:hanging="649"/>
        <w:spacing w:after="0"/>
        <w:tabs>
          <w:tab w:leader="none" w:pos="206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the Agreement (Compliance Certificate) is amended and restated in its entirety to</w:t>
      </w:r>
    </w:p>
    <w:p>
      <w:pPr>
        <w:spacing w:after="0" w:line="38" w:lineRule="exact"/>
        <w:rPr>
          <w:rFonts w:ascii="Arial" w:cs="Arial" w:eastAsia="Arial" w:hAnsi="Arial"/>
          <w:sz w:val="16"/>
          <w:szCs w:val="16"/>
          <w:color w:val="auto"/>
        </w:rPr>
      </w:pPr>
    </w:p>
    <w:p>
      <w:pPr>
        <w:ind w:left="140"/>
        <w:spacing w:after="0"/>
        <w:rPr>
          <w:rFonts w:ascii="Arial" w:cs="Arial" w:eastAsia="Arial" w:hAnsi="Arial"/>
          <w:sz w:val="16"/>
          <w:szCs w:val="16"/>
          <w:color w:val="auto"/>
        </w:rPr>
      </w:pPr>
      <w:r>
        <w:rPr>
          <w:rFonts w:ascii="Arial" w:cs="Arial" w:eastAsia="Arial" w:hAnsi="Arial"/>
          <w:sz w:val="18"/>
          <w:szCs w:val="18"/>
          <w:color w:val="auto"/>
        </w:rPr>
        <w:t>read as attached Exhibit D.</w:t>
      </w:r>
    </w:p>
    <w:p>
      <w:pPr>
        <w:spacing w:after="0" w:line="202" w:lineRule="exact"/>
        <w:rPr>
          <w:rFonts w:ascii="Arial" w:cs="Arial" w:eastAsia="Arial" w:hAnsi="Arial"/>
          <w:sz w:val="16"/>
          <w:szCs w:val="16"/>
          <w:color w:val="auto"/>
        </w:rPr>
      </w:pPr>
    </w:p>
    <w:p>
      <w:pPr>
        <w:jc w:val="both"/>
        <w:ind w:left="140" w:right="159" w:firstLine="640"/>
        <w:spacing w:after="0" w:line="249" w:lineRule="auto"/>
        <w:tabs>
          <w:tab w:leader="none" w:pos="14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 agrees that notwithstanding Section 2.4(d) and in lieu of the requirements set forth therein, Borrower may set up a lockbox with JPMorgan Chase with proceeds thereof directed to a deposit account maintained with JPMorgan Chase, provided that a control agreement satisfactory to Bank shall remain in place with respect to such deposit account.</w:t>
      </w:r>
    </w:p>
    <w:p>
      <w:pPr>
        <w:spacing w:after="0" w:line="193" w:lineRule="exact"/>
        <w:rPr>
          <w:rFonts w:ascii="Arial" w:cs="Arial" w:eastAsia="Arial" w:hAnsi="Arial"/>
          <w:sz w:val="18"/>
          <w:szCs w:val="18"/>
          <w:color w:val="auto"/>
        </w:rPr>
      </w:pPr>
    </w:p>
    <w:p>
      <w:pPr>
        <w:ind w:left="1440" w:hanging="660"/>
        <w:spacing w:after="0"/>
        <w:tabs>
          <w:tab w:leader="none" w:pos="1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Borrower has presented the terms of a proposed transaction with *** (“***”), pursuant to which ***</w:t>
      </w:r>
    </w:p>
    <w:p>
      <w:pPr>
        <w:spacing w:after="0" w:line="38" w:lineRule="exact"/>
        <w:rPr>
          <w:rFonts w:ascii="Arial" w:cs="Arial" w:eastAsia="Arial" w:hAnsi="Arial"/>
          <w:sz w:val="16"/>
          <w:szCs w:val="16"/>
          <w:color w:val="auto"/>
        </w:rPr>
      </w:pPr>
    </w:p>
    <w:p>
      <w:pPr>
        <w:jc w:val="both"/>
        <w:ind w:left="140" w:right="159"/>
        <w:spacing w:after="0" w:line="286" w:lineRule="auto"/>
        <w:rPr>
          <w:rFonts w:ascii="Arial" w:cs="Arial" w:eastAsia="Arial" w:hAnsi="Arial"/>
          <w:sz w:val="16"/>
          <w:szCs w:val="16"/>
          <w:color w:val="auto"/>
        </w:rPr>
      </w:pPr>
      <w:r>
        <w:rPr>
          <w:rFonts w:ascii="Arial" w:cs="Arial" w:eastAsia="Arial" w:hAnsi="Arial"/>
          <w:sz w:val="16"/>
          <w:szCs w:val="16"/>
          <w:color w:val="auto"/>
        </w:rPr>
        <w:t>would purchase USAT’s cashless devices and customer financings and lease the same to Borrower’s customers (the “*** Financing”). Borrower has requested, and Bank confirms that it consents to the *** Financing, and that Bank releases its security interest in such devices and customer financings that are purchased by *** concurrent with the purchase thereof pursuant to the terms of the *** Financing as presented to Bank as of the date of this Amendment.</w:t>
      </w:r>
    </w:p>
    <w:p>
      <w:pPr>
        <w:spacing w:after="0" w:line="163" w:lineRule="exact"/>
        <w:rPr>
          <w:rFonts w:ascii="Arial" w:cs="Arial" w:eastAsia="Arial" w:hAnsi="Arial"/>
          <w:sz w:val="16"/>
          <w:szCs w:val="16"/>
          <w:color w:val="auto"/>
        </w:rPr>
      </w:pPr>
    </w:p>
    <w:p>
      <w:pPr>
        <w:jc w:val="both"/>
        <w:ind w:left="140" w:right="159" w:firstLine="640"/>
        <w:spacing w:after="0" w:line="287" w:lineRule="auto"/>
        <w:tabs>
          <w:tab w:leader="none" w:pos="143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162" w:lineRule="exact"/>
        <w:rPr>
          <w:rFonts w:ascii="Arial" w:cs="Arial" w:eastAsia="Arial" w:hAnsi="Arial"/>
          <w:sz w:val="16"/>
          <w:szCs w:val="16"/>
          <w:color w:val="auto"/>
        </w:rPr>
      </w:pPr>
    </w:p>
    <w:p>
      <w:pPr>
        <w:jc w:val="both"/>
        <w:ind w:left="140" w:right="159" w:firstLine="640"/>
        <w:spacing w:after="0" w:line="252"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in all material respects as of the date of this Amendment, and that no Event of Default has occurred and is continuing.</w:t>
      </w:r>
    </w:p>
    <w:p>
      <w:pPr>
        <w:spacing w:after="0" w:line="189" w:lineRule="exact"/>
        <w:rPr>
          <w:rFonts w:ascii="Arial" w:cs="Arial" w:eastAsia="Arial" w:hAnsi="Arial"/>
          <w:sz w:val="18"/>
          <w:szCs w:val="18"/>
          <w:color w:val="auto"/>
        </w:rPr>
      </w:pPr>
    </w:p>
    <w:p>
      <w:pPr>
        <w:ind w:left="140" w:right="159" w:firstLine="640"/>
        <w:spacing w:after="0" w:line="261" w:lineRule="auto"/>
        <w:tabs>
          <w:tab w:leader="none" w:pos="1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181" w:lineRule="exact"/>
        <w:rPr>
          <w:rFonts w:ascii="Arial" w:cs="Arial" w:eastAsia="Arial" w:hAnsi="Arial"/>
          <w:sz w:val="18"/>
          <w:szCs w:val="18"/>
          <w:color w:val="auto"/>
        </w:rPr>
      </w:pPr>
    </w:p>
    <w:p>
      <w:pPr>
        <w:ind w:left="140" w:right="159" w:firstLine="640"/>
        <w:spacing w:after="0" w:line="261"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condition to the effectiveness of this Amendment, Bank shall have received, in form and substance satisfactory to Bank, the following:</w:t>
      </w:r>
    </w:p>
    <w:p>
      <w:pPr>
        <w:spacing w:after="0" w:line="181" w:lineRule="exact"/>
        <w:rPr>
          <w:rFonts w:ascii="Arial" w:cs="Arial" w:eastAsia="Arial" w:hAnsi="Arial"/>
          <w:sz w:val="18"/>
          <w:szCs w:val="18"/>
          <w:color w:val="auto"/>
        </w:rPr>
      </w:pPr>
    </w:p>
    <w:p>
      <w:pPr>
        <w:ind w:left="2680" w:hanging="1269"/>
        <w:spacing w:after="0"/>
        <w:tabs>
          <w:tab w:leader="none" w:pos="2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Amendment, duly executed by Borrower;</w:t>
      </w:r>
    </w:p>
    <w:p>
      <w:pPr>
        <w:spacing w:after="0" w:line="213" w:lineRule="exact"/>
        <w:rPr>
          <w:rFonts w:ascii="Arial" w:cs="Arial" w:eastAsia="Arial" w:hAnsi="Arial"/>
          <w:sz w:val="18"/>
          <w:szCs w:val="18"/>
          <w:color w:val="auto"/>
        </w:rPr>
      </w:pPr>
    </w:p>
    <w:p>
      <w:pPr>
        <w:ind w:left="2680" w:hanging="1269"/>
        <w:spacing w:after="0"/>
        <w:tabs>
          <w:tab w:leader="none" w:pos="2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Affirmation of Guaranty, duly executed by the party thereto;</w:t>
      </w:r>
    </w:p>
    <w:p>
      <w:pPr>
        <w:spacing w:after="0" w:line="213" w:lineRule="exact"/>
        <w:rPr>
          <w:rFonts w:ascii="Arial" w:cs="Arial" w:eastAsia="Arial" w:hAnsi="Arial"/>
          <w:sz w:val="18"/>
          <w:szCs w:val="18"/>
          <w:color w:val="auto"/>
        </w:rPr>
      </w:pPr>
    </w:p>
    <w:p>
      <w:pPr>
        <w:ind w:left="2700" w:hanging="1289"/>
        <w:spacing w:after="0"/>
        <w:tabs>
          <w:tab w:leader="none" w:pos="27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payment of a waiver fee of $25,000 and all Bank Expenses incurred through the date of</w:t>
      </w:r>
    </w:p>
    <w:p>
      <w:pPr>
        <w:spacing w:after="0" w:line="49"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8"/>
          <w:szCs w:val="18"/>
          <w:color w:val="auto"/>
        </w:rPr>
        <w:t>this Amendment; and</w:t>
      </w:r>
    </w:p>
    <w:p>
      <w:pPr>
        <w:spacing w:after="0" w:line="202" w:lineRule="exact"/>
        <w:rPr>
          <w:rFonts w:ascii="Arial" w:cs="Arial" w:eastAsia="Arial" w:hAnsi="Arial"/>
          <w:sz w:val="15"/>
          <w:szCs w:val="15"/>
          <w:color w:val="auto"/>
        </w:rPr>
      </w:pPr>
    </w:p>
    <w:p>
      <w:pPr>
        <w:ind w:left="780" w:right="159" w:firstLine="631"/>
        <w:spacing w:after="0" w:line="261" w:lineRule="auto"/>
        <w:tabs>
          <w:tab w:leader="none" w:pos="2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such other documents, and completion of such other matters, as Bank may reasonably deem necessary or appropriate.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76835</wp:posOffset>
            </wp:positionV>
            <wp:extent cx="554609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46090" cy="2476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41" w:name="page42"/>
    <w:bookmarkEnd w:id="41"/>
    <w:p>
      <w:pPr>
        <w:jc w:val="right"/>
        <w:ind w:right="139"/>
        <w:spacing w:after="0"/>
        <w:rPr>
          <w:sz w:val="20"/>
          <w:szCs w:val="20"/>
          <w:color w:val="auto"/>
        </w:rPr>
      </w:pPr>
      <w:r>
        <w:rPr>
          <w:rFonts w:ascii="Arial" w:cs="Arial" w:eastAsia="Arial" w:hAnsi="Arial"/>
          <w:sz w:val="18"/>
          <w:szCs w:val="18"/>
          <w:color w:val="auto"/>
        </w:rPr>
        <w:t>IN WITNESS WHEREOF, the undersigned have executed this Amendment as of the date first above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186055</wp:posOffset>
            </wp:positionV>
            <wp:extent cx="2756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56535" cy="825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203200</wp:posOffset>
            </wp:positionV>
            <wp:extent cx="27565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56535" cy="825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227965</wp:posOffset>
            </wp:positionV>
            <wp:extent cx="27565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56535" cy="8255"/>
                    </a:xfrm>
                    <a:prstGeom prst="rect">
                      <a:avLst/>
                    </a:prstGeom>
                    <a:noFill/>
                  </pic:spPr>
                </pic:pic>
              </a:graphicData>
            </a:graphic>
          </wp:anchor>
        </w:drawing>
      </w:r>
    </w:p>
    <w:p>
      <w:pPr>
        <w:spacing w:after="0" w:line="34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“Borrower”</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USA TECHNOLOGIES, INC.</w:t>
      </w: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Leland P. Maxwell</w:t>
      </w:r>
    </w:p>
    <w:p>
      <w:pPr>
        <w:spacing w:after="0" w:line="15" w:lineRule="exact"/>
        <w:rPr>
          <w:sz w:val="20"/>
          <w:szCs w:val="20"/>
          <w:color w:val="auto"/>
        </w:rPr>
      </w:pPr>
    </w:p>
    <w:p>
      <w:pPr>
        <w:ind w:left="4220"/>
        <w:spacing w:after="0"/>
        <w:tabs>
          <w:tab w:leader="none" w:pos="5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Leland P. Maxwell</w:t>
      </w:r>
    </w:p>
    <w:p>
      <w:pPr>
        <w:spacing w:after="0" w:line="3" w:lineRule="exact"/>
        <w:rPr>
          <w:sz w:val="20"/>
          <w:szCs w:val="20"/>
          <w:color w:val="auto"/>
        </w:rPr>
      </w:pPr>
    </w:p>
    <w:p>
      <w:pPr>
        <w:ind w:left="4220"/>
        <w:spacing w:after="0"/>
        <w:tabs>
          <w:tab w:leader="none" w:pos="5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Interim CFO</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“Bank”</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HERITAGE BANK OF COMMERCE</w:t>
      </w: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Karla Schrader</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Karla Schrader</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921385</wp:posOffset>
            </wp:positionV>
            <wp:extent cx="554609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46090" cy="2476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2" w:name="page43"/>
    <w:bookmarkEnd w:id="42"/>
    <w:p>
      <w:pPr>
        <w:jc w:val="center"/>
        <w:ind w:right="1300"/>
        <w:spacing w:after="0"/>
        <w:rPr>
          <w:sz w:val="20"/>
          <w:szCs w:val="20"/>
          <w:color w:val="auto"/>
        </w:rPr>
      </w:pPr>
      <w:r>
        <w:rPr>
          <w:rFonts w:ascii="Arial" w:cs="Arial" w:eastAsia="Arial" w:hAnsi="Arial"/>
          <w:sz w:val="18"/>
          <w:szCs w:val="18"/>
          <w:b w:val="1"/>
          <w:bCs w:val="1"/>
          <w:color w:val="auto"/>
        </w:rPr>
        <w:t>EXHIBIT D</w:t>
      </w:r>
    </w:p>
    <w:p>
      <w:pPr>
        <w:spacing w:after="0" w:line="21"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COMPLIANCE CERTIFICATE</w:t>
      </w:r>
    </w:p>
    <w:p>
      <w:pPr>
        <w:sectPr>
          <w:pgSz w:w="11900" w:h="16838" w:orient="portrait"/>
          <w:cols w:equalWidth="0" w:num="1">
            <w:col w:w="10320"/>
          </w:cols>
          <w:pgMar w:left="1440" w:top="358" w:right="139" w:bottom="1440" w:gutter="0" w:footer="0" w:header="0"/>
        </w:sect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HERITAGE BANK OF COMMERCE</w:t>
      </w:r>
    </w:p>
    <w:p>
      <w:pPr>
        <w:spacing w:after="0" w:line="200" w:lineRule="exact"/>
        <w:rPr>
          <w:sz w:val="20"/>
          <w:szCs w:val="20"/>
          <w:color w:val="auto"/>
        </w:rPr>
      </w:pPr>
    </w:p>
    <w:p>
      <w:pPr>
        <w:sectPr>
          <w:pgSz w:w="11900" w:h="16838" w:orient="portrait"/>
          <w:cols w:equalWidth="0" w:num="2">
            <w:col w:w="820" w:space="720"/>
            <w:col w:w="8780"/>
          </w:cols>
          <w:pgMar w:left="1440" w:top="358" w:right="139" w:bottom="1440" w:gutter="0" w:footer="0" w:header="0"/>
          <w:type w:val="continuous"/>
        </w:sectPr>
      </w:pPr>
    </w:p>
    <w:p>
      <w:pPr>
        <w:spacing w:after="0" w:line="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USA TECHNOLOGIES, INC.</w:t>
      </w:r>
    </w:p>
    <w:p>
      <w:pPr>
        <w:spacing w:after="0" w:line="200" w:lineRule="exact"/>
        <w:rPr>
          <w:sz w:val="20"/>
          <w:szCs w:val="20"/>
          <w:color w:val="auto"/>
        </w:rPr>
      </w:pPr>
    </w:p>
    <w:p>
      <w:pPr>
        <w:sectPr>
          <w:pgSz w:w="11900" w:h="16838" w:orient="portrait"/>
          <w:cols w:equalWidth="0" w:num="2">
            <w:col w:w="980" w:space="720"/>
            <w:col w:w="8620"/>
          </w:cols>
          <w:pgMar w:left="1440" w:top="358" w:right="139" w:bottom="1440" w:gutter="0" w:footer="0" w:header="0"/>
          <w:type w:val="continuous"/>
        </w:sectPr>
      </w:pPr>
    </w:p>
    <w:p>
      <w:pPr>
        <w:spacing w:after="0" w:line="3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The undersigned authorized officer of </w:t>
      </w:r>
      <w:r>
        <w:rPr>
          <w:rFonts w:ascii="Arial" w:cs="Arial" w:eastAsia="Arial" w:hAnsi="Arial"/>
          <w:sz w:val="14"/>
          <w:szCs w:val="14"/>
          <w:color w:val="auto"/>
        </w:rPr>
        <w:t>USA TECHNOLOGIES, INC.</w:t>
      </w:r>
      <w:r>
        <w:rPr>
          <w:rFonts w:ascii="Arial" w:cs="Arial" w:eastAsia="Arial" w:hAnsi="Arial"/>
          <w:sz w:val="16"/>
          <w:szCs w:val="16"/>
          <w:color w:val="auto"/>
        </w:rPr>
        <w:t xml:space="preserve"> hereby certifies that in accordance with the</w:t>
      </w:r>
    </w:p>
    <w:p>
      <w:pPr>
        <w:sectPr>
          <w:pgSz w:w="11900" w:h="16838" w:orient="portrait"/>
          <w:cols w:equalWidth="0" w:num="1">
            <w:col w:w="10320"/>
          </w:cols>
          <w:pgMar w:left="1440" w:top="358" w:right="139" w:bottom="1440" w:gutter="0" w:footer="0" w:header="0"/>
          <w:type w:val="continuous"/>
        </w:sectPr>
      </w:pPr>
    </w:p>
    <w:p>
      <w:pPr>
        <w:spacing w:after="0" w:line="38" w:lineRule="exact"/>
        <w:rPr>
          <w:sz w:val="20"/>
          <w:szCs w:val="20"/>
          <w:color w:val="auto"/>
        </w:rPr>
      </w:pPr>
    </w:p>
    <w:p>
      <w:pPr>
        <w:ind w:left="140" w:right="1440"/>
        <w:spacing w:after="0" w:line="274" w:lineRule="auto"/>
        <w:rPr>
          <w:sz w:val="20"/>
          <w:szCs w:val="20"/>
          <w:color w:val="auto"/>
        </w:rPr>
      </w:pPr>
      <w:r>
        <w:rPr>
          <w:rFonts w:ascii="Arial" w:cs="Arial" w:eastAsia="Arial" w:hAnsi="Arial"/>
          <w:sz w:val="16"/>
          <w:szCs w:val="16"/>
          <w:color w:val="auto"/>
        </w:rPr>
        <w:t>terms and conditions of the Loan and Security Agreement between Borrower and Bank (the “Agreement”), (i) Borrower is in complete compliance for the period ending _______________ with all required covenants except as noted below and</w:t>
      </w:r>
    </w:p>
    <w:p>
      <w:pPr>
        <w:spacing w:after="0" w:line="1" w:lineRule="exact"/>
        <w:rPr>
          <w:sz w:val="20"/>
          <w:szCs w:val="20"/>
          <w:color w:val="auto"/>
        </w:rPr>
      </w:pPr>
    </w:p>
    <w:p>
      <w:pPr>
        <w:jc w:val="both"/>
        <w:ind w:left="140" w:right="1440" w:firstLine="8"/>
        <w:spacing w:after="0" w:line="244" w:lineRule="auto"/>
        <w:tabs>
          <w:tab w:leader="none" w:pos="4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representations and warranties of Borrower stated in the Agreement are true and correct in all material respects as of the date hereof; provided that those representations and warranties expressly referring to another date shall be true, correct, and complete in all material respects as of such date.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 footnotes.</w:t>
      </w:r>
    </w:p>
    <w:p>
      <w:pPr>
        <w:spacing w:after="0" w:line="193"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w w:val="82"/>
              </w:rPr>
              <w:t>Reporting Covenant</w:t>
            </w: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87"/>
              </w:rPr>
              <w:t>Required</w:t>
            </w: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4"/>
          </w:tcPr>
          <w:p>
            <w:pPr>
              <w:ind w:left="40"/>
              <w:spacing w:after="0"/>
              <w:rPr>
                <w:sz w:val="20"/>
                <w:szCs w:val="20"/>
                <w:color w:val="auto"/>
              </w:rPr>
            </w:pPr>
            <w:r>
              <w:rPr>
                <w:rFonts w:ascii="Arial" w:cs="Arial" w:eastAsia="Arial" w:hAnsi="Arial"/>
                <w:sz w:val="18"/>
                <w:szCs w:val="18"/>
                <w:b w:val="1"/>
                <w:bCs w:val="1"/>
                <w:color w:val="auto"/>
              </w:rPr>
              <w:t>Complies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9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80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Borrowing Base Certificate</w:t>
            </w:r>
          </w:p>
        </w:tc>
        <w:tc>
          <w:tcPr>
            <w:tcW w:w="120" w:type="dxa"/>
            <w:vAlign w:val="bottom"/>
          </w:tcPr>
          <w:p>
            <w:pPr>
              <w:spacing w:after="0"/>
              <w:rPr>
                <w:sz w:val="24"/>
                <w:szCs w:val="24"/>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w w:val="97"/>
              </w:rPr>
              <w:t>Monthly within 25 days of month</w:t>
            </w:r>
          </w:p>
        </w:tc>
        <w:tc>
          <w:tcPr>
            <w:tcW w:w="440" w:type="dxa"/>
            <w:vAlign w:val="bottom"/>
          </w:tcPr>
          <w:p>
            <w:pPr>
              <w:ind w:left="180"/>
              <w:spacing w:after="0"/>
              <w:rPr>
                <w:sz w:val="20"/>
                <w:szCs w:val="20"/>
                <w:color w:val="auto"/>
              </w:rPr>
            </w:pPr>
            <w:r>
              <w:rPr>
                <w:rFonts w:ascii="Arial" w:cs="Arial" w:eastAsia="Arial" w:hAnsi="Arial"/>
                <w:sz w:val="18"/>
                <w:szCs w:val="18"/>
                <w:color w:val="auto"/>
                <w:w w:val="77"/>
              </w:rPr>
              <w:t>Yes</w:t>
            </w:r>
          </w:p>
        </w:tc>
        <w:tc>
          <w:tcPr>
            <w:tcW w:w="40" w:type="dxa"/>
            <w:vAlign w:val="bottom"/>
          </w:tcPr>
          <w:p>
            <w:pPr>
              <w:spacing w:after="0"/>
              <w:rPr>
                <w:sz w:val="24"/>
                <w:szCs w:val="24"/>
                <w:color w:val="auto"/>
              </w:rPr>
            </w:pP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No</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end</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Quarterly financial statements with churn report and</w:t>
            </w:r>
          </w:p>
        </w:tc>
        <w:tc>
          <w:tcPr>
            <w:tcW w:w="1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rPr>
              <w:t>Quarterly within 50 days of</w:t>
            </w:r>
          </w:p>
        </w:tc>
        <w:tc>
          <w:tcPr>
            <w:tcW w:w="440" w:type="dxa"/>
            <w:vAlign w:val="bottom"/>
          </w:tcPr>
          <w:p>
            <w:pPr>
              <w:ind w:left="180"/>
              <w:spacing w:after="0"/>
              <w:rPr>
                <w:sz w:val="20"/>
                <w:szCs w:val="20"/>
                <w:color w:val="auto"/>
              </w:rPr>
            </w:pPr>
            <w:r>
              <w:rPr>
                <w:rFonts w:ascii="Arial" w:cs="Arial" w:eastAsia="Arial" w:hAnsi="Arial"/>
                <w:sz w:val="18"/>
                <w:szCs w:val="18"/>
                <w:color w:val="auto"/>
                <w:w w:val="77"/>
              </w:rPr>
              <w:t>Yes</w:t>
            </w:r>
          </w:p>
        </w:tc>
        <w:tc>
          <w:tcPr>
            <w:tcW w:w="40" w:type="dxa"/>
            <w:vAlign w:val="bottom"/>
          </w:tcPr>
          <w:p>
            <w:pPr>
              <w:spacing w:after="0"/>
              <w:rPr>
                <w:sz w:val="18"/>
                <w:szCs w:val="18"/>
                <w:color w:val="auto"/>
              </w:rPr>
            </w:pP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No</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Compliance Certificate</w:t>
            </w: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quarter end</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Annual financial statements (CPA Audited)</w:t>
            </w:r>
          </w:p>
        </w:tc>
        <w:tc>
          <w:tcPr>
            <w:tcW w:w="1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rPr>
              <w:t>FYE within 120 days</w:t>
            </w:r>
          </w:p>
        </w:tc>
        <w:tc>
          <w:tcPr>
            <w:tcW w:w="440" w:type="dxa"/>
            <w:vAlign w:val="bottom"/>
          </w:tcPr>
          <w:p>
            <w:pPr>
              <w:ind w:left="180"/>
              <w:spacing w:after="0"/>
              <w:rPr>
                <w:sz w:val="20"/>
                <w:szCs w:val="20"/>
                <w:color w:val="auto"/>
              </w:rPr>
            </w:pPr>
            <w:r>
              <w:rPr>
                <w:rFonts w:ascii="Arial" w:cs="Arial" w:eastAsia="Arial" w:hAnsi="Arial"/>
                <w:sz w:val="18"/>
                <w:szCs w:val="18"/>
                <w:color w:val="auto"/>
                <w:w w:val="77"/>
              </w:rPr>
              <w:t>Yes</w:t>
            </w:r>
          </w:p>
        </w:tc>
        <w:tc>
          <w:tcPr>
            <w:tcW w:w="40" w:type="dxa"/>
            <w:vAlign w:val="bottom"/>
          </w:tcPr>
          <w:p>
            <w:pPr>
              <w:spacing w:after="0"/>
              <w:rPr>
                <w:sz w:val="18"/>
                <w:szCs w:val="18"/>
                <w:color w:val="auto"/>
              </w:rPr>
            </w:pP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No</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10K and 10Q</w:t>
            </w:r>
          </w:p>
        </w:tc>
        <w:tc>
          <w:tcPr>
            <w:tcW w:w="1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rPr>
              <w:t>Within 5 days of filing</w:t>
            </w:r>
          </w:p>
        </w:tc>
        <w:tc>
          <w:tcPr>
            <w:tcW w:w="440" w:type="dxa"/>
            <w:vAlign w:val="bottom"/>
          </w:tcPr>
          <w:p>
            <w:pPr>
              <w:ind w:left="180"/>
              <w:spacing w:after="0"/>
              <w:rPr>
                <w:sz w:val="20"/>
                <w:szCs w:val="20"/>
                <w:color w:val="auto"/>
              </w:rPr>
            </w:pPr>
            <w:r>
              <w:rPr>
                <w:rFonts w:ascii="Arial" w:cs="Arial" w:eastAsia="Arial" w:hAnsi="Arial"/>
                <w:sz w:val="18"/>
                <w:szCs w:val="18"/>
                <w:color w:val="auto"/>
                <w:w w:val="77"/>
              </w:rPr>
              <w:t>Yes</w:t>
            </w:r>
          </w:p>
        </w:tc>
        <w:tc>
          <w:tcPr>
            <w:tcW w:w="40" w:type="dxa"/>
            <w:vAlign w:val="bottom"/>
          </w:tcPr>
          <w:p>
            <w:pPr>
              <w:spacing w:after="0"/>
              <w:rPr>
                <w:sz w:val="18"/>
                <w:szCs w:val="18"/>
                <w:color w:val="auto"/>
              </w:rPr>
            </w:pP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No</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A/R Audit</w:t>
            </w: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Semi-annually</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7"/>
              </w:rPr>
              <w:t>Yes</w:t>
            </w:r>
          </w:p>
        </w:tc>
        <w:tc>
          <w:tcPr>
            <w:tcW w:w="40" w:type="dxa"/>
            <w:vAlign w:val="bottom"/>
          </w:tcPr>
          <w:p>
            <w:pPr>
              <w:spacing w:after="0"/>
              <w:rPr>
                <w:sz w:val="18"/>
                <w:szCs w:val="18"/>
                <w:color w:val="auto"/>
              </w:rPr>
            </w:pP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No</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IP Notices</w:t>
            </w:r>
          </w:p>
        </w:tc>
        <w:tc>
          <w:tcPr>
            <w:tcW w:w="12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rPr>
              <w:t>As required under Section 6.10</w:t>
            </w:r>
          </w:p>
        </w:tc>
        <w:tc>
          <w:tcPr>
            <w:tcW w:w="440" w:type="dxa"/>
            <w:vAlign w:val="bottom"/>
          </w:tcPr>
          <w:p>
            <w:pPr>
              <w:ind w:left="180"/>
              <w:spacing w:after="0"/>
              <w:rPr>
                <w:sz w:val="20"/>
                <w:szCs w:val="20"/>
                <w:color w:val="auto"/>
              </w:rPr>
            </w:pPr>
            <w:r>
              <w:rPr>
                <w:rFonts w:ascii="Arial" w:cs="Arial" w:eastAsia="Arial" w:hAnsi="Arial"/>
                <w:sz w:val="18"/>
                <w:szCs w:val="18"/>
                <w:color w:val="auto"/>
                <w:w w:val="77"/>
              </w:rPr>
              <w:t>Yes</w:t>
            </w:r>
          </w:p>
        </w:tc>
        <w:tc>
          <w:tcPr>
            <w:tcW w:w="40" w:type="dxa"/>
            <w:vAlign w:val="bottom"/>
          </w:tcPr>
          <w:p>
            <w:pPr>
              <w:spacing w:after="0"/>
              <w:rPr>
                <w:sz w:val="19"/>
                <w:szCs w:val="19"/>
                <w:color w:val="auto"/>
              </w:rPr>
            </w:pP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No</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8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b w:val="1"/>
                <w:bCs w:val="1"/>
                <w:color w:val="auto"/>
                <w:w w:val="86"/>
              </w:rPr>
              <w:t>Financial Covenant</w:t>
            </w: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87"/>
              </w:rPr>
              <w:t>Required</w:t>
            </w:r>
          </w:p>
        </w:tc>
        <w:tc>
          <w:tcPr>
            <w:tcW w:w="7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w w:val="87"/>
              </w:rPr>
              <w:t>Actual</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4"/>
          </w:tcPr>
          <w:p>
            <w:pPr>
              <w:ind w:left="40"/>
              <w:spacing w:after="0"/>
              <w:rPr>
                <w:sz w:val="20"/>
                <w:szCs w:val="20"/>
                <w:color w:val="auto"/>
              </w:rPr>
            </w:pPr>
            <w:r>
              <w:rPr>
                <w:rFonts w:ascii="Arial" w:cs="Arial" w:eastAsia="Arial" w:hAnsi="Arial"/>
                <w:sz w:val="18"/>
                <w:szCs w:val="18"/>
                <w:b w:val="1"/>
                <w:bCs w:val="1"/>
                <w:color w:val="auto"/>
              </w:rPr>
              <w:t>Complies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800" w:type="dxa"/>
            <w:vAlign w:val="bottom"/>
          </w:tcPr>
          <w:p>
            <w:pPr>
              <w:spacing w:after="0"/>
              <w:rPr>
                <w:sz w:val="24"/>
                <w:szCs w:val="24"/>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Maximum Churn</w:t>
            </w:r>
          </w:p>
        </w:tc>
        <w:tc>
          <w:tcPr>
            <w:tcW w:w="1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5% / *** min.</w:t>
            </w:r>
          </w:p>
        </w:tc>
        <w:tc>
          <w:tcPr>
            <w:tcW w:w="10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440" w:type="dxa"/>
            <w:vAlign w:val="bottom"/>
          </w:tcPr>
          <w:p>
            <w:pPr>
              <w:ind w:left="180"/>
              <w:spacing w:after="0"/>
              <w:rPr>
                <w:sz w:val="20"/>
                <w:szCs w:val="20"/>
                <w:color w:val="auto"/>
              </w:rPr>
            </w:pPr>
            <w:r>
              <w:rPr>
                <w:rFonts w:ascii="Arial" w:cs="Arial" w:eastAsia="Arial" w:hAnsi="Arial"/>
                <w:sz w:val="18"/>
                <w:szCs w:val="18"/>
                <w:color w:val="auto"/>
                <w:w w:val="77"/>
              </w:rPr>
              <w:t>Yes</w:t>
            </w:r>
          </w:p>
        </w:tc>
        <w:tc>
          <w:tcPr>
            <w:tcW w:w="40" w:type="dxa"/>
            <w:vAlign w:val="bottom"/>
          </w:tcPr>
          <w:p>
            <w:pPr>
              <w:spacing w:after="0"/>
              <w:rPr>
                <w:sz w:val="24"/>
                <w:szCs w:val="24"/>
                <w:color w:val="auto"/>
              </w:rPr>
            </w:pP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No</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connections</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Minimum Adjusted EBITDA</w:t>
            </w: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See Section</w:t>
            </w:r>
          </w:p>
        </w:tc>
        <w:tc>
          <w:tcPr>
            <w:tcW w:w="10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440" w:type="dxa"/>
            <w:vAlign w:val="bottom"/>
          </w:tcPr>
          <w:p>
            <w:pPr>
              <w:ind w:left="180"/>
              <w:spacing w:after="0"/>
              <w:rPr>
                <w:sz w:val="20"/>
                <w:szCs w:val="20"/>
                <w:color w:val="auto"/>
              </w:rPr>
            </w:pPr>
            <w:r>
              <w:rPr>
                <w:rFonts w:ascii="Arial" w:cs="Arial" w:eastAsia="Arial" w:hAnsi="Arial"/>
                <w:sz w:val="18"/>
                <w:szCs w:val="18"/>
                <w:color w:val="auto"/>
                <w:w w:val="77"/>
              </w:rPr>
              <w:t>Yes</w:t>
            </w:r>
          </w:p>
        </w:tc>
        <w:tc>
          <w:tcPr>
            <w:tcW w:w="40" w:type="dxa"/>
            <w:vAlign w:val="bottom"/>
          </w:tcPr>
          <w:p>
            <w:pPr>
              <w:spacing w:after="0"/>
              <w:rPr>
                <w:sz w:val="18"/>
                <w:szCs w:val="18"/>
                <w:color w:val="auto"/>
              </w:rPr>
            </w:pP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No</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6.9(b)</w:t>
            </w: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00" w:type="dxa"/>
            <w:vAlign w:val="bottom"/>
          </w:tcPr>
          <w:p>
            <w:pPr>
              <w:spacing w:after="0"/>
              <w:rPr>
                <w:sz w:val="24"/>
                <w:szCs w:val="24"/>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Minimum Cash at Bank</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440" w:type="dxa"/>
            <w:vAlign w:val="bottom"/>
          </w:tcPr>
          <w:p>
            <w:pPr>
              <w:ind w:left="180"/>
              <w:spacing w:after="0"/>
              <w:rPr>
                <w:sz w:val="20"/>
                <w:szCs w:val="20"/>
                <w:color w:val="auto"/>
              </w:rPr>
            </w:pPr>
            <w:r>
              <w:rPr>
                <w:rFonts w:ascii="Arial" w:cs="Arial" w:eastAsia="Arial" w:hAnsi="Arial"/>
                <w:sz w:val="18"/>
                <w:szCs w:val="18"/>
                <w:color w:val="auto"/>
                <w:w w:val="77"/>
              </w:rPr>
              <w:t>Yes</w:t>
            </w:r>
          </w:p>
        </w:tc>
        <w:tc>
          <w:tcPr>
            <w:tcW w:w="40" w:type="dxa"/>
            <w:vAlign w:val="bottom"/>
          </w:tcPr>
          <w:p>
            <w:pPr>
              <w:spacing w:after="0"/>
              <w:rPr>
                <w:sz w:val="24"/>
                <w:szCs w:val="24"/>
                <w:color w:val="auto"/>
              </w:rPr>
            </w:pP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No</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800" w:type="dxa"/>
            <w:vAlign w:val="bottom"/>
            <w:vMerge w:val="restart"/>
          </w:tcPr>
          <w:p>
            <w:pPr>
              <w:spacing w:after="0"/>
              <w:rPr>
                <w:sz w:val="24"/>
                <w:szCs w:val="24"/>
                <w:color w:val="auto"/>
              </w:rPr>
            </w:pPr>
          </w:p>
        </w:tc>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Comments Regarding Exceptions: </w:t>
            </w:r>
            <w:r>
              <w:rPr>
                <w:rFonts w:ascii="Arial" w:cs="Arial" w:eastAsia="Arial" w:hAnsi="Arial"/>
                <w:sz w:val="18"/>
                <w:szCs w:val="18"/>
                <w:color w:val="auto"/>
              </w:rPr>
              <w:t>See Attached.</w:t>
            </w:r>
          </w:p>
        </w:tc>
        <w:tc>
          <w:tcPr>
            <w:tcW w:w="120" w:type="dxa"/>
            <w:vAlign w:val="bottom"/>
          </w:tcPr>
          <w:p>
            <w:pPr>
              <w:spacing w:after="0"/>
              <w:rPr>
                <w:sz w:val="24"/>
                <w:szCs w:val="2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BANK USE ONLY</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00" w:type="dxa"/>
            <w:vAlign w:val="bottom"/>
            <w:vMerge w:val="continue"/>
          </w:tcPr>
          <w:p>
            <w:pPr>
              <w:spacing w:after="0"/>
              <w:rPr>
                <w:sz w:val="14"/>
                <w:szCs w:val="14"/>
                <w:color w:val="auto"/>
              </w:rPr>
            </w:pPr>
          </w:p>
        </w:tc>
        <w:tc>
          <w:tcPr>
            <w:tcW w:w="4400" w:type="dxa"/>
            <w:vAlign w:val="bottom"/>
            <w:gridSpan w:val="2"/>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Received by:</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Sincerely,</w:t>
            </w:r>
          </w:p>
        </w:tc>
        <w:tc>
          <w:tcPr>
            <w:tcW w:w="120" w:type="dxa"/>
            <w:vAlign w:val="bottom"/>
            <w:tcBorders>
              <w:lef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500" w:type="dxa"/>
            <w:vAlign w:val="bottom"/>
            <w:gridSpan w:val="7"/>
          </w:tcPr>
          <w:p>
            <w:pPr>
              <w:ind w:left="40"/>
              <w:spacing w:after="0"/>
              <w:rPr>
                <w:sz w:val="20"/>
                <w:szCs w:val="20"/>
                <w:color w:val="auto"/>
              </w:rPr>
            </w:pPr>
            <w:r>
              <w:rPr>
                <w:rFonts w:ascii="Arial" w:cs="Arial" w:eastAsia="Arial" w:hAnsi="Arial"/>
                <w:sz w:val="18"/>
                <w:szCs w:val="18"/>
                <w:color w:val="auto"/>
              </w:rPr>
              <w:t>AUTHORIZED SIGNER</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Date:</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5"/>
        </w:trPr>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Verified:</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20" w:type="dxa"/>
            <w:vAlign w:val="bottom"/>
            <w:tcBorders>
              <w:lef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500" w:type="dxa"/>
            <w:vAlign w:val="bottom"/>
            <w:gridSpan w:val="7"/>
          </w:tcPr>
          <w:p>
            <w:pPr>
              <w:ind w:left="40"/>
              <w:spacing w:after="0"/>
              <w:rPr>
                <w:sz w:val="20"/>
                <w:szCs w:val="20"/>
                <w:color w:val="auto"/>
              </w:rPr>
            </w:pPr>
            <w:r>
              <w:rPr>
                <w:rFonts w:ascii="Arial" w:cs="Arial" w:eastAsia="Arial" w:hAnsi="Arial"/>
                <w:sz w:val="18"/>
                <w:szCs w:val="18"/>
                <w:color w:val="auto"/>
              </w:rPr>
              <w:t>AUTHORIZED SIGNER</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5"/>
        </w:trPr>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Date:</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TITLE</w:t>
            </w:r>
          </w:p>
        </w:tc>
        <w:tc>
          <w:tcPr>
            <w:tcW w:w="120" w:type="dxa"/>
            <w:vAlign w:val="bottom"/>
            <w:tcBorders>
              <w:left w:val="single" w:sz="8" w:color="auto"/>
            </w:tcBorders>
          </w:tcPr>
          <w:p>
            <w:pPr>
              <w:spacing w:after="0"/>
              <w:rPr>
                <w:sz w:val="22"/>
                <w:szCs w:val="22"/>
                <w:color w:val="auto"/>
              </w:rPr>
            </w:pPr>
          </w:p>
        </w:tc>
        <w:tc>
          <w:tcPr>
            <w:tcW w:w="1460" w:type="dxa"/>
            <w:vAlign w:val="bottom"/>
            <w:gridSpan w:val="2"/>
            <w:vMerge w:val="restart"/>
          </w:tcPr>
          <w:p>
            <w:pPr>
              <w:spacing w:after="0"/>
              <w:rPr>
                <w:sz w:val="20"/>
                <w:szCs w:val="20"/>
                <w:color w:val="auto"/>
              </w:rPr>
            </w:pPr>
            <w:r>
              <w:rPr>
                <w:rFonts w:ascii="Arial" w:cs="Arial" w:eastAsia="Arial" w:hAnsi="Arial"/>
                <w:sz w:val="18"/>
                <w:szCs w:val="18"/>
                <w:color w:val="auto"/>
                <w:w w:val="95"/>
              </w:rPr>
              <w:t>Compliance Status</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3"/>
            <w:vMerge w:val="restart"/>
          </w:tcPr>
          <w:p>
            <w:pPr>
              <w:ind w:left="420"/>
              <w:spacing w:after="0"/>
              <w:rPr>
                <w:sz w:val="20"/>
                <w:szCs w:val="20"/>
                <w:color w:val="auto"/>
              </w:rPr>
            </w:pPr>
            <w:r>
              <w:rPr>
                <w:rFonts w:ascii="Arial" w:cs="Arial" w:eastAsia="Arial" w:hAnsi="Arial"/>
                <w:sz w:val="18"/>
                <w:szCs w:val="18"/>
                <w:color w:val="auto"/>
              </w:rPr>
              <w:t>Yes</w:t>
            </w:r>
          </w:p>
        </w:tc>
        <w:tc>
          <w:tcPr>
            <w:tcW w:w="900" w:type="dxa"/>
            <w:vAlign w:val="bottom"/>
            <w:vMerge w:val="restart"/>
          </w:tcPr>
          <w:p>
            <w:pPr>
              <w:ind w:left="2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2"/>
        </w:trPr>
        <w:tc>
          <w:tcPr>
            <w:tcW w:w="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DATE</w:t>
            </w:r>
          </w:p>
        </w:tc>
        <w:tc>
          <w:tcPr>
            <w:tcW w:w="120" w:type="dxa"/>
            <w:vAlign w:val="bottom"/>
            <w:tcBorders>
              <w:left w:val="single" w:sz="8" w:color="auto"/>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86"/>
        </w:trPr>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1440" w:top="358" w:right="139" w:bottom="1440" w:gutter="0" w:footer="0" w:header="0"/>
          <w:type w:val="continuous"/>
        </w:sectPr>
      </w:pPr>
    </w:p>
    <w:bookmarkStart w:id="43" w:name="page44"/>
    <w:bookmarkEnd w:id="43"/>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14"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CERTIFICATION PURSUANT TO SECTION 302 OF THE SARBANES-OXLEY ACT OF 2002 (18 U.S.C. SECTION 1350)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14" w:lineRule="exact"/>
        <w:rPr>
          <w:sz w:val="20"/>
          <w:szCs w:val="20"/>
          <w:color w:val="auto"/>
        </w:rPr>
      </w:pPr>
    </w:p>
    <w:p>
      <w:pPr>
        <w:ind w:left="500" w:hanging="500"/>
        <w:spacing w:after="0" w:line="207" w:lineRule="exact"/>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213" w:lineRule="exact"/>
        <w:rPr>
          <w:rFonts w:ascii="Arial" w:cs="Arial" w:eastAsia="Arial" w:hAnsi="Arial"/>
          <w:sz w:val="18"/>
          <w:szCs w:val="18"/>
          <w:color w:val="auto"/>
        </w:rPr>
      </w:pPr>
    </w:p>
    <w:p>
      <w:pPr>
        <w:jc w:val="both"/>
        <w:ind w:left="440" w:right="20" w:hanging="440"/>
        <w:spacing w:after="0" w:line="252"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440" w:right="20" w:hanging="440"/>
        <w:spacing w:after="0" w:line="252"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89" w:lineRule="exact"/>
        <w:rPr>
          <w:rFonts w:ascii="Arial" w:cs="Arial" w:eastAsia="Arial" w:hAnsi="Arial"/>
          <w:sz w:val="18"/>
          <w:szCs w:val="18"/>
          <w:color w:val="auto"/>
        </w:rPr>
      </w:pPr>
    </w:p>
    <w:p>
      <w:pPr>
        <w:jc w:val="both"/>
        <w:ind w:left="440" w:right="20" w:hanging="440"/>
        <w:spacing w:after="0" w:line="214" w:lineRule="exact"/>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for the registrant and have:</w:t>
      </w:r>
    </w:p>
    <w:p>
      <w:pPr>
        <w:spacing w:after="0" w:line="200" w:lineRule="exact"/>
        <w:rPr>
          <w:rFonts w:ascii="Arial" w:cs="Arial" w:eastAsia="Arial" w:hAnsi="Arial"/>
          <w:sz w:val="16"/>
          <w:szCs w:val="16"/>
          <w:color w:val="auto"/>
        </w:rPr>
      </w:pPr>
    </w:p>
    <w:p>
      <w:pPr>
        <w:jc w:val="both"/>
        <w:ind w:left="1260" w:right="20" w:hanging="628"/>
        <w:spacing w:after="0" w:line="249" w:lineRule="auto"/>
        <w:tabs>
          <w:tab w:leader="none" w:pos="12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1260" w:right="20" w:hanging="628"/>
        <w:spacing w:after="0" w:line="249" w:lineRule="auto"/>
        <w:tabs>
          <w:tab w:leader="none" w:pos="128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jc w:val="both"/>
        <w:ind w:left="1260" w:right="20" w:hanging="628"/>
        <w:spacing w:after="0" w:line="252" w:lineRule="auto"/>
        <w:tabs>
          <w:tab w:leader="none" w:pos="12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9" w:lineRule="exact"/>
        <w:rPr>
          <w:rFonts w:ascii="Arial" w:cs="Arial" w:eastAsia="Arial" w:hAnsi="Arial"/>
          <w:sz w:val="18"/>
          <w:szCs w:val="18"/>
          <w:color w:val="auto"/>
        </w:rPr>
      </w:pPr>
    </w:p>
    <w:p>
      <w:pPr>
        <w:jc w:val="both"/>
        <w:ind w:left="1260" w:right="20" w:hanging="628"/>
        <w:spacing w:after="0" w:line="249" w:lineRule="auto"/>
        <w:tabs>
          <w:tab w:leader="none" w:pos="128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93" w:lineRule="exact"/>
        <w:rPr>
          <w:rFonts w:ascii="Arial" w:cs="Arial" w:eastAsia="Arial" w:hAnsi="Arial"/>
          <w:sz w:val="18"/>
          <w:szCs w:val="18"/>
          <w:color w:val="auto"/>
        </w:rPr>
      </w:pPr>
    </w:p>
    <w:p>
      <w:pPr>
        <w:jc w:val="both"/>
        <w:ind w:left="440" w:right="20" w:hanging="440"/>
        <w:spacing w:after="0" w:line="252"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89" w:lineRule="exact"/>
        <w:rPr>
          <w:rFonts w:ascii="Arial" w:cs="Arial" w:eastAsia="Arial" w:hAnsi="Arial"/>
          <w:sz w:val="18"/>
          <w:szCs w:val="18"/>
          <w:color w:val="auto"/>
        </w:rPr>
      </w:pPr>
    </w:p>
    <w:p>
      <w:pPr>
        <w:jc w:val="both"/>
        <w:ind w:left="1260" w:right="20" w:hanging="628"/>
        <w:spacing w:after="0" w:line="252" w:lineRule="auto"/>
        <w:tabs>
          <w:tab w:leader="none" w:pos="12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89" w:lineRule="exact"/>
        <w:rPr>
          <w:rFonts w:ascii="Arial" w:cs="Arial" w:eastAsia="Arial" w:hAnsi="Arial"/>
          <w:sz w:val="18"/>
          <w:szCs w:val="18"/>
          <w:color w:val="auto"/>
        </w:rPr>
      </w:pPr>
    </w:p>
    <w:p>
      <w:pPr>
        <w:ind w:left="1260" w:right="20" w:hanging="628"/>
        <w:spacing w:after="0" w:line="261" w:lineRule="auto"/>
        <w:tabs>
          <w:tab w:leader="none" w:pos="128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Date: February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0" w:type="dxa"/>
            <w:vAlign w:val="bottom"/>
          </w:tcPr>
          <w:p>
            <w:pPr>
              <w:spacing w:after="0"/>
              <w:rPr>
                <w:sz w:val="19"/>
                <w:szCs w:val="19"/>
                <w:color w:val="auto"/>
              </w:rPr>
            </w:pPr>
          </w:p>
        </w:tc>
      </w:tr>
      <w:tr>
        <w:trPr>
          <w:trHeight w:val="192"/>
        </w:trPr>
        <w:tc>
          <w:tcPr>
            <w:tcW w:w="4540" w:type="dxa"/>
            <w:vAlign w:val="bottom"/>
          </w:tcPr>
          <w:p>
            <w:pPr>
              <w:spacing w:after="0"/>
              <w:rPr>
                <w:sz w:val="16"/>
                <w:szCs w:val="16"/>
                <w:color w:val="auto"/>
              </w:rPr>
            </w:pPr>
          </w:p>
        </w:tc>
        <w:tc>
          <w:tcPr>
            <w:tcW w:w="4520" w:type="dxa"/>
            <w:vAlign w:val="bottom"/>
          </w:tcPr>
          <w:p>
            <w:pPr>
              <w:spacing w:after="0" w:line="192" w:lineRule="exact"/>
              <w:rPr>
                <w:sz w:val="20"/>
                <w:szCs w:val="20"/>
                <w:color w:val="auto"/>
              </w:rPr>
            </w:pPr>
            <w:r>
              <w:rPr>
                <w:rFonts w:ascii="Arial" w:cs="Arial" w:eastAsia="Arial" w:hAnsi="Arial"/>
                <w:sz w:val="18"/>
                <w:szCs w:val="18"/>
                <w:color w:val="auto"/>
              </w:rPr>
              <w:t>Stephen P. Herbert</w:t>
            </w:r>
          </w:p>
        </w:tc>
        <w:tc>
          <w:tcPr>
            <w:tcW w:w="20" w:type="dxa"/>
            <w:vAlign w:val="bottom"/>
          </w:tcPr>
          <w:p>
            <w:pPr>
              <w:spacing w:after="0"/>
              <w:rPr>
                <w:sz w:val="16"/>
                <w:szCs w:val="16"/>
                <w:color w:val="auto"/>
              </w:rPr>
            </w:pPr>
          </w:p>
        </w:tc>
      </w:tr>
      <w:tr>
        <w:trPr>
          <w:trHeight w:val="222"/>
        </w:trPr>
        <w:tc>
          <w:tcPr>
            <w:tcW w:w="45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19"/>
                <w:szCs w:val="19"/>
                <w:color w:val="auto"/>
              </w:rPr>
            </w:pPr>
          </w:p>
        </w:tc>
      </w:tr>
      <w:tr>
        <w:trPr>
          <w:trHeight w:val="75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21" w:right="1399" w:bottom="1440" w:gutter="0" w:footer="0" w:header="0"/>
        </w:sectPr>
      </w:pPr>
    </w:p>
    <w:bookmarkStart w:id="44" w:name="page45"/>
    <w:bookmarkEnd w:id="44"/>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14"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CERTIFICATION PURSUANT TO SECTION 302 OF THE SARBANES-OXLEY ACT OF 2002 (18 U.S.C. SECTION 1350)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Leland P. Maxwell, certify that:</w:t>
      </w:r>
    </w:p>
    <w:p>
      <w:pPr>
        <w:spacing w:after="0" w:line="214" w:lineRule="exact"/>
        <w:rPr>
          <w:sz w:val="20"/>
          <w:szCs w:val="20"/>
          <w:color w:val="auto"/>
        </w:rPr>
      </w:pPr>
    </w:p>
    <w:p>
      <w:pPr>
        <w:ind w:left="500" w:hanging="500"/>
        <w:spacing w:after="0" w:line="207" w:lineRule="exact"/>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213" w:lineRule="exact"/>
        <w:rPr>
          <w:rFonts w:ascii="Arial" w:cs="Arial" w:eastAsia="Arial" w:hAnsi="Arial"/>
          <w:sz w:val="18"/>
          <w:szCs w:val="18"/>
          <w:color w:val="auto"/>
        </w:rPr>
      </w:pPr>
    </w:p>
    <w:p>
      <w:pPr>
        <w:jc w:val="both"/>
        <w:ind w:left="440" w:right="20" w:hanging="440"/>
        <w:spacing w:after="0" w:line="252"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440" w:right="20" w:hanging="440"/>
        <w:spacing w:after="0" w:line="252"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89" w:lineRule="exact"/>
        <w:rPr>
          <w:rFonts w:ascii="Arial" w:cs="Arial" w:eastAsia="Arial" w:hAnsi="Arial"/>
          <w:sz w:val="18"/>
          <w:szCs w:val="18"/>
          <w:color w:val="auto"/>
        </w:rPr>
      </w:pPr>
    </w:p>
    <w:p>
      <w:pPr>
        <w:jc w:val="both"/>
        <w:ind w:left="440" w:right="20" w:hanging="440"/>
        <w:spacing w:after="0" w:line="214" w:lineRule="exact"/>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for the registrant and have:</w:t>
      </w:r>
    </w:p>
    <w:p>
      <w:pPr>
        <w:spacing w:after="0" w:line="200" w:lineRule="exact"/>
        <w:rPr>
          <w:rFonts w:ascii="Arial" w:cs="Arial" w:eastAsia="Arial" w:hAnsi="Arial"/>
          <w:sz w:val="16"/>
          <w:szCs w:val="16"/>
          <w:color w:val="auto"/>
        </w:rPr>
      </w:pPr>
    </w:p>
    <w:p>
      <w:pPr>
        <w:jc w:val="both"/>
        <w:ind w:left="1260" w:right="20" w:hanging="628"/>
        <w:spacing w:after="0" w:line="249" w:lineRule="auto"/>
        <w:tabs>
          <w:tab w:leader="none" w:pos="12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1260" w:right="20" w:hanging="628"/>
        <w:spacing w:after="0" w:line="249" w:lineRule="auto"/>
        <w:tabs>
          <w:tab w:leader="none" w:pos="128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jc w:val="both"/>
        <w:ind w:left="1260" w:right="20" w:hanging="628"/>
        <w:spacing w:after="0" w:line="252" w:lineRule="auto"/>
        <w:tabs>
          <w:tab w:leader="none" w:pos="12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9" w:lineRule="exact"/>
        <w:rPr>
          <w:rFonts w:ascii="Arial" w:cs="Arial" w:eastAsia="Arial" w:hAnsi="Arial"/>
          <w:sz w:val="18"/>
          <w:szCs w:val="18"/>
          <w:color w:val="auto"/>
        </w:rPr>
      </w:pPr>
    </w:p>
    <w:p>
      <w:pPr>
        <w:jc w:val="both"/>
        <w:ind w:left="1260" w:right="20" w:hanging="628"/>
        <w:spacing w:after="0" w:line="249" w:lineRule="auto"/>
        <w:tabs>
          <w:tab w:leader="none" w:pos="128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93" w:lineRule="exact"/>
        <w:rPr>
          <w:rFonts w:ascii="Arial" w:cs="Arial" w:eastAsia="Arial" w:hAnsi="Arial"/>
          <w:sz w:val="18"/>
          <w:szCs w:val="18"/>
          <w:color w:val="auto"/>
        </w:rPr>
      </w:pPr>
    </w:p>
    <w:p>
      <w:pPr>
        <w:jc w:val="both"/>
        <w:ind w:left="440" w:right="20" w:hanging="440"/>
        <w:spacing w:after="0" w:line="252"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89" w:lineRule="exact"/>
        <w:rPr>
          <w:rFonts w:ascii="Arial" w:cs="Arial" w:eastAsia="Arial" w:hAnsi="Arial"/>
          <w:sz w:val="18"/>
          <w:szCs w:val="18"/>
          <w:color w:val="auto"/>
        </w:rPr>
      </w:pPr>
    </w:p>
    <w:p>
      <w:pPr>
        <w:jc w:val="both"/>
        <w:ind w:left="1260" w:right="20" w:hanging="628"/>
        <w:spacing w:after="0" w:line="252" w:lineRule="auto"/>
        <w:tabs>
          <w:tab w:leader="none" w:pos="12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89" w:lineRule="exact"/>
        <w:rPr>
          <w:rFonts w:ascii="Arial" w:cs="Arial" w:eastAsia="Arial" w:hAnsi="Arial"/>
          <w:sz w:val="18"/>
          <w:szCs w:val="18"/>
          <w:color w:val="auto"/>
        </w:rPr>
      </w:pPr>
    </w:p>
    <w:p>
      <w:pPr>
        <w:ind w:left="1260" w:right="20" w:hanging="628"/>
        <w:spacing w:after="0" w:line="261" w:lineRule="auto"/>
        <w:tabs>
          <w:tab w:leader="none" w:pos="128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Date: February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c>
          <w:tcPr>
            <w:tcW w:w="20" w:type="dxa"/>
            <w:vAlign w:val="bottom"/>
          </w:tcPr>
          <w:p>
            <w:pPr>
              <w:spacing w:after="0"/>
              <w:rPr>
                <w:sz w:val="19"/>
                <w:szCs w:val="19"/>
                <w:color w:val="auto"/>
              </w:rPr>
            </w:pPr>
          </w:p>
        </w:tc>
      </w:tr>
      <w:tr>
        <w:trPr>
          <w:trHeight w:val="192"/>
        </w:trPr>
        <w:tc>
          <w:tcPr>
            <w:tcW w:w="4540" w:type="dxa"/>
            <w:vAlign w:val="bottom"/>
          </w:tcPr>
          <w:p>
            <w:pPr>
              <w:spacing w:after="0"/>
              <w:rPr>
                <w:sz w:val="16"/>
                <w:szCs w:val="16"/>
                <w:color w:val="auto"/>
              </w:rPr>
            </w:pPr>
          </w:p>
        </w:tc>
        <w:tc>
          <w:tcPr>
            <w:tcW w:w="4520" w:type="dxa"/>
            <w:vAlign w:val="bottom"/>
          </w:tcPr>
          <w:p>
            <w:pPr>
              <w:spacing w:after="0" w:line="192" w:lineRule="exact"/>
              <w:rPr>
                <w:sz w:val="20"/>
                <w:szCs w:val="20"/>
                <w:color w:val="auto"/>
              </w:rPr>
            </w:pPr>
            <w:r>
              <w:rPr>
                <w:rFonts w:ascii="Arial" w:cs="Arial" w:eastAsia="Arial" w:hAnsi="Arial"/>
                <w:sz w:val="18"/>
                <w:szCs w:val="18"/>
                <w:color w:val="auto"/>
              </w:rPr>
              <w:t>Leland P. Maxwell</w:t>
            </w:r>
          </w:p>
        </w:tc>
        <w:tc>
          <w:tcPr>
            <w:tcW w:w="20" w:type="dxa"/>
            <w:vAlign w:val="bottom"/>
          </w:tcPr>
          <w:p>
            <w:pPr>
              <w:spacing w:after="0"/>
              <w:rPr>
                <w:sz w:val="16"/>
                <w:szCs w:val="16"/>
                <w:color w:val="auto"/>
              </w:rPr>
            </w:pPr>
          </w:p>
        </w:tc>
      </w:tr>
      <w:tr>
        <w:trPr>
          <w:trHeight w:val="222"/>
        </w:trPr>
        <w:tc>
          <w:tcPr>
            <w:tcW w:w="45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20" w:type="dxa"/>
            <w:vAlign w:val="bottom"/>
          </w:tcPr>
          <w:p>
            <w:pPr>
              <w:spacing w:after="0"/>
              <w:rPr>
                <w:sz w:val="19"/>
                <w:szCs w:val="19"/>
                <w:color w:val="auto"/>
              </w:rPr>
            </w:pPr>
          </w:p>
        </w:tc>
      </w:tr>
      <w:tr>
        <w:trPr>
          <w:trHeight w:val="75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21" w:right="1399" w:bottom="1440" w:gutter="0" w:footer="0" w:header="0"/>
        </w:sectPr>
      </w:pPr>
    </w:p>
    <w:bookmarkStart w:id="45" w:name="page46"/>
    <w:bookmarkEnd w:id="45"/>
    <w:p>
      <w:pPr>
        <w:ind w:left="8160"/>
        <w:spacing w:after="0"/>
        <w:rPr>
          <w:sz w:val="20"/>
          <w:szCs w:val="20"/>
          <w:color w:val="auto"/>
        </w:rPr>
      </w:pPr>
      <w:r>
        <w:rPr>
          <w:rFonts w:ascii="Arial" w:cs="Arial" w:eastAsia="Arial" w:hAnsi="Arial"/>
          <w:sz w:val="16"/>
          <w:szCs w:val="16"/>
          <w:b w:val="1"/>
          <w:bCs w:val="1"/>
          <w:color w:val="auto"/>
        </w:rPr>
        <w:t>Exhibit 32.1</w:t>
      </w:r>
    </w:p>
    <w:p>
      <w:pPr>
        <w:spacing w:after="0" w:line="23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85" w:lineRule="exact"/>
        <w:rPr>
          <w:sz w:val="20"/>
          <w:szCs w:val="20"/>
          <w:color w:val="auto"/>
        </w:rPr>
      </w:pPr>
    </w:p>
    <w:p>
      <w:pPr>
        <w:jc w:val="both"/>
        <w:ind w:right="20"/>
        <w:spacing w:after="0" w:line="214"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2016 (the “Report”), I, Stephen P. Herbert., Chief Executive Officer of the Company, hereby certify that to my knowledge:</w:t>
      </w:r>
    </w:p>
    <w:p>
      <w:pPr>
        <w:spacing w:after="0" w:line="200" w:lineRule="exact"/>
        <w:rPr>
          <w:sz w:val="20"/>
          <w:szCs w:val="20"/>
          <w:color w:val="auto"/>
        </w:rPr>
      </w:pPr>
    </w:p>
    <w:p>
      <w:pPr>
        <w:ind w:left="440" w:hanging="440"/>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6" w:lineRule="exact"/>
        <w:rPr>
          <w:rFonts w:ascii="Arial" w:cs="Arial" w:eastAsia="Arial" w:hAnsi="Arial"/>
          <w:sz w:val="16"/>
          <w:szCs w:val="16"/>
          <w:color w:val="auto"/>
        </w:rPr>
      </w:pPr>
    </w:p>
    <w:p>
      <w:pPr>
        <w:ind w:left="440" w:right="20" w:hanging="440"/>
        <w:spacing w:after="0" w:line="261"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Date: February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0" w:type="dxa"/>
            <w:vAlign w:val="bottom"/>
          </w:tcPr>
          <w:p>
            <w:pPr>
              <w:spacing w:after="0"/>
              <w:rPr>
                <w:sz w:val="19"/>
                <w:szCs w:val="19"/>
                <w:color w:val="auto"/>
              </w:rPr>
            </w:pPr>
          </w:p>
        </w:tc>
      </w:tr>
      <w:tr>
        <w:trPr>
          <w:trHeight w:val="192"/>
        </w:trPr>
        <w:tc>
          <w:tcPr>
            <w:tcW w:w="4540" w:type="dxa"/>
            <w:vAlign w:val="bottom"/>
          </w:tcPr>
          <w:p>
            <w:pPr>
              <w:spacing w:after="0"/>
              <w:rPr>
                <w:sz w:val="16"/>
                <w:szCs w:val="16"/>
                <w:color w:val="auto"/>
              </w:rPr>
            </w:pPr>
          </w:p>
        </w:tc>
        <w:tc>
          <w:tcPr>
            <w:tcW w:w="4520" w:type="dxa"/>
            <w:vAlign w:val="bottom"/>
          </w:tcPr>
          <w:p>
            <w:pPr>
              <w:spacing w:after="0" w:line="192" w:lineRule="exact"/>
              <w:rPr>
                <w:sz w:val="20"/>
                <w:szCs w:val="20"/>
                <w:color w:val="auto"/>
              </w:rPr>
            </w:pPr>
            <w:r>
              <w:rPr>
                <w:rFonts w:ascii="Arial" w:cs="Arial" w:eastAsia="Arial" w:hAnsi="Arial"/>
                <w:sz w:val="18"/>
                <w:szCs w:val="18"/>
                <w:color w:val="auto"/>
              </w:rPr>
              <w:t>Stephen P. Herbert</w:t>
            </w:r>
          </w:p>
        </w:tc>
        <w:tc>
          <w:tcPr>
            <w:tcW w:w="20" w:type="dxa"/>
            <w:vAlign w:val="bottom"/>
          </w:tcPr>
          <w:p>
            <w:pPr>
              <w:spacing w:after="0"/>
              <w:rPr>
                <w:sz w:val="16"/>
                <w:szCs w:val="16"/>
                <w:color w:val="auto"/>
              </w:rPr>
            </w:pPr>
          </w:p>
        </w:tc>
      </w:tr>
      <w:tr>
        <w:trPr>
          <w:trHeight w:val="222"/>
        </w:trPr>
        <w:tc>
          <w:tcPr>
            <w:tcW w:w="45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19"/>
                <w:szCs w:val="19"/>
                <w:color w:val="auto"/>
              </w:rPr>
            </w:pPr>
          </w:p>
        </w:tc>
      </w:tr>
      <w:tr>
        <w:trPr>
          <w:trHeight w:val="75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21" w:right="1399" w:bottom="1440" w:gutter="0" w:footer="0" w:header="0"/>
        </w:sectPr>
      </w:pPr>
    </w:p>
    <w:bookmarkStart w:id="46" w:name="page47"/>
    <w:bookmarkEnd w:id="46"/>
    <w:p>
      <w:pPr>
        <w:ind w:left="8160"/>
        <w:spacing w:after="0"/>
        <w:rPr>
          <w:sz w:val="20"/>
          <w:szCs w:val="20"/>
          <w:color w:val="auto"/>
        </w:rPr>
      </w:pPr>
      <w:r>
        <w:rPr>
          <w:rFonts w:ascii="Arial" w:cs="Arial" w:eastAsia="Arial" w:hAnsi="Arial"/>
          <w:sz w:val="16"/>
          <w:szCs w:val="16"/>
          <w:b w:val="1"/>
          <w:bCs w:val="1"/>
          <w:color w:val="auto"/>
        </w:rPr>
        <w:t>Exhibit 32.2</w:t>
      </w:r>
    </w:p>
    <w:p>
      <w:pPr>
        <w:spacing w:after="0" w:line="23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85" w:lineRule="exact"/>
        <w:rPr>
          <w:sz w:val="20"/>
          <w:szCs w:val="20"/>
          <w:color w:val="auto"/>
        </w:rPr>
      </w:pPr>
    </w:p>
    <w:p>
      <w:pPr>
        <w:jc w:val="both"/>
        <w:ind w:right="20"/>
        <w:spacing w:after="0" w:line="214"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2016 (the “Report”), I, Leland P. Maxwell, Interim Chief Financial Officer of the Company, hereby certify that to my knowledge:</w:t>
      </w:r>
    </w:p>
    <w:p>
      <w:pPr>
        <w:spacing w:after="0" w:line="200" w:lineRule="exact"/>
        <w:rPr>
          <w:sz w:val="20"/>
          <w:szCs w:val="20"/>
          <w:color w:val="auto"/>
        </w:rPr>
      </w:pPr>
    </w:p>
    <w:p>
      <w:pPr>
        <w:ind w:left="440" w:hanging="440"/>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6" w:lineRule="exact"/>
        <w:rPr>
          <w:rFonts w:ascii="Arial" w:cs="Arial" w:eastAsia="Arial" w:hAnsi="Arial"/>
          <w:sz w:val="16"/>
          <w:szCs w:val="16"/>
          <w:color w:val="auto"/>
        </w:rPr>
      </w:pPr>
    </w:p>
    <w:p>
      <w:pPr>
        <w:ind w:left="440" w:right="20" w:hanging="440"/>
        <w:spacing w:after="0" w:line="261"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Date: February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c>
          <w:tcPr>
            <w:tcW w:w="20" w:type="dxa"/>
            <w:vAlign w:val="bottom"/>
          </w:tcPr>
          <w:p>
            <w:pPr>
              <w:spacing w:after="0"/>
              <w:rPr>
                <w:sz w:val="19"/>
                <w:szCs w:val="19"/>
                <w:color w:val="auto"/>
              </w:rPr>
            </w:pPr>
          </w:p>
        </w:tc>
      </w:tr>
      <w:tr>
        <w:trPr>
          <w:trHeight w:val="192"/>
        </w:trPr>
        <w:tc>
          <w:tcPr>
            <w:tcW w:w="4540" w:type="dxa"/>
            <w:vAlign w:val="bottom"/>
          </w:tcPr>
          <w:p>
            <w:pPr>
              <w:spacing w:after="0"/>
              <w:rPr>
                <w:sz w:val="16"/>
                <w:szCs w:val="16"/>
                <w:color w:val="auto"/>
              </w:rPr>
            </w:pPr>
          </w:p>
        </w:tc>
        <w:tc>
          <w:tcPr>
            <w:tcW w:w="4520" w:type="dxa"/>
            <w:vAlign w:val="bottom"/>
          </w:tcPr>
          <w:p>
            <w:pPr>
              <w:spacing w:after="0" w:line="192" w:lineRule="exact"/>
              <w:rPr>
                <w:sz w:val="20"/>
                <w:szCs w:val="20"/>
                <w:color w:val="auto"/>
              </w:rPr>
            </w:pPr>
            <w:r>
              <w:rPr>
                <w:rFonts w:ascii="Arial" w:cs="Arial" w:eastAsia="Arial" w:hAnsi="Arial"/>
                <w:sz w:val="18"/>
                <w:szCs w:val="18"/>
                <w:color w:val="auto"/>
              </w:rPr>
              <w:t>Leland P. Maxwell</w:t>
            </w:r>
          </w:p>
        </w:tc>
        <w:tc>
          <w:tcPr>
            <w:tcW w:w="20" w:type="dxa"/>
            <w:vAlign w:val="bottom"/>
          </w:tcPr>
          <w:p>
            <w:pPr>
              <w:spacing w:after="0"/>
              <w:rPr>
                <w:sz w:val="16"/>
                <w:szCs w:val="16"/>
                <w:color w:val="auto"/>
              </w:rPr>
            </w:pPr>
          </w:p>
        </w:tc>
      </w:tr>
      <w:tr>
        <w:trPr>
          <w:trHeight w:val="222"/>
        </w:trPr>
        <w:tc>
          <w:tcPr>
            <w:tcW w:w="45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20" w:type="dxa"/>
            <w:vAlign w:val="bottom"/>
          </w:tcPr>
          <w:p>
            <w:pPr>
              <w:spacing w:after="0"/>
              <w:rPr>
                <w:sz w:val="19"/>
                <w:szCs w:val="19"/>
                <w:color w:val="auto"/>
              </w:rPr>
            </w:pPr>
          </w:p>
        </w:tc>
      </w:tr>
      <w:tr>
        <w:trPr>
          <w:trHeight w:val="75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80"/>
      </w:cols>
      <w:pgMar w:left="1420" w:top="121"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
      <w:numFmt w:val="bullet"/>
      <w:start w:val="1"/>
    </w:lvl>
  </w:abstractNum>
  <w:abstractNum w:abstractNumId="1">
    <w:nsid w:val="109CF92E"/>
    <w:multiLevelType w:val="hybridMultilevel"/>
    <w:lvl w:ilvl="0">
      <w:lvlJc w:val="left"/>
      <w:lvlText w:val=" "/>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404"/>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lvl w:ilvl="1">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upperLetter"/>
      <w:start w:val="1"/>
    </w:lvl>
  </w:abstractNum>
  <w:abstractNum w:abstractNumId="15">
    <w:nsid w:val="436C6125"/>
    <w:multiLevelType w:val="hybridMultilevel"/>
    <w:lvl w:ilvl="0">
      <w:lvlJc w:val="left"/>
      <w:lvlText w:val="%1."/>
      <w:numFmt w:val="decimal"/>
      <w:start w:val="1"/>
    </w:lvl>
    <w:lvl w:ilvl="1">
      <w:lvlJc w:val="left"/>
      <w:lvlText w:val="(%2)"/>
      <w:numFmt w:val="lowerLetter"/>
      <w:start w:val="1"/>
    </w:lvl>
  </w:abstractNum>
  <w:abstractNum w:abstractNumId="16">
    <w:nsid w:val="628C895D"/>
    <w:multiLevelType w:val="hybridMultilevel"/>
    <w:lvl w:ilvl="0">
      <w:lvlJc w:val="left"/>
      <w:lvlText w:val="(%1)"/>
      <w:numFmt w:val="lowerLetter"/>
      <w:start w:val="1"/>
    </w:lvl>
    <w:lvl w:ilvl="1">
      <w:lvlJc w:val="left"/>
      <w:lvlText w:val="(%2)"/>
      <w:numFmt w:val="lowerLetter"/>
      <w:start w:val="2"/>
    </w:lvl>
  </w:abstractNum>
  <w:abstractNum w:abstractNumId="17">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8">
    <w:nsid w:val="721DA31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9">
    <w:nsid w:val="2443A85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0">
    <w:nsid w:val="2D1D5AE9"/>
    <w:multiLevelType w:val="hybridMultilevel"/>
    <w:lvl w:ilvl="0">
      <w:lvlJc w:val="left"/>
      <w:lvlText w:val="(%1)"/>
      <w:numFmt w:val="lowerRoman"/>
      <w:start w:val="2"/>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2019-12-29T08:29:16Z</dcterms:created>
  <dcterms:modified xsi:type="dcterms:W3CDTF">2019-12-29T08:29:16Z</dcterms:modified>
</cp:coreProperties>
</file>