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2"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45720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1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Malvern,</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r>
        <w:trPr>
          <w:trHeight w:val="272"/>
        </w:trPr>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(610) 989-0340</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90"/>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CTLP</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9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29, 2022 there were 71,111,008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0" w:type="dxa"/>
            <w:vAlign w:val="bottom"/>
          </w:tcPr>
          <w:p>
            <w:pPr>
              <w:spacing w:after="0"/>
              <w:rPr>
                <w:sz w:val="17"/>
                <w:szCs w:val="17"/>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3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20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60" w:type="dxa"/>
            <w:vAlign w:val="bottom"/>
            <w:tcBorders>
              <w:top w:val="single" w:sz="8" w:color="0000FF"/>
            </w:tcBorders>
            <w:gridSpan w:val="3"/>
          </w:tcPr>
          <w:p>
            <w:pPr>
              <w:spacing w:after="0"/>
              <w:rPr>
                <w:sz w:val="24"/>
                <w:szCs w:val="24"/>
                <w:color w:val="auto"/>
              </w:rPr>
            </w:pPr>
          </w:p>
        </w:tc>
        <w:tc>
          <w:tcPr>
            <w:tcW w:w="1880" w:type="dxa"/>
            <w:vAlign w:val="bottom"/>
            <w:gridSpan w:val="2"/>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2"/>
          </w:tcPr>
          <w:p>
            <w:pPr>
              <w:spacing w:after="0"/>
              <w:rPr>
                <w:sz w:val="24"/>
                <w:szCs w:val="24"/>
                <w:color w:val="auto"/>
              </w:rPr>
            </w:pPr>
          </w:p>
        </w:tc>
        <w:tc>
          <w:tcPr>
            <w:tcW w:w="6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700" w:type="dxa"/>
            <w:vAlign w:val="bottom"/>
            <w:gridSpan w:val="9"/>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140" w:type="dxa"/>
            <w:vAlign w:val="bottom"/>
            <w:gridSpan w:val="10"/>
          </w:tcPr>
          <w:p>
            <w:pPr>
              <w:spacing w:after="0"/>
              <w:rPr>
                <w:sz w:val="24"/>
                <w:szCs w:val="24"/>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88,136</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3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106,393</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65,673</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preferences of $22,113 and $21,447 at March 31, 2022 and June 30, 2021, respectively</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no par value, 1,800,000 shares authorized</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no par value, 640,000,000 shares authorized, 71,097,674 and 71,258,047 shares issued 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March 31, 2022 and June 30, 2021,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(311,382)</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151,393</w:t>
            </w:r>
          </w:p>
        </w:tc>
      </w:tr>
      <w:tr>
        <w:trPr>
          <w:trHeight w:val="23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21" w:right="339" w:bottom="281"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8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34,686</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123,956</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101,008</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117,921</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60,415</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148"/>
        </w:trPr>
        <w:tc>
          <w:tcPr>
            <w:tcW w:w="5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47,482</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to compute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share applicable to common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71,083,044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67,112,511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65,617,458</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71,486,718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67,112,511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65,617,458</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Nine Month Period Ended March 31, 2022</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6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70,959,182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70,987,498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152,849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920" w:type="dxa"/>
            <w:vAlign w:val="bottom"/>
            <w:tcBorders>
              <w:bottom w:val="single" w:sz="8" w:color="CCEEFF"/>
            </w:tcBorders>
            <w:gridSpan w:val="2"/>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71,097,674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660" w:type="dxa"/>
            <w:vAlign w:val="bottom"/>
          </w:tcPr>
          <w:p>
            <w:pPr>
              <w:spacing w:after="0"/>
              <w:rPr>
                <w:sz w:val="24"/>
                <w:szCs w:val="24"/>
                <w:color w:val="auto"/>
              </w:rPr>
            </w:pPr>
          </w:p>
        </w:tc>
        <w:tc>
          <w:tcPr>
            <w:tcW w:w="36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 Period Ended March 31, 2021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6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2020</w:t>
            </w: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65,196,882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98,215</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65,252,965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93,452</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and exercises (net)</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6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65,285,674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92,241</w:t>
            </w:r>
          </w:p>
        </w:tc>
        <w:tc>
          <w:tcPr>
            <w:tcW w:w="0" w:type="dxa"/>
            <w:vAlign w:val="bottom"/>
          </w:tcPr>
          <w:p>
            <w:pPr>
              <w:spacing w:after="0"/>
              <w:rPr>
                <w:sz w:val="1"/>
                <w:szCs w:val="1"/>
                <w:color w:val="auto"/>
              </w:rPr>
            </w:pPr>
          </w:p>
        </w:tc>
      </w:tr>
      <w:tr>
        <w:trPr>
          <w:trHeight w:val="225"/>
        </w:trPr>
        <w:tc>
          <w:tcPr>
            <w:tcW w:w="7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in relation to private placement, net of offering</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of $2,598</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52,410</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71,081,313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Property and equipment write-off</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Finance receivables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facilities, net of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Repayment of debt facilities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0" w:type="dxa"/>
            <w:vAlign w:val="bottom"/>
          </w:tcPr>
          <w:p>
            <w:pPr>
              <w:spacing w:after="0"/>
              <w:rPr>
                <w:sz w:val="1"/>
                <w:szCs w:val="1"/>
                <w:color w:val="auto"/>
              </w:rPr>
            </w:pPr>
          </w:p>
        </w:tc>
      </w:tr>
      <w:tr>
        <w:trPr>
          <w:trHeight w:val="270"/>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of third-party 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Antara prepayment penalty and commitment termination fee</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6"/>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8" w:right="379" w:bottom="835"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(13,050)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56,849</w:t>
            </w:r>
          </w:p>
        </w:tc>
      </w:tr>
      <w:tr>
        <w:trPr>
          <w:trHeight w:val="270"/>
        </w:trPr>
        <w:tc>
          <w:tcPr>
            <w:tcW w:w="400" w:type="dxa"/>
            <w:vAlign w:val="bottom"/>
          </w:tcPr>
          <w:p>
            <w:pPr>
              <w:spacing w:after="0"/>
              <w:rPr>
                <w:sz w:val="23"/>
                <w:szCs w:val="23"/>
                <w:color w:val="auto"/>
              </w:rPr>
            </w:pP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88,136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31,713</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75,086</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88,562</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720" w:space="720"/>
            <w:col w:w="2760"/>
          </w:cols>
          <w:pgMar w:left="320" w:top="108" w:right="379" w:bottom="835" w:gutter="0" w:footer="0" w:header="0"/>
          <w:type w:val="continuous"/>
        </w:sectPr>
      </w:pPr>
    </w:p>
    <w:tbl>
      <w:tblPr>
        <w:tblLayout w:type="fixed"/>
        <w:tblInd w:w="2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disclosures of cash flow information</w:t>
            </w:r>
            <w:r>
              <w:rPr>
                <w:rFonts w:ascii="Times New Roman" w:cs="Times New Roman" w:eastAsia="Times New Roman" w:hAnsi="Times New Roman"/>
                <w:sz w:val="18"/>
                <w:szCs w:val="18"/>
                <w:color w:val="auto"/>
              </w:rPr>
              <w:t>:</w:t>
            </w:r>
          </w:p>
        </w:tc>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in cash</w:t>
            </w:r>
          </w:p>
        </w:tc>
        <w:tc>
          <w:tcPr>
            <w:tcW w:w="2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00"/>
          </w:cols>
          <w:pgMar w:left="320" w:top="108" w:right="379" w:bottom="835"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83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Cantaloupe, Inc. (“Cantaloupe” or the “Company”),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recent outbreak of the Omicron variant, have and may in the future lead to additional shutdowns and closures that impact our operations and financial results. Such impacts to our financial statements include, but not limited to,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Preparation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2021 Annual Report on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nine months ended March 31, 2022 are not necessarily indicative of the results that may be expected for the full fiscal year ending June 30, 2022. Actual results could differ from estimates. The balance sheet at June 30, 2021 has been derived from the audited consolidated financial statements at that date, but does not include all disclosures required by accounting principles generally accepted in the United States of America. Certain prior period amounts have been reclassified to conform with current year presentation.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 of Operations: operating expenses presentation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fiscal year 2022, the Company revised its presentation of operating expenses within its Condensed Consolidated Statement of Operations by disaggregating the previously disclosed Selling, general, and administrative costs into Sales and marketing, Technology and product development, and General and administrative costs. The updated presentation is intended to provide additional transparency to the readers of the financial statements and better align the Company’s financial performance with how management views and monitors business operations and makes strategic decisions. Prior period amounts for fiscal year 2021 have been reclassified to conform with current year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Operating expenses:</w:t>
      </w:r>
    </w:p>
    <w:p>
      <w:pPr>
        <w:spacing w:after="0" w:line="250"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our sales and marketing team personnel costs which include non-capitalized wages, bonuses, stock-based compensation, sales commissions, severance costs, benefits, and employer taxes. In addition, this category includes fees paid for advertising, trade shows and external consultants who assist in outreach initiatives designed to build brand awareness and showcase the value of our products and services to our opportunity markets.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consist primarily of our technology and product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our customer support, business operations,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186" w:lineRule="exact"/>
        <w:rPr>
          <w:rFonts w:ascii="Times New Roman" w:cs="Times New Roman" w:eastAsia="Times New Roman" w:hAnsi="Times New Roman"/>
          <w:sz w:val="18"/>
          <w:szCs w:val="18"/>
          <w:i w:val="1"/>
          <w:iCs w:val="1"/>
          <w:color w:val="auto"/>
        </w:rPr>
      </w:pPr>
    </w:p>
    <w:p>
      <w:pPr>
        <w:jc w:val="both"/>
        <w:ind w:left="66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No changes made to the accounting policies or previously reported amounts included within the Company’s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Annual Report on Form 10-K for this category. Depreciation expense on our property and equipment, excluding property and equipment used for rentals, and amortization expense on our intangible assets are included within the Depreciation and amortization caption in the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changes described above did not impact total operating expenses, operating loss, net loss or net loss per common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excerpts from the Condensed Consolidated Statement of Operations for each quarter of fiscal year 2021 before and after the revisions: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Revised presentation:</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48"/>
        </w:trPr>
        <w:tc>
          <w:tcPr>
            <w:tcW w:w="376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31,</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1"/>
                <w:szCs w:val="21"/>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31, 2021</w:t>
            </w:r>
          </w:p>
        </w:tc>
        <w:tc>
          <w:tcPr>
            <w:tcW w:w="16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1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30, 2021</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35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1"/>
                <w:szCs w:val="21"/>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March 31, 2021</w:t>
            </w:r>
          </w:p>
        </w:tc>
        <w:tc>
          <w:tcPr>
            <w:tcW w:w="18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June 30, 2021</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58,624</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 of Operations: updated caption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fiscal year 2022, the Company revised the previously reported revenue caption of License and transaction fees to Subscription and transaction fees within its Condensed Consolidated Statement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Statements</w:t>
      </w:r>
    </w:p>
    <w:p>
      <w:pPr>
        <w:spacing w:after="0" w:line="2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on July 1, 2020 using the modified retrospective approach through an adjustment to retained earnings, and began calculating our allowance for accounts and finance receivables under an expected loss model rather than an incurred loss model.</w:t>
      </w:r>
    </w:p>
    <w:p>
      <w:pPr>
        <w:spacing w:after="0" w:line="202" w:lineRule="exact"/>
        <w:rPr>
          <w:sz w:val="20"/>
          <w:szCs w:val="20"/>
          <w:color w:val="auto"/>
        </w:rPr>
      </w:pPr>
    </w:p>
    <w:p>
      <w:pPr>
        <w:ind w:right="2000"/>
        <w:spacing w:after="0" w:line="270" w:lineRule="auto"/>
        <w:rPr>
          <w:sz w:val="20"/>
          <w:szCs w:val="20"/>
          <w:color w:val="auto"/>
        </w:rPr>
      </w:pPr>
      <w:r>
        <w:rPr>
          <w:rFonts w:ascii="Times New Roman" w:cs="Times New Roman" w:eastAsia="Times New Roman" w:hAnsi="Times New Roman"/>
          <w:sz w:val="18"/>
          <w:szCs w:val="18"/>
          <w:color w:val="auto"/>
        </w:rPr>
        <w:t>The following table represents a roll forward of the allowance for doubtful accounts for accounts and finance receivables for the three and nine months ending March 31, 2022:</w:t>
      </w: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Borders>
              <w:bottom w:val="single" w:sz="8" w:color="auto"/>
            </w:tcBorders>
          </w:tcPr>
          <w:p>
            <w:pPr>
              <w:spacing w:after="0"/>
              <w:rPr>
                <w:sz w:val="16"/>
                <w:szCs w:val="16"/>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4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Finance Receivable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80"/>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Borders>
              <w:bottom w:val="single" w:sz="8" w:color="auto"/>
            </w:tcBorders>
          </w:tcPr>
          <w:p>
            <w:pPr>
              <w:spacing w:after="0"/>
              <w:rPr>
                <w:sz w:val="16"/>
                <w:szCs w:val="16"/>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4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Finance Receivable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ASC 326</w:t>
            </w:r>
            <w:r>
              <w:rPr>
                <w:rFonts w:ascii="Times New Roman" w:cs="Times New Roman" w:eastAsia="Times New Roman" w:hAnsi="Times New Roman"/>
                <w:sz w:val="18"/>
                <w:szCs w:val="18"/>
                <w:i w:val="1"/>
                <w:iCs w:val="1"/>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The Company adopted ASC 326 on July 1, 2020.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2019-12 - Income Taxes (Topic 740): Simplifying the Accounting for Income Taxes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2020 and January 2021, the FASB issued ASU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and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respectively. Together, the ASUs provide temporary optional expedients and exceptions for applying U.S. GAAP guidance on contract modifications and hedging relationships that reference LIBOR or another reference rate expected to be discontinued because of reference rate reform. These optional expedients and exceptions are effective beginning March 12, 2020 through December 31, 2022 and adoption is permitted at any time in the effective period. The Company is currently evaluating and assessing the impact these accounting standards will have on its condensed consolidated financial statements and related disclosures and if it will elect these optional standards.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Classification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2021, the FASB issued ASU 2021-05, “</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which requires lessors to classify leases as operating leases if they have variable lease payments that do not depend on an index or rate and would have selling losses if they were classified as sales-type or direct financing leases. ASU 2021-05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Debt and Equity Instruments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which simplifies accounting for convertible instruments and the derivatives scope exception for contracts in an entity's own equity and improves and amends the related earnings per share ("EPS") guidance. ASU 2020-06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condensed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 space, warehouses, and office equipment. At March 31, 2022, the Company had the following balances recorded in the balance sheet related to its lease arrangements:</w:t>
      </w:r>
    </w:p>
    <w:p>
      <w:pPr>
        <w:spacing w:after="0" w:line="304" w:lineRule="exact"/>
        <w:rPr>
          <w:sz w:val="20"/>
          <w:szCs w:val="20"/>
          <w:color w:val="auto"/>
        </w:rPr>
      </w:pPr>
    </w:p>
    <w:p>
      <w:pPr>
        <w:ind w:left="60"/>
        <w:spacing w:after="0"/>
        <w:tabs>
          <w:tab w:leader="none" w:pos="2460" w:val="left"/>
          <w:tab w:leader="none" w:pos="7460" w:val="left"/>
          <w:tab w:leader="none" w:pos="9620" w:val="left"/>
        </w:tabs>
        <w:rPr>
          <w:sz w:val="20"/>
          <w:szCs w:val="20"/>
          <w:color w:val="auto"/>
        </w:rPr>
      </w:pPr>
      <w:r>
        <w:rPr>
          <w:rFonts w:ascii="Times New Roman" w:cs="Times New Roman" w:eastAsia="Times New Roman" w:hAnsi="Times New Roman"/>
          <w:sz w:val="14"/>
          <w:szCs w:val="14"/>
          <w:b w:val="1"/>
          <w:bCs w:val="1"/>
          <w:color w:val="auto"/>
        </w:rPr>
        <w:t>($ in thousands)</w:t>
      </w:r>
      <w:r>
        <w:rPr>
          <w:sz w:val="20"/>
          <w:szCs w:val="20"/>
          <w:color w:val="auto"/>
        </w:rPr>
        <w:tab/>
      </w:r>
      <w:r>
        <w:rPr>
          <w:rFonts w:ascii="Times New Roman" w:cs="Times New Roman" w:eastAsia="Times New Roman" w:hAnsi="Times New Roman"/>
          <w:sz w:val="14"/>
          <w:szCs w:val="14"/>
          <w:b w:val="1"/>
          <w:bCs w:val="1"/>
          <w:color w:val="auto"/>
        </w:rPr>
        <w:t>Balance Sheet Classification</w:t>
      </w:r>
      <w:r>
        <w:rPr>
          <w:sz w:val="20"/>
          <w:szCs w:val="20"/>
          <w:color w:val="auto"/>
        </w:rPr>
        <w:tab/>
      </w:r>
      <w:r>
        <w:rPr>
          <w:rFonts w:ascii="Times New Roman" w:cs="Times New Roman" w:eastAsia="Times New Roman" w:hAnsi="Times New Roman"/>
          <w:sz w:val="14"/>
          <w:szCs w:val="14"/>
          <w:b w:val="1"/>
          <w:bCs w:val="1"/>
          <w:color w:val="auto"/>
        </w:rPr>
        <w:t>As of March 31, 2022</w:t>
      </w:r>
      <w:r>
        <w:rPr>
          <w:sz w:val="20"/>
          <w:szCs w:val="20"/>
          <w:color w:val="auto"/>
        </w:rPr>
        <w:tab/>
      </w:r>
      <w:r>
        <w:rPr>
          <w:rFonts w:ascii="Times New Roman" w:cs="Times New Roman" w:eastAsia="Times New Roman" w:hAnsi="Times New Roman"/>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76200</wp:posOffset>
            </wp:positionV>
            <wp:extent cx="70980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41910</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assets</w:t>
            </w:r>
          </w:p>
        </w:tc>
      </w:tr>
      <w:tr>
        <w:trPr>
          <w:trHeight w:val="50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tcPr>
          <w:p>
            <w:pPr>
              <w:spacing w:after="0"/>
              <w:rPr>
                <w:sz w:val="24"/>
                <w:szCs w:val="24"/>
                <w:color w:val="auto"/>
              </w:rPr>
            </w:pP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r>
      <w:tr>
        <w:trPr>
          <w:trHeight w:val="3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-856615</wp:posOffset>
            </wp:positionV>
            <wp:extent cx="70980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-539115</wp:posOffset>
            </wp:positionV>
            <wp:extent cx="70980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-196215</wp:posOffset>
            </wp:positionV>
            <wp:extent cx="709803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968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34"/>
        </w:trPr>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769"/>
        </w:trPr>
        <w:tc>
          <w:tcPr>
            <w:tcW w:w="8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70"/>
        </w:trPr>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7"/>
        </w:trPr>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7"/>
        </w:trPr>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20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5"/>
        </w:trPr>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6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471</w:t>
            </w:r>
          </w:p>
        </w:tc>
      </w:tr>
    </w:tbl>
    <w:p>
      <w:pPr>
        <w:spacing w:after="0" w:line="200" w:lineRule="exact"/>
        <w:rPr>
          <w:sz w:val="20"/>
          <w:szCs w:val="20"/>
          <w:color w:val="auto"/>
        </w:rPr>
      </w:pPr>
    </w:p>
    <w:p>
      <w:pPr>
        <w:sectPr>
          <w:pgSz w:w="11900" w:h="16838" w:orient="portrait"/>
          <w:cols w:equalWidth="0" w:num="2">
            <w:col w:w="6060" w:space="720"/>
            <w:col w:w="44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95"/>
        </w:trPr>
        <w:tc>
          <w:tcPr>
            <w:tcW w:w="6780" w:type="dxa"/>
            <w:vAlign w:val="bottom"/>
            <w:vMerge w:val="continue"/>
          </w:tcPr>
          <w:p>
            <w:pPr>
              <w:spacing w:after="0"/>
              <w:rPr>
                <w:sz w:val="16"/>
                <w:szCs w:val="16"/>
                <w:color w:val="auto"/>
              </w:rPr>
            </w:pPr>
          </w:p>
        </w:tc>
        <w:tc>
          <w:tcPr>
            <w:tcW w:w="216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9"/>
        </w:trPr>
        <w:tc>
          <w:tcPr>
            <w:tcW w:w="67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311"/>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20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00" w:type="dxa"/>
            <w:vAlign w:val="bottom"/>
          </w:tcPr>
          <w:p>
            <w:pPr>
              <w:spacing w:after="0"/>
              <w:rPr>
                <w:sz w:val="13"/>
                <w:szCs w:val="13"/>
                <w:color w:val="auto"/>
              </w:rPr>
            </w:pPr>
          </w:p>
        </w:tc>
        <w:tc>
          <w:tcPr>
            <w:tcW w:w="220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1,257</w:t>
            </w:r>
          </w:p>
        </w:tc>
        <w:tc>
          <w:tcPr>
            <w:tcW w:w="5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471</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Lessor Accounting</w:t>
            </w: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22,516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21"/>
                <w:szCs w:val="21"/>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spacing w:after="0"/>
              <w:rPr>
                <w:sz w:val="24"/>
                <w:szCs w:val="24"/>
                <w:color w:val="auto"/>
              </w:rPr>
            </w:pPr>
          </w:p>
        </w:tc>
        <w:tc>
          <w:tcPr>
            <w:tcW w:w="2040" w:type="dxa"/>
            <w:vAlign w:val="bottom"/>
            <w:gridSpan w:val="3"/>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March 31, 2022 are disclosed within Note 6 -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fiscal year 2022, the Company disaggregated Subscription and transaction fees presented on the Condensed Consolidated Statement of Operations to Transaction fees and Subscription fees categories (described below) as this additional disclosure provides greater visibility into the Company's revenue streams and better aligns the Company’s financial performance including how management views and monitors business operations and makes strategic decisions.</w:t>
      </w:r>
    </w:p>
    <w:p>
      <w:pPr>
        <w:spacing w:after="0" w:line="70" w:lineRule="exact"/>
        <w:rPr>
          <w:sz w:val="20"/>
          <w:szCs w:val="20"/>
          <w:color w:val="auto"/>
        </w:rPr>
      </w:pPr>
    </w:p>
    <w:p>
      <w:pPr>
        <w:ind w:left="6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fees: </w:t>
      </w:r>
      <w:r>
        <w:rPr>
          <w:rFonts w:ascii="Times New Roman" w:cs="Times New Roman" w:eastAsia="Times New Roman" w:hAnsi="Times New Roman"/>
          <w:sz w:val="18"/>
          <w:szCs w:val="18"/>
          <w:color w:val="auto"/>
        </w:rPr>
        <w:t>The Company charges its customers a transaction fee generally calculated as a percentage rate on volumes processed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payment devices.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Subscription fees: </w:t>
      </w:r>
      <w:r>
        <w:rPr>
          <w:rFonts w:ascii="Times New Roman" w:cs="Times New Roman" w:eastAsia="Times New Roman" w:hAnsi="Times New Roman"/>
          <w:sz w:val="18"/>
          <w:szCs w:val="18"/>
          <w:color w:val="auto"/>
        </w:rPr>
        <w:t>Subscription fees are primarily comprised of the monthly service fee charged to our customers for our cashless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service fees originated through our rental program and Seed software services that include inventory management, route logistics optimization, warehouse and accounting management, and responsive merchandising.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 is disaggregated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Disaggregation of revenues for the previously reported quarters for fiscal year-ended June 30, 2021 utilizing the above described methodology is presented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44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60" w:type="dxa"/>
            <w:vAlign w:val="bottom"/>
          </w:tcPr>
          <w:p>
            <w:pPr>
              <w:spacing w:after="0"/>
              <w:rPr>
                <w:sz w:val="24"/>
                <w:szCs w:val="24"/>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85,498</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53,744</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139,242</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allocated to future performance obligations, we do not include non-recurring charges. Further, we apply the practical expedient to not consider arrangements with an original expected duration of one year or less, which are primarily month-to-month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at the end of the period: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349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5"/>
                <w:szCs w:val="15"/>
                <w:color w:val="auto"/>
              </w:rPr>
            </w:pPr>
          </w:p>
        </w:tc>
        <w:tc>
          <w:tcPr>
            <w:tcW w:w="15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40" w:type="dxa"/>
            <w:vAlign w:val="bottom"/>
          </w:tcPr>
          <w:p>
            <w:pPr>
              <w:spacing w:after="0"/>
              <w:rPr>
                <w:sz w:val="16"/>
                <w:szCs w:val="16"/>
                <w:color w:val="auto"/>
              </w:rPr>
            </w:pP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37"/>
        </w:trPr>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440" w:type="dxa"/>
            <w:vAlign w:val="bottom"/>
          </w:tcPr>
          <w:p>
            <w:pPr>
              <w:spacing w:after="0"/>
              <w:rPr>
                <w:sz w:val="16"/>
                <w:szCs w:val="16"/>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77"/>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70"/>
        </w:trPr>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418"/>
        </w:trPr>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12" w:lineRule="exact"/>
        <w:rPr>
          <w:sz w:val="20"/>
          <w:szCs w:val="20"/>
          <w:color w:val="auto"/>
        </w:rPr>
      </w:pPr>
    </w:p>
    <w:p>
      <w:pPr>
        <w:sectPr>
          <w:pgSz w:w="11900" w:h="16838" w:orient="portrait"/>
          <w:cols w:equalWidth="0" w:num="2">
            <w:col w:w="7260" w:space="220"/>
            <w:col w:w="376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76200</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40"/>
        <w:spacing w:after="0" w:line="245" w:lineRule="auto"/>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0"/>
        </w:trPr>
        <w:tc>
          <w:tcPr>
            <w:tcW w:w="420" w:type="dxa"/>
            <w:vAlign w:val="bottom"/>
          </w:tcPr>
          <w:p>
            <w:pPr>
              <w:spacing w:after="0"/>
              <w:rPr>
                <w:sz w:val="16"/>
                <w:szCs w:val="16"/>
                <w:color w:val="auto"/>
              </w:rPr>
            </w:pPr>
          </w:p>
        </w:tc>
        <w:tc>
          <w:tcPr>
            <w:tcW w:w="1360" w:type="dxa"/>
            <w:vAlign w:val="bottom"/>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37"/>
        </w:trPr>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2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7"/>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70"/>
        </w:trPr>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419"/>
        </w:trPr>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bl>
    <w:p>
      <w:pPr>
        <w:spacing w:after="0" w:line="231" w:lineRule="exact"/>
        <w:rPr>
          <w:sz w:val="20"/>
          <w:szCs w:val="20"/>
          <w:color w:val="auto"/>
        </w:rPr>
      </w:pPr>
    </w:p>
    <w:p>
      <w:pPr>
        <w:sectPr>
          <w:pgSz w:w="11900" w:h="16838" w:orient="portrait"/>
          <w:cols w:equalWidth="0" w:num="2">
            <w:col w:w="7280" w:space="240"/>
            <w:col w:w="3720"/>
          </w:cols>
          <w:pgMar w:left="320" w:top="121" w:right="339" w:bottom="1440" w:gutter="0" w:footer="0" w:header="0"/>
          <w:type w:val="continuous"/>
        </w:sectPr>
      </w:pP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the Company had net capitalized costs to obtain contracts of $0.4 million included in Prepaid expenses and other current assets and $2.1 million included in Other noncurrent assets on the Condensed Consolidated Balance Sheet. At June 30, 2021, the Company had net capitalized costs to obtain contracts of $0.4 million included in Prepaid expenses and other current assets and $2.0 million included in Other noncurrent assets on the Condensed Consolidated Balance Sheet. None of these capitalized contract costs were impaired.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2022, amortization of capitalized contract costs was $0.2 million and $0.5 million. During the three and nine months ended March 31, 2021, amortization of capitalized contract costs was $0.2 million and $0.4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As of the date of the acquisition and as of March 31, 2022, we expect to pay the entire deferred cash payment and we have accrued a contingent consideration liability of $1 million which is included within Accrued expenses in our Condensed Consolidated Balance Sheet.</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March 31, 2022, we determined that it is not probable that the performance condition would be satisfied and, accordingly, have not recognized compensation expense related to these awards for the nine months ended March 31, 2022.</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3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allocation of the purchase price is provisional and is still subject to change within the measurement period. The final allocation of the purchase price is expected to be completed as soon as practicable, but no later than one year from the date of the acquisition.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FINANCE RECEIVABLES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March 31, 2022 and June 30, 2021, finance receivables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 net of allowance of $1,149 and $1,109, respectively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the gross lease receivable by current payment performance on a contractual basis and year of origination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2021,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credit quality indicators by year of origination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2021, credit quality indicators by year of origination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nine months ending March 31, 2022 and 2021:</w:t>
      </w:r>
    </w:p>
    <w:p>
      <w:pPr>
        <w:spacing w:after="0" w:line="43"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41910</wp:posOffset>
            </wp:positionV>
            <wp:extent cx="2297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7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4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4659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adoption of ASC 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4659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46595"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6595"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The Company adopted Financial Instruments - Credit Losses (Topic 326) on July 1, 2020.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7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0"/>
        </w:trPr>
        <w:tc>
          <w:tcPr>
            <w:tcW w:w="7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0"/>
        </w:trPr>
        <w:tc>
          <w:tcPr>
            <w:tcW w:w="7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2297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98" w:lineRule="exact"/>
        <w:rPr>
          <w:sz w:val="20"/>
          <w:szCs w:val="20"/>
          <w:color w:val="auto"/>
        </w:rPr>
      </w:pPr>
    </w:p>
    <w:p>
      <w:pPr>
        <w:sectPr>
          <w:pgSz w:w="11900" w:h="16838" w:orient="portrait"/>
          <w:cols w:equalWidth="0" w:num="2">
            <w:col w:w="6760" w:space="720"/>
            <w:col w:w="3760"/>
          </w:cols>
          <w:pgMar w:left="320" w:top="1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23,304</w:t>
            </w:r>
          </w:p>
        </w:tc>
      </w:tr>
      <w:tr>
        <w:trPr>
          <w:trHeight w:val="230"/>
        </w:trPr>
        <w:tc>
          <w:tcPr>
            <w:tcW w:w="9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allowance for receivables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9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(LOSS) PER SHARE CALCULATION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loss by the weighted average number of common shares outstanding during the period. Diluted earnings per share, applicable only to periods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(loss) per share is presented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(334)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71,083,044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67,112,511</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403,674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71,486,718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67,112,511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5"/>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37"/>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(668)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7"/>
              </w:rPr>
              <w:t>(291)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65,617,458</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65,617,458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loss per share were approximately 5 million for the three and nine months ended March 31, 2022 and approximately 4 million for the three and nine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0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March 31, 2022, there was $0.8 million and $2.5 million in amortization expense related to intangible assets, respectively, that was recognized. The Company recognized $2.7 million in goodwill and $1.2 million in newly acquired intangible assets in association with the Yoke acquisition as referenced in </w:t>
      </w:r>
      <w:r>
        <w:rPr>
          <w:rFonts w:ascii="Times New Roman" w:cs="Times New Roman" w:eastAsia="Times New Roman" w:hAnsi="Times New Roman"/>
          <w:sz w:val="18"/>
          <w:szCs w:val="18"/>
          <w:i w:val="1"/>
          <w:iCs w:val="1"/>
          <w:color w:val="auto"/>
        </w:rPr>
        <w:t>Note 5 - Acquisition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2021, there was $0.8 million and $2.4 million for each respective period in amortization expense related to intangible assets that was recognized.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nine months ended March 31, 2022 and March 31, 2021, the Company did not recognize any impairment charges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AND OTHER FINANCING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March 31, 2022 and June 30, 2021 consisted of the following:</w:t>
      </w:r>
    </w:p>
    <w:p>
      <w:pPr>
        <w:spacing w:after="0" w:line="340"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5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Credit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r>
      <w:tr>
        <w:trPr>
          <w:trHeight w:val="230"/>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See discussion below on amendment to the JPMorgan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Condensed Consolidated Statements of Operations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change in sales tax reserve</w:t>
            </w:r>
          </w:p>
        </w:tc>
        <w:tc>
          <w:tcPr>
            <w:tcW w:w="4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Antara Term Facility</w:t>
            </w:r>
          </w:p>
        </w:tc>
        <w:tc>
          <w:tcPr>
            <w:tcW w:w="4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8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See discussion below on amendment to JPMorgan Credit Facility.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Facility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Credit Agreement dated August 14, 2020 and amendment dated March 2,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N.A.(the “2021 JPMorgan Credit Agreement”).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JPMorgan Credit Agreement provided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JPMorgan Credit Facility had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 As of December 31, 2021, the total applicable interest rate for the 2021 JPMorgan Secured Term Facility was 5%.</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amended and restated Credit Agreement dated March 17, 2022</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March 31, 2022, the total applicable interest rate for the Amended Secured Term Facility is 4.4%.</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three and nine months ended March 31,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for the Amended JPMorgan Credit Facility as of March 31,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"JPMorgan Credit Facility" in the Condensed Consolidated Financial Statements and related notes, Management’s Discussion and Analysis of Financial Condition and Results of Operations and other parts of the Form 10-Q specifically refers to the 2021 JPMorgan Credit Facility prior to March 17, 2022 and to the Amended JPMorgan Credit Facility subsequent to and as of March 17,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Facility with Antara</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2019, the Company entered into a commitment letter with Antara, pursuant to which Antara committed to extend to the Company a $30.0 million senior secured term loan facility ("2020 Antara Term Facility"). 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The 2020 Antara Term Facility agreement also contained a mandatory prepayment feature that was determined to be an embedded derivative, requiring bifurcation and fair value recognition for the derivative liability.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2020 Antara Term Facility and entered into the 2021 JPMorgan Credit Agreement described above. The Company de-recognized $2.6 million of unamortized debt issuance costs and debt discount associated with the 2020 Antara Team Facility during the nine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2022 and June 30,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6"/>
                <w:szCs w:val="16"/>
                <w:color w:val="auto"/>
              </w:rPr>
            </w:pP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5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reserve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and filing fees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arrangement for the Yoke acquisition*</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w:t>
            </w: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See</w:t>
      </w:r>
      <w:r>
        <w:rPr>
          <w:rFonts w:ascii="Times New Roman" w:cs="Times New Roman" w:eastAsia="Times New Roman" w:hAnsi="Times New Roman"/>
          <w:sz w:val="16"/>
          <w:szCs w:val="16"/>
          <w:i w:val="1"/>
          <w:iCs w:val="1"/>
          <w:color w:val="auto"/>
        </w:rPr>
        <w:t xml:space="preserve"> Note </w:t>
      </w:r>
      <w:r>
        <w:rPr>
          <w:rFonts w:ascii="Times New Roman" w:cs="Times New Roman" w:eastAsia="Times New Roman" w:hAnsi="Times New Roman"/>
          <w:sz w:val="17"/>
          <w:szCs w:val="17"/>
          <w:i w:val="1"/>
          <w:iCs w:val="1"/>
          <w:color w:val="auto"/>
        </w:rPr>
        <w:t>5</w:t>
      </w:r>
      <w:r>
        <w:rPr>
          <w:rFonts w:ascii="Times New Roman" w:cs="Times New Roman" w:eastAsia="Times New Roman" w:hAnsi="Times New Roman"/>
          <w:sz w:val="16"/>
          <w:szCs w:val="16"/>
          <w:i w:val="1"/>
          <w:iCs w:val="1"/>
          <w:color w:val="auto"/>
        </w:rPr>
        <w:t xml:space="preserve"> - Acquisition </w:t>
      </w:r>
      <w:r>
        <w:rPr>
          <w:rFonts w:ascii="Times New Roman" w:cs="Times New Roman" w:eastAsia="Times New Roman" w:hAnsi="Times New Roman"/>
          <w:sz w:val="16"/>
          <w:szCs w:val="16"/>
          <w:color w:val="auto"/>
        </w:rPr>
        <w:t>for description of the contingent consideration arrangement.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provision of $35 thousand. For the nine months ended March 31, 2022, the Company recorded an income tax provision of $226 thousand. As of March 31, 2022, the Company reviewed the existing deferred tax assets and continues to record a full valuation against its deferred tax assets. The income tax provisions primarily relate to the Company's uncertain tax positions, as well as state income and franchise taxes. As of March 31, 2022, the Company had a total unrecognized income tax benefit of $0.5 million. The provision is based upon actual loss before income taxes for the nine months ended March 31, 2022, as the use of an estimated annual effective income tax rate does not provide a reliable estimate of the income tax provision.</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the three months ended March 31, 2021, the Company recorded an income tax provision of $44 thousand. For the nine months ended March 31, 2021, the Company recorded an income tax provision of $133 thousand. As of March 31, 2021, the Company reviewed the existing deferred tax assets in light of the COVID-19 pandemic and recorded a full valuation against its deferred tax assets. The income tax provisions primarily relate to the Company's uncertain tax positions, as well as state income and franchise taxes. As of March 31, 2021, the Company had a total unrecognized income tax benefit of $0.2 million. The provision is based upon actual loss before income taxes for the nine months ended March 31, 2021, as the use of an estimated annual effective income tax rate does not provide a reliable estimate of the income tax provision.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and the Company accounts for forfeitures as they occur.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fair value of options granted during the nine months ended March 31, 2022 and 2021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3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- 73.6%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- 77.3%</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- 1.2%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- 0.4%</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777,000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660,000</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4.72</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based compensation related to stock options with an established grant date for the three and nine months ended March 31, 2022 was $0.9 million and $2.3 million, respectively, and for the three and nine months March 31, 2021 was $1.3 million and $3.8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Times New Roman" w:cs="Times New Roman" w:eastAsia="Times New Roman" w:hAnsi="Times New Roman"/>
          <w:sz w:val="18"/>
          <w:szCs w:val="18"/>
          <w:i w:val="1"/>
          <w:iCs w:val="1"/>
          <w:color w:val="auto"/>
        </w:rPr>
        <w:t>ASC Topic 718 Compensation — Stock Compensation</w:t>
      </w:r>
      <w:r>
        <w:rPr>
          <w:rFonts w:ascii="Times New Roman" w:cs="Times New Roman" w:eastAsia="Times New Roman" w:hAnsi="Times New Roman"/>
          <w:sz w:val="18"/>
          <w:szCs w:val="18"/>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three and nine months ended March 31, 2022 for these awards was $0.1 million and $1.0 million, respectively. The total expense recognized for the three and nine months ended March 31, 2021 for these awards was $0.8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employees of Hudson Executive Capital LP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The total expense recognized for the three and nine months ended March 31, 2021 for these agreements was $0.8 million. In September 2021, the Company extended these consulting agreements through July 31, 2022 and, in connection therewith, the consultants were granted an additional 20,000 restricted stock units.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The total expense recognized for the three and nine months ended March 31, 2022 for these consulting agreements was $36 thousand and $0.2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expense recognized for common stock awards (excluding the consulting agreement described separately above) for the three and nine months ended March 31, 2022 was $0.5 million and $1.3 million, respectively, and for the three and nine months ended March 31, 2021 was $0.3 million and $0.9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 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 The syndicate for the Private Placement included affiliates of Hudson Executive, a greater than 10% shareholder and a related party of the Company. Affiliates of Hudson Executive purchased 975,000 of the shares sold in the Private Placement for the same purchase price and on the same terms as the other purchasers.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 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2021, the Company had outstanding warrants of 23,978, all of which were exercisable at $5.00 per share and with an expiration date of March 29, 2021. The warrants were exercised in March 2021 and 12,154 shares were issued pursuant to a cashless exercise option election made by the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or exercised warrants during the nine months ended March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Subpoena</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entered into various operating lease obligations. See </w:t>
      </w:r>
      <w:r>
        <w:rPr>
          <w:rFonts w:ascii="Times New Roman" w:cs="Times New Roman" w:eastAsia="Times New Roman" w:hAnsi="Times New Roman"/>
          <w:sz w:val="18"/>
          <w:szCs w:val="18"/>
          <w:i w:val="1"/>
          <w:iCs w:val="1"/>
          <w:color w:val="auto"/>
        </w:rPr>
        <w:t>Note 3 - Leases</w:t>
      </w:r>
      <w:r>
        <w:rPr>
          <w:rFonts w:ascii="Times New Roman" w:cs="Times New Roman" w:eastAsia="Times New Roman" w:hAnsi="Times New Roman"/>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had firm commitments to purchase inventory of approximately $21 million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three and nine months ended March 31, 2022 for these arrangements was $0.3 million and $1.1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 Equity</w:t>
      </w:r>
      <w:r>
        <w:rPr>
          <w:rFonts w:ascii="Times New Roman" w:cs="Times New Roman" w:eastAsia="Times New Roman" w:hAnsi="Times New Roman"/>
          <w:sz w:val="18"/>
          <w:szCs w:val="18"/>
          <w:color w:val="auto"/>
        </w:rPr>
        <w:t xml:space="preserve"> for information on transactions relating to Hudson Executive.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10-Q contains certain forward-looking statements within the meaning of Section 21E of the Securities Exchange Act of 1934, as amended, regarding, among other things, the anticipated financial and operating results of Cantaloupe, Inc. (“Cantaloupe”, “Company”, "our", "us", or "we").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51" w:lineRule="exact"/>
        <w:rPr>
          <w:sz w:val="20"/>
          <w:szCs w:val="20"/>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the impact of the ongoing COVID-19 pandemic, global supply chain disruptions, and inflationary pressures;</w:t>
      </w:r>
    </w:p>
    <w:p>
      <w:pPr>
        <w:spacing w:after="0" w:line="13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mutations of COVID-19 and the efficacy of vaccines and treatment developments and their deployment;</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the JPMorgan Credit Facility;</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current or future customers purchase, lease, rent or utilize ePort devices, Seed’s software solutions or our other products in the future at levels currently anticipated;</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intellectual property rights of others;</w:t>
      </w:r>
    </w:p>
    <w:p>
      <w:pPr>
        <w:spacing w:after="0" w:line="10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0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 between Russia and Ukraine;</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in compliance with the continued listing standards of the Nasdaq Global Select Market (“Nasdaq”) and continue to remain as a member of the US Small-Cap Russell 2000®;</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hanging="330"/>
        <w:spacing w:after="0" w:line="26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investigation, potential litigation or possible regulatory action arising from the internal investigation conducted by the Audit Committee in fiscal year 2019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Quarterly Report on Form 10-Q for the fiscal quarter ended September 30, 2021 and in our Annual Report on Form 10-K for the fiscal year ended June 30, 2021 (“2021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Nasdaq under the ticker symbol “CTLP” and the Company’s Series A Convertible Preferred Stock, no par value per share, began trading on the OTC Markets’ Pink Open Market under the trading symbol, “CTLPP”.</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year ends June 30. The Company generates revenue in multiple ways. During the three months ended March 31, 2022 and March 31, 2021, we derived approximately 84% and 81% respectively, from subscription and transaction fees and 16% and 19%, respectively, from equipment sales. During the nine months ended March 31, 2022 and March 31, 2021, we derived approximately 84% and 86%, respectively, from subscription and transaction fees and 16% and 14%, respectively, from equipment sales.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(as defined below) operating on the Company’s platform and using our services include those resulting from the sale, subscription, or financing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devices under the Company’s QuickStart Program, which are non-cancellable sixty-month sales-type leases directly from the Company;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monthly bundled subscription under the Company's Cantaloupe ONE program, which are 36-month rental agreements that transition to month-to-month agreements after the initial subscription commitment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Highlights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quarter ended March 31, 2022 are below:</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22,818 Active Customers (as defined below) and 1.1 million Active Devices (as defined below) on our service.</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success and rollout of the ePort Engage Series, with the release of the ePort Engage Combo to the market in March 2022. The ePort Engage Combo, the latest iteration of the ePort Engage series and touchscreen devices, provides customers an all-in-one card reader and telemeter; a digital touchscreen and payment platform to install directly over the existing bill acceptor.</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the general availability of the newly enhanced Yoke Micro Market Platform upgrade that includes new features and functionality for Yoke Pay, Yoke POS, and the Yoke Portal. This next generation platform is being upgraded into all existing Yoke customer locations, along with serving as the newly available product for customers to start deploying in the market.</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Cantaloupe announced and launched a bundled subscription model, the Cantaloupe ONE Platform which provides operators the flexibility and predictability of a monthly, fixed subscription amount covering the hardware and service fees.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progress on the partnership announced with HIVERY, a data-science company that specializes in Artificial Intelligence ("AI") technology to streamline category management for retailers in the consumer packaged goods industry.</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amended and restated credit agreement (the "Amended JP Morgan Credit Facility") with JP Morgan Chase Bank, N.A. in March 2022 that provides for a $15 million secured revolving credit facility and a $25 million secured term facility, which replaces our previous 2021 JPMorgan Credit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have over 200 employees across the United States and offices in Malvern, Pennsylvania and Atlanta, Georgia.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2022, have and may in the future lead to additional shutdowns and closures that impact our operations and financial results. Such impacts to our financial statements have in the past included, and may in the future include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three and nine months ended March 31,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the condensed consolidated financial statements and related notes included in this Form 10-Q. Certain prior years' amounts have been made to conform to the current year's presentation. The changes in presentation did not affect our total revenues, total costs of sales, gross profit, total operating expenses, operating loss, net loss or net loss per common share. For further information on the presentation changes, see </w:t>
      </w:r>
      <w:r>
        <w:rPr>
          <w:rFonts w:ascii="Times New Roman" w:cs="Times New Roman" w:eastAsia="Times New Roman" w:hAnsi="Times New Roman"/>
          <w:sz w:val="18"/>
          <w:szCs w:val="18"/>
          <w:i w:val="1"/>
          <w:iCs w:val="1"/>
          <w:color w:val="auto"/>
        </w:rPr>
        <w:t>Item 1. Financial Statements — Note 2. Summary of Significant Accounting Policies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and Dollar Volume of transactions to monitor recovery from the COVID-19 pandemic and to evaluate the effectiveness of our new customer strategy and our ability to leverage existing customers and partners.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4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jc w:val="right"/>
              <w:ind w:right="276"/>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1,125</w:t>
            </w: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1,123</w:t>
            </w:r>
          </w:p>
        </w:tc>
        <w:tc>
          <w:tcPr>
            <w:tcW w:w="18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1,115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22,818</w:t>
            </w:r>
          </w:p>
        </w:tc>
        <w:tc>
          <w:tcPr>
            <w:tcW w:w="14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21,315</w:t>
            </w:r>
          </w:p>
        </w:tc>
        <w:tc>
          <w:tcPr>
            <w:tcW w:w="18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20,738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1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258.6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8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257.9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8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553.4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quarter ended March 31, 2022 include:</w:t>
      </w:r>
    </w:p>
    <w:p>
      <w:pPr>
        <w:spacing w:after="0" w:line="27"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million Active Devices compared to 1.08 million in the same quarter last year, an increase of approximately 40 thousand Active Devices, or 4%;</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22,818 Active Customers on our service compared to 18,763 in the same quarter last year, an increase of 4,055 Active Customers, or 22%;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Dollar Volumes continue to remain strong and consistent with the quarter ended December 31, 2021 and 36% higher compared to the average processing volumes for the quarter ended March 31, 2021. See "Revenue and Gross Profit" in Management’s Discussion and Analysis of Financial Condition and Results of Operations above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657850" cy="6644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5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34,686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42,760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20,463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9,593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14,223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(1,519)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$7.5 million for the three months ended March 31, 2022 compared to the same period in 2021 substantially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attributable to the $7.5 million increase in subscription and transaction fees.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increase in subscription and transaction fees is primarily driven by increased processing volumes, with an approximately 36% increase in total dollar volumes for the current fiscal year quarter relative to the prior year quarter. We are currently exceeding pre-pandemic (COVID-19) levels of processing volumes. We continue to benefit from a broader macroeconomic recovery across the United States as businesses, schools and other organizations across the country continue to maintain normal levels of operations. Increase in revenues is also attributed to continued focus of management to grow our recurring services to our customer base and a 3% increase in the Active Devices count compared to the same period last year.</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Equipment sales have remained consistent compared to the same period last year as customers in both periods continued to upgrade their devices to be 4G compliant as it gets closer to the discontinuation of 3G network support in 2022. We expect equipment revenue to continue increasing through the 3G network discontinuation date in North America through the end of the 2022 calendar year.</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$4.0 million for the three months ended March 31, 2022 compared to the same period in 2021. The increase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is attributed primarily to a $4.8 million increase in subscription and transaction costs offset by a $0.8 million decrease in equipment costs. The increase in subscription and transaction costs was primarily driven by an increase in transaction processing fees corresponding with an increase in processing volumes. The decrease in equipment costs is in line with management's strategy to maintain a flat margin on equipment sales.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from 29.7% for the three months ended March 31, 2021 to 32.2% for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gross margin was primarily a result of a change in revenue mix of higher transaction fees during the current quarter compared to the same period in 2021. Even though transaction processing is inherently a lower margin revenue stream than our subscription model, we were able to operate at a higher margin for that specific product than the prior year due to the improvements in our payment processor and payment networks pricing that reduced our costs of sales. Furthermore, we have seen an increase in average price per transaction relative to the same period in the prior year which is additive to our gross margin.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by $0.6 million for the three months ended March 31,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change is attributed primarily to an increase of $1.1 million in technology and product development expenses, $0.2 million increase in sales and marketing partially offset by a $0.8 million decrease in general and administrative expenses. The change in total operating expenses reflects the Company's overall objectives to reduce general and administrative expenses and utilize savings to invest in innovative technologies and products and increase marketing spend to penetrate new and existing customers with our products and services. See further details on individual categories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relatively consistent for the three months ended March 31, 2022 and March 31, 2021.</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approximately $1.1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as compared to the same period in 2021. The increase was driven primarily by the Company's objectives of investing in innovative technologies and to further strengthen our network environment and platform through utilizing a combination of company personnel and external consultants.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approximately $0.8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the same period in 2021. The decrease in general and administrative expenses was primarily driven by a decrease of $1.3 million in stock based compensation expense related to a combination of forfeitures, lower Company stock price and valuation of performance based options, a decrease of $0.8 million in professional fees due to reduced reliance on external consultants who previously supported the Company’s accounting, financial reporting and legal functions, and a decrease of $0.8 million change in sales tax reserve. The above decreases were partially offset by an increase in bad debt expense of approximately $1 million, an increase of $0.6 million in cash compensation expense and a settlement of customer related expenses of $0.5 million in the prior year.</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relatively consistent for the three months ended March 31,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increased $1.1 million for the three months ended March 31, 2022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increase in interest income was driven by a larger finance receivables amount on our balance sheet as of March 31, 2022 compared to March 31, 2021.</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reduction in interest expense is primarily attributable to a $0.9 million change in the interest component of the sales tax reserve compared to the same period in the prior fiscal year. The change in the sales tax reserve was driven by the expiration of statute of limitations and other factors considered by management while establishing the reserve.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2022 Compared to Nine Months Ended March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123,956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101,008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117,921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60,415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23,871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78,677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56"/>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40,593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47,066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39,244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$29.3 million for the nine months ended March 31, 2022 compared to the same period in 2021.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$22.9 million and $6.3 million increase in subscription and transaction fees and equipment sales, respectively.</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subscription and transaction fees is primarily driven by increased processing volumes, with an approximately 24% increase in total dollar volumes for the nine months ended March 31, 2022 compared to the same period in 2021. We are currently exceeding pre-pandemic (COVID-19) levels of processing volumes. We continue to benefit from a broader macroeconomic recovery across the United States as businesses, schools and other organizations across the country continue to maintain normal levels of operations. Increase in revenues is also attributed to continued focus of management to grow our recurring services to our customer base and a slight increase in the Active Devices count compared to the same period last year.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equipment sales relates to more equipment shipments in the current quarter compared to same period last year driven by customers focused on liquidity during fiscal year 2021 due to the pandemic with many committing to 4G device upgrades but holding off on delivery until closer to the discontinuation of 3G network support in 2022. We expect equipment revenue to continue increasing through the 3G network discontinuation date in North America through the end of the 2022 calendar year.</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$21.4 million for the nine months ended March 31, 2022 compared to the same period in 2021. The increase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is attributed to a $15.8 million and $5.6 million increase in subscription and transaction costs and equipment costs respectively. The increase in cost of sales was primarily driven by an increase in transaction processing fees and equipment sales corresponding with an increase in processing volumes and equipment sales respectively.</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decreased from 33.3% for the nine months ended March 31, 2021 to 32.0% for the nine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gross margin was primarily as a result of a change in revenue mix with transaction fees making a larger percentage of our total revenues and subscription fees making up a lower percentage of our total revenues during the current year. Transaction processing is inherently a lower margin revenue stream than our subscription model resulting in a reduction of gross margin. We were able to offset a portion of the decrease in the total gross margin with an increase in our transaction fees margin by lowering costs for our payment processor and payment networks. Additionally, we have seen an increase in average price per transaction relative to the same period in the prior year, which is additive to our gross margin.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as a whole remained consistent for the nine months ended March 31,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increase of $0.2 million is attributed to a decrease of $6.4 million in general and administrative expenses, offset by a $5.3 million increase in technology and product development expenses and a $1.1 million increase in sales and marketing costs. The change in total operating expenses reflects the Company's overall objectives to reduce general and administrative expenses and utilize savings to invest in innovative technologies and products and increase marketing spend to penetrate new and existing customers with our products and services. See further details on individual categories below.</w:t>
      </w:r>
    </w:p>
    <w:p>
      <w:pPr>
        <w:spacing w:after="0" w:line="19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$1.1 million for the nine months ended March 31,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and relates primarily to an increase in advertising, trade show costs and sales and marketing employee headcount in the current year to support our expanding business and service offerings in the United States and internationally.</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approximately $5.3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as compared to the same period in 2021. The increase was driven primarily by the Company's objectives of investing in innovative technologies and to further strengthen our network environment and platform through utilizing a combination of company personnel and external consultants.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approximately $6.4 million for the nine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the same period in 2021. The decrease in general and administrative expenses was primarily driven by a $3.8 million decrease in professional fees due to reduced reliance on external consultants who previously supported the Company’s accounting, financial reporting and legal functions, a $1.8 million change relating to the network incident in the prior year, a $2 million change in sales tax reserve, $0.4 million decrease in compensation and benefits partially offset by an increase in bad debt expense of approximately $1.2 million and an increase in travel and expense costs of $0.5 million during the current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consistent for the nine months ended March 31, 2022 and March 31,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139.4 %</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increased $4.2 million for the nine months ended March 31, 2022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higher interest expense for the nine months ended March 31, 2021 was primarily related to the recognition of the remaining balance of unamortized debt issuance costs and debt discount associated with the senior secured term loan facility with Antara Capital Master Fund LP of $2.6 million into interest expense, when the Antara Term Facility was fully repaid and terminated. The remaining reduction in interest expense was mainly due to a $1.1 million change in the interest component of the sales tax reserve compared to the same period in the prior fiscal year. The change in the sales tax reserve was driven by the expiration of statute of limitations and other factors considered by management while establishing the reserve.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EBITDA (as defined below)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Adjusted EBITDA as U.S. GAAP net income (loss) before (i) interest income, (ii) interest expense on debt and reserves, (iii) income tax expense, (iv) depreciation, (v) amortization, (vi) stock-based compensation expense, and (vii) certain other significant infrequent or unusual losses and gains that are not indicative of our core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loss to Adjusted EBITDA:</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income (loss)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30"/>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costs of sales for rentals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1,062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1,495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3,651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shd w:val="clear" w:color="auto" w:fill="CCEEFF"/>
          </w:tcPr>
          <w:p>
            <w:pPr>
              <w:spacing w:after="0"/>
              <w:rPr>
                <w:sz w:val="11"/>
                <w:szCs w:val="11"/>
                <w:color w:val="auto"/>
              </w:rPr>
            </w:pPr>
          </w:p>
        </w:tc>
        <w:tc>
          <w:tcPr>
            <w:tcW w:w="76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60" w:type="dxa"/>
            <w:vAlign w:val="bottom"/>
          </w:tcPr>
          <w:p>
            <w:pPr>
              <w:spacing w:after="0"/>
              <w:rPr>
                <w:sz w:val="22"/>
                <w:szCs w:val="22"/>
                <w:color w:val="auto"/>
              </w:rPr>
            </w:pP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  As an adjustment to EBITDA, we have excluded stock-based compensation, as it does not reflect our cash-based operations.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1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8"/>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7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costs of sales for rentals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asset impairment charge </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146050</wp:posOffset>
            </wp:positionV>
            <wp:extent cx="67036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95"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27" w:lineRule="exact"/>
        <w:rPr>
          <w:rFonts w:ascii="Times New Roman" w:cs="Times New Roman" w:eastAsia="Times New Roman" w:hAnsi="Times New Roman"/>
          <w:sz w:val="14"/>
          <w:szCs w:val="14"/>
          <w:color w:val="auto"/>
        </w:rPr>
      </w:pPr>
    </w:p>
    <w:p>
      <w:pPr>
        <w:ind w:left="660" w:right="220" w:hanging="328"/>
        <w:spacing w:after="0" w:line="28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non-cash impairment charges related to long-lived operating lease assets because we believe that these do not represent charges that are related to our core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 has the following primary sources of capital available: (1) cash and cash equivalents on hand of $75.1 million as of March 31, 2022; (2) the cash that may be provided by operating activities; and (3) up to $15 million available to be drawn on the Amended JPMorgan Credit Facility.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$14.5 million in the aggregate as of March 31, 2022. The Company continues to evaluate these liabilities and the amount and timing of any such payments.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charts that reflect our cash liquidity and outstanding debt as of March 31, 2022 and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171450</wp:posOffset>
            </wp:positionV>
            <wp:extent cx="3429000" cy="3429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-22225</wp:posOffset>
            </wp:positionV>
            <wp:extent cx="2785745" cy="2117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March 31, 2022, net cash used in operating activities was $3.9 million, which primarily reflects our net income of $0.4 million and $16.2 million of cash utilized by working capital accounts, partially offset by non-cash operating charges of $11.9 million. The change in working capital accounts is primarily driven by cash used of $9 million to increase our inventory on hand, increase in accounts receivable of $4.4 million, reduction of accounts payable and accrued expenses of approximately $0.2 million, and an increase in prepaid expenses and other assets of $1.9 million. The increase in inventory is a result of the Company planning ahead for customers who are continuing to upgrade 3G devices to 4G as the 3G network sunset date approaches in 2022 and purchases for our new ePort Engage devices. Cash used in accrued expenses of $0.2 million is primarily attributable to the reduction of accounts payable and accrued expenses. Non-cash operating charges primarily consisted of stock-based compensation, depreciation of property and equipment, amortization of our intangible assets, and provisions for expected losses.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2021, net cash provided by operating activities was $7.8 million which reflects our net loss of $11.4 million, $1.1 million of cash utilized by working capital accounts, partially offset by non-cash operating charges of $18.1 million. Non-cash operating charges primarily consisted of the recognition of $2.7 million in unamortized issuance costs and debt discount related to the repayment of the 2020 Antara Term Facility, $6.4 million in stock-based compensation, and depreciation and amortization expenses of $4.2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$10.2 million for the nine months ended March 31, 2022. Increase in cash used is due to the cash paid for the Yoke acquisition of $3 million and $7.2 million for increased property and equipment balances driven primarily by the Company's continued focus on investing in innovative technologies and products.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$1.3 million for the nine months ended March 31, 2021 which was primarily used to increase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nine months ended March 31, 2022 which was primarily due to $0.7 million in proceeds from the Amended JPMorgan Credit Facility and $0.8 million in proceeds related to stock exercises, offset by $0.4 million in repayments on outstanding debt attributable to the Amended JPMorgan Credit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$50.3 million for the nine months ended March 31, 2021. For the nine months ended March 31, 2021, the Company raised $52.4 million of proceeds (net of issuance costs) through a private placement transaction with respect to the sale of an aggregate of 5,730,000 shares of the Company’s common stock to accredited investors. The Company paid $1.2 million as a prepayment penalty and commitment termination fee to Antara as part of the repayment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Antara Term Facility and paid $0.5 million of debt issuance costs as a result of entering into the 2021 JPMorgan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March 31, 2022, we entered into an amended credit agreement with JPMorgan Chase Bank, N.A. See </w:t>
      </w:r>
      <w:r>
        <w:rPr>
          <w:rFonts w:ascii="Times New Roman" w:cs="Times New Roman" w:eastAsia="Times New Roman" w:hAnsi="Times New Roman"/>
          <w:sz w:val="18"/>
          <w:szCs w:val="18"/>
          <w:i w:val="1"/>
          <w:iCs w:val="1"/>
          <w:color w:val="auto"/>
        </w:rPr>
        <w:t>Note 9 -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Financing Arrangements </w:t>
      </w:r>
      <w:r>
        <w:rPr>
          <w:rFonts w:ascii="Times New Roman" w:cs="Times New Roman" w:eastAsia="Times New Roman" w:hAnsi="Times New Roman"/>
          <w:sz w:val="18"/>
          <w:szCs w:val="18"/>
          <w:color w:val="auto"/>
        </w:rPr>
        <w:t>to the condensed consolidated financial statements for a description of the amendment. There were no other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from those disclosed in the section “Management’s Discussion and Analysis of Financial Condition and Results of Operations” in our Annual Report on Form 10-K for the fiscal year ended June 30,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2022, there were no significant changes to our critical accounting policies from those disclosed in the section “Management’s Discussion and Analysis of Financial Condition and Results of Operations” in our Annual Report on Form 10-K for the fiscal year ended June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for a description of recent accounting pronouncements.</w:t>
      </w: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7A, "Quantitative and Qualitative Disclosures About Market Risk," of our Annual Report on Form 10-K for the fiscal year ended June 30, 2021.</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 March 17, 2022, the Company entered into an amended credit agreement with JPMorgan Chase Bank, N.A. See </w:t>
      </w:r>
      <w:r>
        <w:rPr>
          <w:rFonts w:ascii="Times New Roman" w:cs="Times New Roman" w:eastAsia="Times New Roman" w:hAnsi="Times New Roman"/>
          <w:sz w:val="18"/>
          <w:szCs w:val="18"/>
          <w:i w:val="1"/>
          <w:iCs w:val="1"/>
          <w:color w:val="auto"/>
        </w:rPr>
        <w:t>Note 9 - Debt and Other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to the condensed consolidated financial statements for a description of the amendment.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to market risk have not changed materially since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are effective as of March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fiscal quarter ended March 31, 2022 that have materially affected, or are reasonably likely to materially affect, our internal controls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Notes to condensed consolidated financial statements, </w:t>
      </w:r>
      <w:r>
        <w:rPr>
          <w:rFonts w:ascii="Times New Roman" w:cs="Times New Roman" w:eastAsia="Times New Roman" w:hAnsi="Times New Roman"/>
          <w:sz w:val="18"/>
          <w:szCs w:val="18"/>
          <w:i w:val="1"/>
          <w:iCs w:val="1"/>
          <w:color w:val="auto"/>
        </w:rPr>
        <w:t>Note 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Part I, Item 1, of this Quarterly Report on Form 10-Q.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the Company’s risk factors, see the information under the heading “Risk Factors” in the Company’s Annual Report on Form 10-K for the fiscal year ended June 30, 2021 and its Quarterly Report on Form 10-Q for the quarter ended September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defaults on any senior securities. The total liquidation preference including accrued and unpaid dividends on our Series A Convertible Preferred Stock as of March 31, 2022 was $22.1 million. The dividend accrual dates for our Preferred Stock are February 1 and August 1. The annual cumulative dividend on our Preferred Stock is $1.50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0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10"/>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Second Amended and Restated Bylaws (incorporated by reference to Exhibit 3.1 to Form 8-K filed on August 10, 2021)</w:t>
              </w:r>
            </w:hyperlink>
            <w:r>
              <w:rPr>
                <w:rFonts w:ascii="Times New Roman" w:cs="Times New Roman" w:eastAsia="Times New Roman" w:hAnsi="Times New Roman"/>
                <w:sz w:val="18"/>
                <w:szCs w:val="18"/>
                <w:color w:val="000000"/>
              </w:rPr>
              <w:t>.</w:t>
            </w:r>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0"/>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Credit Amendment, by and among the Company, its subsidiaries and JPMorgan Chase Bank, N.A., dated March 17, 2022 (incorporated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by reference to Exhibit 10.1 to form 8-K filed on March 23, 2022).</w:t>
              </w:r>
            </w:hyperlink>
          </w:p>
        </w:tc>
        <w:tc>
          <w:tcPr>
            <w:tcW w:w="494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pursuant to Rule 13a-14(a) under the Securities Exchange Act of 1934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13a-14(a) under the Securities Exchange Act of 1934.</w:t>
            </w:r>
          </w:p>
        </w:tc>
        <w:tc>
          <w:tcPr>
            <w:tcW w:w="20" w:type="dxa"/>
            <w:vAlign w:val="bottom"/>
            <w:tcBorders>
              <w:top w:val="single" w:sz="8" w:color="0000FF"/>
            </w:tcBorders>
          </w:tcPr>
          <w:p>
            <w:pPr>
              <w:spacing w:after="0"/>
              <w:rPr>
                <w:sz w:val="24"/>
                <w:szCs w:val="24"/>
                <w:color w:val="auto"/>
              </w:rPr>
            </w:pPr>
          </w:p>
        </w:tc>
        <w:tc>
          <w:tcPr>
            <w:tcW w:w="1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240" w:right="20" w:hanging="1214"/>
        <w:spacing w:after="0" w:line="220"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March 31, 2022, filed with the SEC on May 6, 2022, is formatted in Inline Extensible Business Reporting Language (“iXBRL”): (1) the Condensed Consolidated Balance Sheets as of March 31, 2022 and June 30, 2021, (2) the Condensed Consolidated Statements of Operations for the three-month and nine-month periods ended March 31, 2022 and 2021, (3) the Condensed Consolidated Statements of Shareholders’ Equity for the three-month and nine-month periods ended March 31, 2022 and 2021, (4) the Condensed Consolidated Statements of Cash Flows for the nine-month periods ended March 31, 2022 and 2021, and (5) the Notes to Consolidated Financial Statements.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265" w:lineRule="exact"/>
        <w:rPr>
          <w:sz w:val="20"/>
          <w:szCs w:val="20"/>
          <w:color w:val="auto"/>
        </w:rPr>
      </w:pPr>
    </w:p>
    <w:p>
      <w:pPr>
        <w:ind w:left="1240" w:right="320" w:hanging="1214"/>
        <w:spacing w:after="0" w:line="237"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March 31, 2022, filed with the SEC on May 6, 2022, is formatted as Inline iXBRL and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Feeney</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Feeney</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Feeney, certify that:</w:t>
      </w:r>
    </w:p>
    <w:p>
      <w:pPr>
        <w:spacing w:after="0" w:line="196" w:lineRule="exact"/>
        <w:rPr>
          <w:sz w:val="20"/>
          <w:szCs w:val="20"/>
          <w:color w:val="auto"/>
        </w:rPr>
      </w:pPr>
    </w:p>
    <w:p>
      <w:pPr>
        <w:ind w:left="660" w:hanging="652"/>
        <w:spacing w:after="0" w:line="253" w:lineRule="exact"/>
        <w:tabs>
          <w:tab w:leader="none" w:pos="660" w:val="left"/>
        </w:tabs>
        <w:numPr>
          <w:ilvl w:val="0"/>
          <w:numId w:val="15"/>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80"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Feeney</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Feeney</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96" w:lineRule="exact"/>
        <w:rPr>
          <w:sz w:val="20"/>
          <w:szCs w:val="20"/>
          <w:color w:val="auto"/>
        </w:rPr>
      </w:pPr>
    </w:p>
    <w:p>
      <w:pPr>
        <w:ind w:left="660" w:hanging="652"/>
        <w:spacing w:after="0" w:line="253" w:lineRule="exact"/>
        <w:tabs>
          <w:tab w:leader="none" w:pos="660" w:val="left"/>
        </w:tabs>
        <w:numPr>
          <w:ilvl w:val="0"/>
          <w:numId w:val="16"/>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80"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2022 (the “Report”), I, Sean Feeney, Chief Executive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Feeney</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Feeney</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2022 (the “Report”), I, Scott Stewart, Chief Financial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0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5" Type="http://schemas.openxmlformats.org/officeDocument/2006/relationships/hyperlink" Target="https://www.sec.gov/Archives/edgar/data/896429/000162828022001838/a31-amendedandrestatedarti.htm" TargetMode="External"/><Relationship Id="rId76" Type="http://schemas.openxmlformats.org/officeDocument/2006/relationships/hyperlink" Target="https://www.sec.gov/ix?doc=/Archives/edgar/data/0000896429/000091412121005445/p56531664-8ki.htm" TargetMode="External"/><Relationship Id="rId77" Type="http://schemas.openxmlformats.org/officeDocument/2006/relationships/hyperlink" Target="https://www.sec.gov/ix?doc=/Archives/edgar/data/896429/000162828022007062/usat-202203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2022-05-06T12:17:26Z</dcterms:created>
  <dcterms:modified xsi:type="dcterms:W3CDTF">2022-05-06T12:17:26Z</dcterms:modified>
</cp:coreProperties>
</file>