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440055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389255</wp:posOffset>
            </wp:positionV>
            <wp:extent cx="7132320"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43180"/>
                    </a:xfrm>
                    <a:prstGeom prst="rect">
                      <a:avLst/>
                    </a:prstGeom>
                    <a:noFill/>
                  </pic:spPr>
                </pic:pic>
              </a:graphicData>
            </a:graphic>
          </wp:anchor>
        </w:drawing>
        <w:t>UNITED STATES</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10-K</w:t>
      </w:r>
    </w:p>
    <w:p>
      <w:pPr>
        <w:spacing w:after="0" w:line="200"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ANNUAL REPORT PURSUANT TO SECTION 13 OR 15(d) OF THE SECURITIES EXCHANGE ACT OF 1934</w:t>
      </w:r>
    </w:p>
    <w:p>
      <w:pPr>
        <w:spacing w:after="0" w:line="14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For the fiscal year ended June 30, 2024</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OR</w:t>
      </w:r>
    </w:p>
    <w:p>
      <w:pPr>
        <w:spacing w:after="0" w:line="201" w:lineRule="exact"/>
        <w:rPr>
          <w:sz w:val="24"/>
          <w:szCs w:val="24"/>
          <w:color w:val="auto"/>
        </w:rPr>
      </w:pPr>
    </w:p>
    <w:p>
      <w:pPr>
        <w:ind w:left="360" w:hanging="334"/>
        <w:spacing w:after="0"/>
        <w:tabs>
          <w:tab w:leader="none" w:pos="36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TRANSITION REPORT PURSUANT TO SECTION 13 OR 15 (d) OF THE EXCHANGE ACT OF 1934</w:t>
      </w:r>
    </w:p>
    <w:p>
      <w:pPr>
        <w:spacing w:after="0" w:line="154" w:lineRule="exact"/>
        <w:rPr>
          <w:sz w:val="24"/>
          <w:szCs w:val="24"/>
          <w:color w:val="auto"/>
        </w:rPr>
      </w:pPr>
    </w:p>
    <w:p>
      <w:pPr>
        <w:ind w:left="2880"/>
        <w:spacing w:after="0"/>
        <w:rPr>
          <w:sz w:val="20"/>
          <w:szCs w:val="20"/>
          <w:color w:val="auto"/>
        </w:rPr>
      </w:pPr>
      <w:r>
        <w:rPr>
          <w:rFonts w:ascii="Times New Roman" w:cs="Times New Roman" w:eastAsia="Times New Roman" w:hAnsi="Times New Roman"/>
          <w:sz w:val="16"/>
          <w:szCs w:val="16"/>
          <w:color w:val="auto"/>
        </w:rPr>
        <w:t>For the transition period from ____________________ to _____________________</w:t>
      </w:r>
    </w:p>
    <w:p>
      <w:pPr>
        <w:spacing w:after="0" w:line="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Commission file number 001-33365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2979420</wp:posOffset>
            </wp:positionH>
            <wp:positionV relativeFrom="paragraph">
              <wp:posOffset>37465</wp:posOffset>
            </wp:positionV>
            <wp:extent cx="1183005" cy="3346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83005" cy="3346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Cantaloupe, Inc.</w:t>
      </w:r>
    </w:p>
    <w:p>
      <w:pPr>
        <w:spacing w:after="0" w:line="20" w:lineRule="exact"/>
        <w:rPr>
          <w:sz w:val="24"/>
          <w:szCs w:val="24"/>
          <w:color w:val="auto"/>
        </w:rPr>
      </w:pPr>
    </w:p>
    <w:p>
      <w:pPr>
        <w:ind w:left="314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____________________________________________________________________________________________</w:t>
      </w:r>
    </w:p>
    <w:p>
      <w:pPr>
        <w:spacing w:after="0" w:line="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132"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7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Pennsylvania</w:t>
            </w: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280" w:type="dxa"/>
            <w:vAlign w:val="bottom"/>
            <w:gridSpan w:val="4"/>
          </w:tcPr>
          <w:p>
            <w:pPr>
              <w:jc w:val="center"/>
              <w:ind w:right="2500"/>
              <w:spacing w:after="0"/>
              <w:rPr>
                <w:sz w:val="20"/>
                <w:szCs w:val="20"/>
                <w:color w:val="auto"/>
              </w:rPr>
            </w:pPr>
            <w:r>
              <w:rPr>
                <w:rFonts w:ascii="Times New Roman" w:cs="Times New Roman" w:eastAsia="Times New Roman" w:hAnsi="Times New Roman"/>
                <w:sz w:val="16"/>
                <w:szCs w:val="16"/>
                <w:b w:val="1"/>
                <w:bCs w:val="1"/>
                <w:color w:val="auto"/>
              </w:rPr>
              <w:t>23-2679963</w:t>
            </w:r>
          </w:p>
        </w:tc>
      </w:tr>
      <w:tr>
        <w:trPr>
          <w:trHeight w:val="20"/>
        </w:trPr>
        <w:tc>
          <w:tcPr>
            <w:tcW w:w="7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231"/>
        </w:trPr>
        <w:tc>
          <w:tcPr>
            <w:tcW w:w="700" w:type="dxa"/>
            <w:vAlign w:val="bottom"/>
          </w:tcPr>
          <w:p>
            <w:pPr>
              <w:spacing w:after="0"/>
              <w:rPr>
                <w:sz w:val="20"/>
                <w:szCs w:val="20"/>
                <w:color w:val="auto"/>
              </w:rPr>
            </w:pPr>
          </w:p>
        </w:tc>
        <w:tc>
          <w:tcPr>
            <w:tcW w:w="4420" w:type="dxa"/>
            <w:vAlign w:val="bottom"/>
            <w:gridSpan w:val="8"/>
          </w:tcPr>
          <w:p>
            <w:pPr>
              <w:jc w:val="center"/>
              <w:ind w:right="520"/>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tc>
        <w:tc>
          <w:tcPr>
            <w:tcW w:w="1560" w:type="dxa"/>
            <w:vAlign w:val="bottom"/>
          </w:tcPr>
          <w:p>
            <w:pPr>
              <w:spacing w:after="0"/>
              <w:rPr>
                <w:sz w:val="20"/>
                <w:szCs w:val="20"/>
                <w:color w:val="auto"/>
              </w:rPr>
            </w:pPr>
          </w:p>
        </w:tc>
        <w:tc>
          <w:tcPr>
            <w:tcW w:w="4560" w:type="dxa"/>
            <w:vAlign w:val="bottom"/>
            <w:gridSpan w:val="5"/>
          </w:tcPr>
          <w:p>
            <w:pPr>
              <w:jc w:val="center"/>
              <w:ind w:right="1200"/>
              <w:spacing w:after="0"/>
              <w:rPr>
                <w:sz w:val="20"/>
                <w:szCs w:val="20"/>
                <w:color w:val="auto"/>
              </w:rPr>
            </w:pPr>
            <w:r>
              <w:rPr>
                <w:rFonts w:ascii="Times New Roman" w:cs="Times New Roman" w:eastAsia="Times New Roman" w:hAnsi="Times New Roman"/>
                <w:sz w:val="16"/>
                <w:szCs w:val="16"/>
                <w:color w:val="auto"/>
              </w:rPr>
              <w:t>(I.R.S. Employer Identification No.)</w:t>
            </w:r>
          </w:p>
        </w:tc>
      </w:tr>
      <w:tr>
        <w:trPr>
          <w:trHeight w:val="289"/>
        </w:trPr>
        <w:tc>
          <w:tcPr>
            <w:tcW w:w="3120" w:type="dxa"/>
            <w:vAlign w:val="bottom"/>
            <w:gridSpan w:val="4"/>
          </w:tcPr>
          <w:p>
            <w:pPr>
              <w:ind w:left="700"/>
              <w:spacing w:after="0"/>
              <w:rPr>
                <w:sz w:val="20"/>
                <w:szCs w:val="20"/>
                <w:color w:val="auto"/>
              </w:rPr>
            </w:pPr>
            <w:r>
              <w:rPr>
                <w:rFonts w:ascii="Times New Roman" w:cs="Times New Roman" w:eastAsia="Times New Roman" w:hAnsi="Times New Roman"/>
                <w:sz w:val="16"/>
                <w:szCs w:val="16"/>
                <w:b w:val="1"/>
                <w:bCs w:val="1"/>
                <w:color w:val="auto"/>
              </w:rPr>
              <w:t>101 Lindenwood Drive</w:t>
            </w:r>
          </w:p>
        </w:tc>
        <w:tc>
          <w:tcPr>
            <w:tcW w:w="20" w:type="dxa"/>
            <w:vAlign w:val="bottom"/>
          </w:tcPr>
          <w:p>
            <w:pPr>
              <w:spacing w:after="0"/>
              <w:rPr>
                <w:sz w:val="24"/>
                <w:szCs w:val="24"/>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Malvern,</w:t>
            </w:r>
          </w:p>
        </w:tc>
        <w:tc>
          <w:tcPr>
            <w:tcW w:w="9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Pennsylvania</w:t>
            </w:r>
          </w:p>
        </w:tc>
        <w:tc>
          <w:tcPr>
            <w:tcW w:w="1560" w:type="dxa"/>
            <w:vAlign w:val="bottom"/>
          </w:tcPr>
          <w:p>
            <w:pPr>
              <w:spacing w:after="0"/>
              <w:rPr>
                <w:sz w:val="24"/>
                <w:szCs w:val="24"/>
                <w:color w:val="auto"/>
              </w:rPr>
            </w:pPr>
          </w:p>
        </w:tc>
        <w:tc>
          <w:tcPr>
            <w:tcW w:w="2060" w:type="dxa"/>
            <w:vAlign w:val="bottom"/>
            <w:gridSpan w:val="4"/>
          </w:tcPr>
          <w:p>
            <w:pPr>
              <w:jc w:val="center"/>
              <w:ind w:left="1219"/>
              <w:spacing w:after="0"/>
              <w:rPr>
                <w:sz w:val="20"/>
                <w:szCs w:val="20"/>
                <w:color w:val="auto"/>
              </w:rPr>
            </w:pPr>
            <w:r>
              <w:rPr>
                <w:rFonts w:ascii="Times New Roman" w:cs="Times New Roman" w:eastAsia="Times New Roman" w:hAnsi="Times New Roman"/>
                <w:sz w:val="16"/>
                <w:szCs w:val="16"/>
                <w:b w:val="1"/>
                <w:bCs w:val="1"/>
                <w:color w:val="auto"/>
                <w:w w:val="99"/>
              </w:rPr>
              <w:t>19355</w:t>
            </w:r>
          </w:p>
        </w:tc>
        <w:tc>
          <w:tcPr>
            <w:tcW w:w="2500" w:type="dxa"/>
            <w:vAlign w:val="bottom"/>
          </w:tcPr>
          <w:p>
            <w:pPr>
              <w:spacing w:after="0"/>
              <w:rPr>
                <w:sz w:val="24"/>
                <w:szCs w:val="24"/>
                <w:color w:val="auto"/>
              </w:rPr>
            </w:pPr>
          </w:p>
        </w:tc>
      </w:tr>
      <w:tr>
        <w:trPr>
          <w:trHeight w:val="20"/>
        </w:trPr>
        <w:tc>
          <w:tcPr>
            <w:tcW w:w="700" w:type="dxa"/>
            <w:vAlign w:val="bottom"/>
          </w:tcPr>
          <w:p>
            <w:pPr>
              <w:spacing w:after="0" w:line="20" w:lineRule="exact"/>
              <w:rPr>
                <w:sz w:val="1"/>
                <w:szCs w:val="1"/>
                <w:color w:val="auto"/>
              </w:rPr>
            </w:pPr>
          </w:p>
        </w:tc>
        <w:tc>
          <w:tcPr>
            <w:tcW w:w="1580" w:type="dxa"/>
            <w:vAlign w:val="bottom"/>
            <w:gridSpan w:val="2"/>
            <w:shd w:val="clear" w:color="auto" w:fill="000000"/>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r>
      <w:tr>
        <w:trPr>
          <w:trHeight w:val="231"/>
        </w:trPr>
        <w:tc>
          <w:tcPr>
            <w:tcW w:w="700" w:type="dxa"/>
            <w:vAlign w:val="bottom"/>
          </w:tcPr>
          <w:p>
            <w:pPr>
              <w:spacing w:after="0"/>
              <w:rPr>
                <w:sz w:val="20"/>
                <w:szCs w:val="20"/>
                <w:color w:val="auto"/>
              </w:rPr>
            </w:pPr>
          </w:p>
        </w:tc>
        <w:tc>
          <w:tcPr>
            <w:tcW w:w="3480" w:type="dxa"/>
            <w:vAlign w:val="bottom"/>
            <w:gridSpan w:val="6"/>
          </w:tcPr>
          <w:p>
            <w:pPr>
              <w:jc w:val="center"/>
              <w:ind w:left="359"/>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280" w:type="dxa"/>
            <w:vAlign w:val="bottom"/>
            <w:gridSpan w:val="4"/>
          </w:tcPr>
          <w:p>
            <w:pPr>
              <w:jc w:val="center"/>
              <w:ind w:right="2480"/>
              <w:spacing w:after="0"/>
              <w:rPr>
                <w:sz w:val="20"/>
                <w:szCs w:val="20"/>
                <w:color w:val="auto"/>
              </w:rPr>
            </w:pPr>
            <w:r>
              <w:rPr>
                <w:rFonts w:ascii="Times New Roman" w:cs="Times New Roman" w:eastAsia="Times New Roman" w:hAnsi="Times New Roman"/>
                <w:sz w:val="16"/>
                <w:szCs w:val="16"/>
                <w:color w:val="auto"/>
              </w:rPr>
              <w:t>(Zip Code)</w:t>
            </w:r>
          </w:p>
        </w:tc>
      </w:tr>
      <w:tr>
        <w:trPr>
          <w:trHeight w:val="390"/>
        </w:trPr>
        <w:tc>
          <w:tcPr>
            <w:tcW w:w="7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100" w:type="dxa"/>
            <w:vAlign w:val="bottom"/>
            <w:gridSpan w:val="10"/>
          </w:tcPr>
          <w:p>
            <w:pPr>
              <w:jc w:val="center"/>
              <w:ind w:right="3140"/>
              <w:spacing w:after="0" w:line="184" w:lineRule="exact"/>
              <w:rPr>
                <w:sz w:val="20"/>
                <w:szCs w:val="20"/>
                <w:color w:val="auto"/>
              </w:rPr>
            </w:pPr>
            <w:r>
              <w:rPr>
                <w:rFonts w:ascii="Times New Roman" w:cs="Times New Roman" w:eastAsia="Times New Roman" w:hAnsi="Times New Roman"/>
                <w:sz w:val="16"/>
                <w:szCs w:val="16"/>
                <w:color w:val="auto"/>
              </w:rPr>
              <w:t>(Registrant’s telephone number, including area code) (</w:t>
            </w:r>
            <w:r>
              <w:rPr>
                <w:rFonts w:ascii="Times New Roman" w:cs="Times New Roman" w:eastAsia="Times New Roman" w:hAnsi="Times New Roman"/>
                <w:sz w:val="16"/>
                <w:szCs w:val="16"/>
                <w:b w:val="1"/>
                <w:bCs w:val="1"/>
                <w:color w:val="auto"/>
              </w:rPr>
              <w:t>610) 989</w:t>
            </w:r>
            <w:r>
              <w:rPr>
                <w:rFonts w:ascii="MS PGothic" w:cs="MS PGothic" w:eastAsia="MS PGothic" w:hAnsi="MS PGothic"/>
                <w:sz w:val="16"/>
                <w:szCs w:val="16"/>
                <w:color w:val="auto"/>
                <w:strike w:val="1"/>
              </w:rPr>
              <w:t>‑</w:t>
            </w:r>
            <w:r>
              <w:rPr>
                <w:rFonts w:ascii="Times New Roman" w:cs="Times New Roman" w:eastAsia="Times New Roman" w:hAnsi="Times New Roman"/>
                <w:sz w:val="16"/>
                <w:szCs w:val="16"/>
                <w:b w:val="1"/>
                <w:bCs w:val="1"/>
                <w:color w:val="auto"/>
              </w:rPr>
              <w:t>0340</w:t>
            </w:r>
          </w:p>
        </w:tc>
      </w:tr>
      <w:tr>
        <w:trPr>
          <w:trHeight w:val="420"/>
        </w:trPr>
        <w:tc>
          <w:tcPr>
            <w:tcW w:w="7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100" w:type="dxa"/>
            <w:vAlign w:val="bottom"/>
            <w:gridSpan w:val="10"/>
          </w:tcPr>
          <w:p>
            <w:pPr>
              <w:jc w:val="center"/>
              <w:ind w:right="312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r>
      <w:tr>
        <w:trPr>
          <w:trHeight w:val="327"/>
        </w:trPr>
        <w:tc>
          <w:tcPr>
            <w:tcW w:w="70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3"/>
          </w:tcPr>
          <w:p>
            <w:pPr>
              <w:jc w:val="center"/>
              <w:ind w:left="679"/>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center"/>
              <w:ind w:right="399"/>
              <w:spacing w:after="0"/>
              <w:rPr>
                <w:sz w:val="20"/>
                <w:szCs w:val="20"/>
                <w:color w:val="auto"/>
              </w:rPr>
            </w:pPr>
            <w:r>
              <w:rPr>
                <w:rFonts w:ascii="Times New Roman" w:cs="Times New Roman" w:eastAsia="Times New Roman" w:hAnsi="Times New Roman"/>
                <w:sz w:val="16"/>
                <w:szCs w:val="16"/>
                <w:color w:val="auto"/>
                <w:w w:val="99"/>
              </w:rPr>
              <w:t>Trading Symbol</w:t>
            </w:r>
          </w:p>
        </w:tc>
        <w:tc>
          <w:tcPr>
            <w:tcW w:w="456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07"/>
        </w:trPr>
        <w:tc>
          <w:tcPr>
            <w:tcW w:w="700" w:type="dxa"/>
            <w:vAlign w:val="bottom"/>
          </w:tcPr>
          <w:p>
            <w:pPr>
              <w:spacing w:after="0"/>
              <w:rPr>
                <w:sz w:val="17"/>
                <w:szCs w:val="17"/>
                <w:color w:val="auto"/>
              </w:rPr>
            </w:pPr>
          </w:p>
        </w:tc>
        <w:tc>
          <w:tcPr>
            <w:tcW w:w="3480" w:type="dxa"/>
            <w:vAlign w:val="bottom"/>
            <w:gridSpan w:val="6"/>
          </w:tcPr>
          <w:p>
            <w:pPr>
              <w:jc w:val="center"/>
              <w:ind w:right="300"/>
              <w:spacing w:after="0"/>
              <w:rPr>
                <w:sz w:val="20"/>
                <w:szCs w:val="20"/>
                <w:color w:val="auto"/>
              </w:rPr>
            </w:pPr>
            <w:r>
              <w:rPr>
                <w:rFonts w:ascii="Times New Roman" w:cs="Times New Roman" w:eastAsia="Times New Roman" w:hAnsi="Times New Roman"/>
                <w:sz w:val="16"/>
                <w:szCs w:val="16"/>
                <w:color w:val="auto"/>
              </w:rPr>
              <w:t>Common Stock, no par value</w:t>
            </w: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60" w:type="dxa"/>
            <w:vAlign w:val="bottom"/>
          </w:tcPr>
          <w:p>
            <w:pPr>
              <w:jc w:val="center"/>
              <w:ind w:right="399"/>
              <w:spacing w:after="0"/>
              <w:rPr>
                <w:sz w:val="20"/>
                <w:szCs w:val="20"/>
                <w:color w:val="auto"/>
              </w:rPr>
            </w:pPr>
            <w:r>
              <w:rPr>
                <w:rFonts w:ascii="Times New Roman" w:cs="Times New Roman" w:eastAsia="Times New Roman" w:hAnsi="Times New Roman"/>
                <w:sz w:val="16"/>
                <w:szCs w:val="16"/>
                <w:color w:val="auto"/>
              </w:rPr>
              <w:t>CTLP</w:t>
            </w:r>
          </w:p>
        </w:tc>
        <w:tc>
          <w:tcPr>
            <w:tcW w:w="4560" w:type="dxa"/>
            <w:vAlign w:val="bottom"/>
            <w:gridSpan w:val="5"/>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bl>
    <w:p>
      <w:pPr>
        <w:spacing w:after="0" w:line="154" w:lineRule="exact"/>
        <w:rPr>
          <w:sz w:val="24"/>
          <w:szCs w:val="24"/>
          <w:color w:val="auto"/>
        </w:rPr>
      </w:pPr>
    </w:p>
    <w:p>
      <w:pPr>
        <w:ind w:right="3460" w:firstLine="3533"/>
        <w:spacing w:after="0" w:line="233" w:lineRule="exact"/>
        <w:rPr>
          <w:sz w:val="20"/>
          <w:szCs w:val="20"/>
          <w:color w:val="auto"/>
        </w:rPr>
      </w:pPr>
      <w:r>
        <w:rPr>
          <w:rFonts w:ascii="Times New Roman" w:cs="Times New Roman" w:eastAsia="Times New Roman" w:hAnsi="Times New Roman"/>
          <w:sz w:val="16"/>
          <w:szCs w:val="16"/>
          <w:color w:val="auto"/>
        </w:rPr>
        <w:t xml:space="preserve">Securities registered pursuant to Section 12(g) of the Act: None </w:t>
      </w: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1" w:lineRule="exact"/>
        <w:rPr>
          <w:sz w:val="24"/>
          <w:szCs w:val="24"/>
          <w:color w:val="auto"/>
        </w:rPr>
      </w:pPr>
    </w:p>
    <w:p>
      <w:pPr>
        <w:ind w:right="20"/>
        <w:spacing w:after="0" w:line="20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7" w:lineRule="exact"/>
        <w:rPr>
          <w:sz w:val="24"/>
          <w:szCs w:val="24"/>
          <w:color w:val="auto"/>
        </w:rPr>
      </w:pPr>
    </w:p>
    <w:p>
      <w:pPr>
        <w:ind w:right="20"/>
        <w:spacing w:after="0" w:line="20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p>
    <w:p>
      <w:pPr>
        <w:spacing w:after="0" w:line="193" w:lineRule="exact"/>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2 of the Exchange Act.</w:t>
      </w:r>
    </w:p>
    <w:p>
      <w:pPr>
        <w:sectPr>
          <w:pgSz w:w="11900" w:h="16838" w:orient="portrait"/>
          <w:cols w:equalWidth="0" w:num="1">
            <w:col w:w="11240"/>
          </w:cols>
          <w:pgMar w:left="320" w:top="851" w:right="339" w:bottom="1440" w:gutter="0" w:footer="0" w:header="0"/>
        </w:sectPr>
      </w:pPr>
    </w:p>
    <w:p>
      <w:pPr>
        <w:spacing w:after="0" w:line="87"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color w:val="auto"/>
        </w:rPr>
        <w:t>Large accelerated filer</w:t>
      </w:r>
    </w:p>
    <w:p>
      <w:pPr>
        <w:spacing w:after="0" w:line="96"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color w:val="auto"/>
        </w:rPr>
        <w:t>Non-accelerated filer (Do not check if a smaller reporting company)</w:t>
      </w:r>
    </w:p>
    <w:p>
      <w:pPr>
        <w:spacing w:after="0" w:line="42"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340" w:type="dxa"/>
            <w:vAlign w:val="bottom"/>
          </w:tcPr>
          <w:p>
            <w:pPr>
              <w:spacing w:after="0" w:line="141" w:lineRule="exact"/>
              <w:rPr>
                <w:sz w:val="20"/>
                <w:szCs w:val="20"/>
                <w:color w:val="auto"/>
              </w:rPr>
            </w:pPr>
            <w:r>
              <w:rPr>
                <w:rFonts w:ascii="MS PGothic" w:cs="MS PGothic" w:eastAsia="MS PGothic" w:hAnsi="MS PGothic"/>
                <w:sz w:val="14"/>
                <w:szCs w:val="14"/>
                <w:color w:val="auto"/>
              </w:rPr>
              <w:t>☐</w:t>
            </w:r>
          </w:p>
        </w:tc>
        <w:tc>
          <w:tcPr>
            <w:tcW w:w="34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Accelerated filer</w:t>
            </w:r>
          </w:p>
        </w:tc>
        <w:tc>
          <w:tcPr>
            <w:tcW w:w="1940" w:type="dxa"/>
            <w:vAlign w:val="bottom"/>
          </w:tcPr>
          <w:p>
            <w:pPr>
              <w:ind w:left="1700"/>
              <w:spacing w:after="0" w:line="141" w:lineRule="exact"/>
              <w:rPr>
                <w:sz w:val="20"/>
                <w:szCs w:val="20"/>
                <w:color w:val="auto"/>
              </w:rPr>
            </w:pPr>
            <w:r>
              <w:rPr>
                <w:rFonts w:ascii="MS PGothic" w:cs="MS PGothic" w:eastAsia="MS PGothic" w:hAnsi="MS PGothic"/>
                <w:sz w:val="14"/>
                <w:szCs w:val="14"/>
                <w:color w:val="auto"/>
              </w:rPr>
              <w:t>☒</w:t>
            </w:r>
          </w:p>
        </w:tc>
      </w:tr>
      <w:tr>
        <w:trPr>
          <w:trHeight w:val="203"/>
        </w:trPr>
        <w:tc>
          <w:tcPr>
            <w:tcW w:w="340" w:type="dxa"/>
            <w:vAlign w:val="bottom"/>
          </w:tcPr>
          <w:p>
            <w:pPr>
              <w:spacing w:after="0" w:line="141" w:lineRule="exact"/>
              <w:rPr>
                <w:sz w:val="20"/>
                <w:szCs w:val="20"/>
                <w:color w:val="auto"/>
              </w:rPr>
            </w:pPr>
            <w:r>
              <w:rPr>
                <w:rFonts w:ascii="MS PGothic" w:cs="MS PGothic" w:eastAsia="MS PGothic" w:hAnsi="MS PGothic"/>
                <w:sz w:val="14"/>
                <w:szCs w:val="14"/>
                <w:color w:val="auto"/>
              </w:rPr>
              <w:t>☐</w:t>
            </w:r>
          </w:p>
        </w:tc>
        <w:tc>
          <w:tcPr>
            <w:tcW w:w="34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1940" w:type="dxa"/>
            <w:vAlign w:val="bottom"/>
          </w:tcPr>
          <w:p>
            <w:pPr>
              <w:ind w:left="18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2"/>
        </w:trPr>
        <w:tc>
          <w:tcPr>
            <w:tcW w:w="340" w:type="dxa"/>
            <w:vAlign w:val="bottom"/>
          </w:tcPr>
          <w:p>
            <w:pPr>
              <w:spacing w:after="0" w:line="141" w:lineRule="exact"/>
              <w:rPr>
                <w:sz w:val="20"/>
                <w:szCs w:val="20"/>
                <w:color w:val="auto"/>
              </w:rPr>
            </w:pPr>
            <w:r>
              <w:rPr>
                <w:rFonts w:ascii="MS PGothic" w:cs="MS PGothic" w:eastAsia="MS PGothic" w:hAnsi="MS PGothic"/>
                <w:sz w:val="14"/>
                <w:szCs w:val="14"/>
                <w:color w:val="auto"/>
              </w:rPr>
              <w:t>☐</w:t>
            </w:r>
          </w:p>
        </w:tc>
        <w:tc>
          <w:tcPr>
            <w:tcW w:w="3480" w:type="dxa"/>
            <w:vAlign w:val="bottom"/>
          </w:tcPr>
          <w:p>
            <w:pPr>
              <w:spacing w:after="0"/>
              <w:rPr>
                <w:sz w:val="21"/>
                <w:szCs w:val="21"/>
                <w:color w:val="auto"/>
              </w:rPr>
            </w:pPr>
          </w:p>
        </w:tc>
        <w:tc>
          <w:tcPr>
            <w:tcW w:w="1940" w:type="dxa"/>
            <w:vAlign w:val="bottom"/>
          </w:tcPr>
          <w:p>
            <w:pPr>
              <w:spacing w:after="0"/>
              <w:rPr>
                <w:sz w:val="21"/>
                <w:szCs w:val="21"/>
                <w:color w:val="auto"/>
              </w:rPr>
            </w:pPr>
          </w:p>
        </w:tc>
      </w:tr>
    </w:tbl>
    <w:p>
      <w:pPr>
        <w:spacing w:after="0" w:line="114" w:lineRule="exact"/>
        <w:rPr>
          <w:sz w:val="24"/>
          <w:szCs w:val="24"/>
          <w:color w:val="auto"/>
        </w:rPr>
      </w:pPr>
    </w:p>
    <w:p>
      <w:pPr>
        <w:sectPr>
          <w:pgSz w:w="11900" w:h="16838" w:orient="portrait"/>
          <w:cols w:equalWidth="0" w:num="2">
            <w:col w:w="4520" w:space="720"/>
            <w:col w:w="6000"/>
          </w:cols>
          <w:pgMar w:left="320" w:top="851" w:right="339" w:bottom="1440" w:gutter="0" w:footer="0" w:header="0"/>
          <w:type w:val="continuous"/>
        </w:sectPr>
      </w:pPr>
    </w:p>
    <w:p>
      <w:pPr>
        <w:spacing w:after="0" w:line="193"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6" w:lineRule="exact"/>
        <w:rPr>
          <w:sz w:val="24"/>
          <w:szCs w:val="24"/>
          <w:color w:val="auto"/>
        </w:rPr>
      </w:pPr>
    </w:p>
    <w:p>
      <w:pPr>
        <w:ind w:right="20"/>
        <w:spacing w:after="0" w:line="20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20" w:lineRule="exact"/>
        <w:rPr>
          <w:sz w:val="24"/>
          <w:szCs w:val="24"/>
          <w:color w:val="auto"/>
        </w:rPr>
      </w:pPr>
    </w:p>
    <w:p>
      <w:pPr>
        <w:spacing w:after="0" w:line="193"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20" w:lineRule="exact"/>
        <w:rPr>
          <w:sz w:val="24"/>
          <w:szCs w:val="24"/>
          <w:color w:val="auto"/>
        </w:rPr>
      </w:pPr>
    </w:p>
    <w:p>
      <w:pPr>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2"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2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2" w:lineRule="exact"/>
        <w:rPr>
          <w:sz w:val="24"/>
          <w:szCs w:val="24"/>
          <w:color w:val="auto"/>
        </w:rPr>
      </w:pPr>
    </w:p>
    <w:p>
      <w:pPr>
        <w:spacing w:after="0" w:line="278" w:lineRule="auto"/>
        <w:rPr>
          <w:sz w:val="20"/>
          <w:szCs w:val="20"/>
          <w:color w:val="auto"/>
        </w:rPr>
      </w:pPr>
      <w:r>
        <w:rPr>
          <w:rFonts w:ascii="Times New Roman" w:cs="Times New Roman" w:eastAsia="Times New Roman" w:hAnsi="Times New Roman"/>
          <w:sz w:val="14"/>
          <w:szCs w:val="14"/>
          <w:color w:val="auto"/>
        </w:rPr>
        <w:t>The aggregate market value of the voting and non-voting common equity held by non-affiliates of the registrant computed by reference to the price at which the common equity was last sold as of the last business day of the registrant’s most recently completed second fiscal quarter, which ended December 31, 2023, was $382.8 million.</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September 6, 2024, there were 72,986,172 outstanding shares of Common Stock, no par value.</w:t>
      </w:r>
    </w:p>
    <w:p>
      <w:pPr>
        <w:spacing w:after="0" w:line="298" w:lineRule="exact"/>
        <w:rPr>
          <w:sz w:val="24"/>
          <w:szCs w:val="24"/>
          <w:color w:val="auto"/>
        </w:rPr>
      </w:pPr>
    </w:p>
    <w:p>
      <w:pPr>
        <w:ind w:right="260"/>
        <w:spacing w:after="0" w:line="282" w:lineRule="auto"/>
        <w:rPr>
          <w:sz w:val="20"/>
          <w:szCs w:val="20"/>
          <w:color w:val="auto"/>
        </w:rPr>
      </w:pPr>
      <w:r>
        <w:rPr>
          <w:rFonts w:ascii="Times New Roman" w:cs="Times New Roman" w:eastAsia="Times New Roman" w:hAnsi="Times New Roman"/>
          <w:sz w:val="14"/>
          <w:szCs w:val="14"/>
          <w:color w:val="auto"/>
        </w:rPr>
        <w:t>Selected portions of the registrant’s definitive proxy statement on Schedule 14A for the registrant’s 2024 annual meeting of stockholders, which will be filed with the Securities and Exchange Commission within 120 days of June 30, 2024,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455930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168275</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51" w:right="339" w:bottom="1440" w:gutter="0" w:footer="0" w:header="0"/>
          <w:type w:val="continuous"/>
        </w:sectPr>
      </w:pPr>
    </w:p>
    <w:bookmarkStart w:id="1" w:name="page2"/>
    <w:bookmarkEnd w:id="1"/>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520" w:type="dxa"/>
            <w:vAlign w:val="bottom"/>
            <w:gridSpan w:val="9"/>
          </w:tcPr>
          <w:p>
            <w:pPr>
              <w:jc w:val="center"/>
              <w:ind w:right="3060"/>
              <w:spacing w:after="0"/>
              <w:rPr>
                <w:sz w:val="20"/>
                <w:szCs w:val="20"/>
                <w:color w:val="auto"/>
              </w:rPr>
            </w:pPr>
            <w:r>
              <w:rPr>
                <w:rFonts w:ascii="Times New Roman" w:cs="Times New Roman" w:eastAsia="Times New Roman" w:hAnsi="Times New Roman"/>
                <w:sz w:val="18"/>
                <w:szCs w:val="18"/>
                <w:b w:val="1"/>
                <w:bCs w:val="1"/>
                <w:color w:val="auto"/>
                <w:w w:val="98"/>
              </w:rPr>
              <w:t>CANTALOUPE, INC.</w:t>
            </w: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520" w:type="dxa"/>
            <w:vAlign w:val="bottom"/>
            <w:gridSpan w:val="9"/>
          </w:tcPr>
          <w:p>
            <w:pPr>
              <w:jc w:val="center"/>
              <w:ind w:right="306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6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PART I</w:t>
            </w:r>
          </w:p>
        </w:tc>
        <w:tc>
          <w:tcPr>
            <w:tcW w:w="460" w:type="dxa"/>
            <w:vAlign w:val="bottom"/>
            <w:gridSpan w:val="4"/>
            <w:vMerge w:val="restart"/>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74"/>
        </w:trPr>
        <w:tc>
          <w:tcPr>
            <w:tcW w:w="640" w:type="dxa"/>
            <w:vAlign w:val="bottom"/>
            <w:tcBorders>
              <w:bottom w:val="single" w:sz="8" w:color="0000FF"/>
            </w:tcBorders>
            <w:gridSpan w:val="2"/>
            <w:vMerge w:val="continue"/>
          </w:tcPr>
          <w:p>
            <w:pPr>
              <w:spacing w:after="0"/>
              <w:rPr>
                <w:sz w:val="14"/>
                <w:szCs w:val="14"/>
                <w:color w:val="auto"/>
              </w:rPr>
            </w:pPr>
          </w:p>
        </w:tc>
        <w:tc>
          <w:tcPr>
            <w:tcW w:w="460" w:type="dxa"/>
            <w:vAlign w:val="bottom"/>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0000FF"/>
                <w:w w:val="96"/>
              </w:rPr>
              <w:t>Item</w:t>
            </w:r>
          </w:p>
        </w:tc>
        <w:tc>
          <w:tcPr>
            <w:tcW w:w="760" w:type="dxa"/>
            <w:vAlign w:val="bottom"/>
            <w:gridSpan w:val="5"/>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0000FF"/>
                <w:w w:val="73"/>
              </w:rPr>
              <w:t>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0" w:type="dxa"/>
            <w:vAlign w:val="bottom"/>
            <w:gridSpan w:val="22"/>
          </w:tcPr>
          <w:p>
            <w:pPr>
              <w:ind w:left="100"/>
              <w:spacing w:after="0"/>
              <w:rPr>
                <w:sz w:val="20"/>
                <w:szCs w:val="20"/>
                <w:color w:val="auto"/>
              </w:rPr>
            </w:pPr>
            <w:r>
              <w:rPr>
                <w:rFonts w:ascii="Times New Roman" w:cs="Times New Roman" w:eastAsia="Times New Roman" w:hAnsi="Times New Roman"/>
                <w:sz w:val="18"/>
                <w:szCs w:val="18"/>
                <w:color w:val="0000FF"/>
              </w:rPr>
              <w:t>Business.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71"/>
              </w:rPr>
              <w:t>1A.</w:t>
            </w:r>
          </w:p>
        </w:tc>
        <w:tc>
          <w:tcPr>
            <w:tcW w:w="140" w:type="dxa"/>
            <w:vAlign w:val="bottom"/>
          </w:tcPr>
          <w:p>
            <w:pPr>
              <w:spacing w:after="0"/>
              <w:rPr>
                <w:sz w:val="18"/>
                <w:szCs w:val="18"/>
                <w:color w:val="auto"/>
              </w:rPr>
            </w:pPr>
          </w:p>
        </w:tc>
        <w:tc>
          <w:tcPr>
            <w:tcW w:w="9000" w:type="dxa"/>
            <w:vAlign w:val="bottom"/>
            <w:gridSpan w:val="22"/>
          </w:tcPr>
          <w:p>
            <w:pPr>
              <w:ind w:left="100"/>
              <w:spacing w:after="0"/>
              <w:rPr>
                <w:sz w:val="20"/>
                <w:szCs w:val="20"/>
                <w:color w:val="auto"/>
              </w:rPr>
            </w:pPr>
            <w:r>
              <w:rPr>
                <w:rFonts w:ascii="Times New Roman" w:cs="Times New Roman" w:eastAsia="Times New Roman" w:hAnsi="Times New Roman"/>
                <w:sz w:val="18"/>
                <w:szCs w:val="18"/>
                <w:color w:val="0000FF"/>
              </w:rPr>
              <w:t>Risk Factors.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70"/>
              </w:rPr>
              <w:t>1B.</w:t>
            </w:r>
          </w:p>
        </w:tc>
        <w:tc>
          <w:tcPr>
            <w:tcW w:w="140" w:type="dxa"/>
            <w:vAlign w:val="bottom"/>
          </w:tcPr>
          <w:p>
            <w:pPr>
              <w:spacing w:after="0"/>
              <w:rPr>
                <w:sz w:val="18"/>
                <w:szCs w:val="18"/>
                <w:color w:val="auto"/>
              </w:rPr>
            </w:pPr>
          </w:p>
        </w:tc>
        <w:tc>
          <w:tcPr>
            <w:tcW w:w="9000" w:type="dxa"/>
            <w:vAlign w:val="bottom"/>
            <w:gridSpan w:val="22"/>
          </w:tcPr>
          <w:p>
            <w:pPr>
              <w:ind w:left="100"/>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70"/>
              </w:rPr>
              <w:t>1C.</w:t>
            </w:r>
          </w:p>
        </w:tc>
        <w:tc>
          <w:tcPr>
            <w:tcW w:w="140" w:type="dxa"/>
            <w:vAlign w:val="bottom"/>
          </w:tcPr>
          <w:p>
            <w:pPr>
              <w:spacing w:after="0"/>
              <w:rPr>
                <w:sz w:val="18"/>
                <w:szCs w:val="18"/>
                <w:color w:val="auto"/>
              </w:rPr>
            </w:pPr>
          </w:p>
        </w:tc>
        <w:tc>
          <w:tcPr>
            <w:tcW w:w="9000" w:type="dxa"/>
            <w:vAlign w:val="bottom"/>
            <w:gridSpan w:val="22"/>
          </w:tcPr>
          <w:p>
            <w:pPr>
              <w:ind w:left="100"/>
              <w:spacing w:after="0"/>
              <w:rPr>
                <w:sz w:val="20"/>
                <w:szCs w:val="20"/>
                <w:color w:val="auto"/>
              </w:rPr>
            </w:pPr>
            <w:r>
              <w:rPr>
                <w:rFonts w:ascii="Times New Roman" w:cs="Times New Roman" w:eastAsia="Times New Roman" w:hAnsi="Times New Roman"/>
                <w:sz w:val="18"/>
                <w:szCs w:val="18"/>
                <w:color w:val="0000FF"/>
              </w:rPr>
              <w:t>Cybersecurity.</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0000FF"/>
                <w:w w:val="73"/>
              </w:rPr>
              <w:t>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0" w:type="dxa"/>
            <w:vAlign w:val="bottom"/>
            <w:gridSpan w:val="22"/>
          </w:tcPr>
          <w:p>
            <w:pPr>
              <w:ind w:left="100"/>
              <w:spacing w:after="0"/>
              <w:rPr>
                <w:sz w:val="20"/>
                <w:szCs w:val="20"/>
                <w:color w:val="auto"/>
              </w:rPr>
            </w:pPr>
            <w:r>
              <w:rPr>
                <w:rFonts w:ascii="Times New Roman" w:cs="Times New Roman" w:eastAsia="Times New Roman" w:hAnsi="Times New Roman"/>
                <w:sz w:val="18"/>
                <w:szCs w:val="18"/>
                <w:color w:val="0000FF"/>
              </w:rPr>
              <w:t>Properties.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0000FF"/>
                <w:w w:val="73"/>
              </w:rPr>
              <w:t>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0" w:type="dxa"/>
            <w:vAlign w:val="bottom"/>
            <w:gridSpan w:val="22"/>
          </w:tcPr>
          <w:p>
            <w:pPr>
              <w:ind w:left="100"/>
              <w:spacing w:after="0"/>
              <w:rPr>
                <w:sz w:val="20"/>
                <w:szCs w:val="20"/>
                <w:color w:val="auto"/>
              </w:rPr>
            </w:pPr>
            <w:r>
              <w:rPr>
                <w:rFonts w:ascii="Times New Roman" w:cs="Times New Roman" w:eastAsia="Times New Roman" w:hAnsi="Times New Roman"/>
                <w:sz w:val="18"/>
                <w:szCs w:val="18"/>
                <w:color w:val="0000FF"/>
              </w:rPr>
              <w:t>Legal Proceedings.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PART II</w:t>
            </w:r>
          </w:p>
        </w:tc>
        <w:tc>
          <w:tcPr>
            <w:tcW w:w="400" w:type="dxa"/>
            <w:vAlign w:val="bottom"/>
            <w:gridSpan w:val="3"/>
            <w:vMerge w:val="restart"/>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0000FF"/>
                <w:w w:val="73"/>
              </w:rPr>
              <w:t>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0" w:type="dxa"/>
            <w:vAlign w:val="bottom"/>
            <w:gridSpan w:val="22"/>
          </w:tcPr>
          <w:p>
            <w:pPr>
              <w:ind w:left="100"/>
              <w:spacing w:after="0"/>
              <w:rPr>
                <w:sz w:val="20"/>
                <w:szCs w:val="20"/>
                <w:color w:val="auto"/>
              </w:rPr>
            </w:pPr>
            <w:r>
              <w:rPr>
                <w:rFonts w:ascii="Times New Roman" w:cs="Times New Roman" w:eastAsia="Times New Roman" w:hAnsi="Times New Roman"/>
                <w:sz w:val="18"/>
                <w:szCs w:val="18"/>
                <w:color w:val="0000FF"/>
              </w:rPr>
              <w:t>Mine Safety Disclosures.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4"/>
        </w:trPr>
        <w:tc>
          <w:tcPr>
            <w:tcW w:w="700" w:type="dxa"/>
            <w:vAlign w:val="bottom"/>
            <w:tcBorders>
              <w:bottom w:val="single" w:sz="8" w:color="0000FF"/>
            </w:tcBorders>
            <w:gridSpan w:val="3"/>
            <w:vMerge w:val="continue"/>
          </w:tcPr>
          <w:p>
            <w:pPr>
              <w:spacing w:after="0"/>
              <w:rPr>
                <w:sz w:val="18"/>
                <w:szCs w:val="18"/>
                <w:color w:val="auto"/>
              </w:rPr>
            </w:pPr>
          </w:p>
        </w:tc>
        <w:tc>
          <w:tcPr>
            <w:tcW w:w="400" w:type="dxa"/>
            <w:vAlign w:val="bottom"/>
            <w:gridSpan w:val="3"/>
            <w:vMerge w:val="continue"/>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0000FF"/>
                <w:w w:val="96"/>
              </w:rPr>
              <w:t>Item</w:t>
            </w:r>
          </w:p>
        </w:tc>
        <w:tc>
          <w:tcPr>
            <w:tcW w:w="760" w:type="dxa"/>
            <w:vAlign w:val="bottom"/>
            <w:gridSpan w:val="5"/>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0000FF"/>
                <w:w w:val="73"/>
              </w:rPr>
              <w:t>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0" w:type="dxa"/>
            <w:vAlign w:val="bottom"/>
            <w:gridSpan w:val="22"/>
          </w:tcPr>
          <w:p>
            <w:pPr>
              <w:ind w:left="100"/>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0000FF"/>
                <w:w w:val="73"/>
              </w:rPr>
              <w:t>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0" w:type="dxa"/>
            <w:vAlign w:val="bottom"/>
            <w:gridSpan w:val="22"/>
          </w:tcPr>
          <w:p>
            <w:pPr>
              <w:ind w:left="100"/>
              <w:spacing w:after="0"/>
              <w:rPr>
                <w:sz w:val="20"/>
                <w:szCs w:val="20"/>
                <w:color w:val="auto"/>
              </w:rPr>
            </w:pPr>
            <w:r>
              <w:rPr>
                <w:rFonts w:ascii="Times New Roman" w:cs="Times New Roman" w:eastAsia="Times New Roman" w:hAnsi="Times New Roman"/>
                <w:sz w:val="18"/>
                <w:szCs w:val="18"/>
                <w:color w:val="0000FF"/>
              </w:rPr>
              <w:t>[Reserved]</w:t>
            </w:r>
            <w:r>
              <w:rPr>
                <w:rFonts w:ascii="Times New Roman" w:cs="Times New Roman" w:eastAsia="Times New Roman" w:hAnsi="Times New Roman"/>
                <w:sz w:val="18"/>
                <w:szCs w:val="18"/>
                <w:color w:val="00000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0000FF"/>
                <w:w w:val="73"/>
              </w:rPr>
              <w:t>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0" w:type="dxa"/>
            <w:vAlign w:val="bottom"/>
            <w:gridSpan w:val="22"/>
          </w:tcPr>
          <w:p>
            <w:pPr>
              <w:ind w:left="100"/>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gridSpan w:val="5"/>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71"/>
              </w:rPr>
              <w:t>7A.</w:t>
            </w:r>
          </w:p>
        </w:tc>
        <w:tc>
          <w:tcPr>
            <w:tcW w:w="140" w:type="dxa"/>
            <w:vAlign w:val="bottom"/>
          </w:tcPr>
          <w:p>
            <w:pPr>
              <w:spacing w:after="0"/>
              <w:rPr>
                <w:sz w:val="18"/>
                <w:szCs w:val="18"/>
                <w:color w:val="auto"/>
              </w:rPr>
            </w:pPr>
          </w:p>
        </w:tc>
        <w:tc>
          <w:tcPr>
            <w:tcW w:w="9000" w:type="dxa"/>
            <w:vAlign w:val="bottom"/>
            <w:gridSpan w:val="22"/>
          </w:tcPr>
          <w:p>
            <w:pPr>
              <w:ind w:left="100"/>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gridSpan w:val="5"/>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0000FF"/>
                <w:w w:val="73"/>
              </w:rPr>
              <w:t>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0" w:type="dxa"/>
            <w:vAlign w:val="bottom"/>
            <w:gridSpan w:val="22"/>
          </w:tcPr>
          <w:p>
            <w:pPr>
              <w:ind w:left="100"/>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gridSpan w:val="5"/>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0000FF"/>
                <w:w w:val="73"/>
              </w:rPr>
              <w:t>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0" w:type="dxa"/>
            <w:vAlign w:val="bottom"/>
            <w:gridSpan w:val="22"/>
          </w:tcPr>
          <w:p>
            <w:pPr>
              <w:ind w:left="100"/>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gridSpan w:val="5"/>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71"/>
              </w:rPr>
              <w:t>9A.</w:t>
            </w:r>
          </w:p>
        </w:tc>
        <w:tc>
          <w:tcPr>
            <w:tcW w:w="140" w:type="dxa"/>
            <w:vAlign w:val="bottom"/>
          </w:tcPr>
          <w:p>
            <w:pPr>
              <w:spacing w:after="0"/>
              <w:rPr>
                <w:sz w:val="18"/>
                <w:szCs w:val="18"/>
                <w:color w:val="auto"/>
              </w:rPr>
            </w:pPr>
          </w:p>
        </w:tc>
        <w:tc>
          <w:tcPr>
            <w:tcW w:w="9000" w:type="dxa"/>
            <w:vAlign w:val="bottom"/>
            <w:gridSpan w:val="22"/>
          </w:tcPr>
          <w:p>
            <w:pPr>
              <w:ind w:left="100"/>
              <w:spacing w:after="0"/>
              <w:rPr>
                <w:sz w:val="20"/>
                <w:szCs w:val="20"/>
                <w:color w:val="auto"/>
              </w:rPr>
            </w:pPr>
            <w:r>
              <w:rPr>
                <w:rFonts w:ascii="Times New Roman" w:cs="Times New Roman" w:eastAsia="Times New Roman" w:hAnsi="Times New Roman"/>
                <w:sz w:val="18"/>
                <w:szCs w:val="18"/>
                <w:color w:val="0000FF"/>
              </w:rPr>
              <w:t>Controls and Procedures.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gridSpan w:val="5"/>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70"/>
              </w:rPr>
              <w:t>9B</w:t>
            </w:r>
            <w:r>
              <w:rPr>
                <w:rFonts w:ascii="Times New Roman" w:cs="Times New Roman" w:eastAsia="Times New Roman" w:hAnsi="Times New Roman"/>
                <w:sz w:val="18"/>
                <w:szCs w:val="18"/>
                <w:color w:val="000000"/>
                <w:w w:val="70"/>
              </w:rPr>
              <w:t>.</w:t>
            </w:r>
          </w:p>
        </w:tc>
        <w:tc>
          <w:tcPr>
            <w:tcW w:w="140" w:type="dxa"/>
            <w:vAlign w:val="bottom"/>
          </w:tcPr>
          <w:p>
            <w:pPr>
              <w:spacing w:after="0"/>
              <w:rPr>
                <w:sz w:val="18"/>
                <w:szCs w:val="18"/>
                <w:color w:val="auto"/>
              </w:rPr>
            </w:pPr>
          </w:p>
        </w:tc>
        <w:tc>
          <w:tcPr>
            <w:tcW w:w="9000" w:type="dxa"/>
            <w:vAlign w:val="bottom"/>
            <w:gridSpan w:val="22"/>
          </w:tcPr>
          <w:p>
            <w:pPr>
              <w:ind w:left="100"/>
              <w:spacing w:after="0"/>
              <w:rPr>
                <w:sz w:val="20"/>
                <w:szCs w:val="20"/>
                <w:color w:val="auto"/>
              </w:rPr>
            </w:pPr>
            <w:r>
              <w:rPr>
                <w:rFonts w:ascii="Times New Roman" w:cs="Times New Roman" w:eastAsia="Times New Roman" w:hAnsi="Times New Roman"/>
                <w:sz w:val="18"/>
                <w:szCs w:val="18"/>
                <w:color w:val="0000FF"/>
              </w:rPr>
              <w:t>Other Information.</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gridSpan w:val="5"/>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8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PART III</w:t>
            </w:r>
          </w:p>
        </w:tc>
        <w:tc>
          <w:tcPr>
            <w:tcW w:w="320" w:type="dxa"/>
            <w:vAlign w:val="bottom"/>
            <w:vMerge w:val="restart"/>
          </w:tcPr>
          <w:p>
            <w:pPr>
              <w:spacing w:after="0"/>
              <w:rPr>
                <w:sz w:val="18"/>
                <w:szCs w:val="18"/>
                <w:color w:val="auto"/>
              </w:rPr>
            </w:pPr>
          </w:p>
        </w:tc>
        <w:tc>
          <w:tcPr>
            <w:tcW w:w="3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9C.</w:t>
            </w:r>
          </w:p>
        </w:tc>
        <w:tc>
          <w:tcPr>
            <w:tcW w:w="9000" w:type="dxa"/>
            <w:vAlign w:val="bottom"/>
            <w:gridSpan w:val="22"/>
          </w:tcPr>
          <w:p>
            <w:pPr>
              <w:ind w:left="100"/>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15"/>
        </w:trPr>
        <w:tc>
          <w:tcPr>
            <w:tcW w:w="780" w:type="dxa"/>
            <w:vAlign w:val="bottom"/>
            <w:tcBorders>
              <w:bottom w:val="single" w:sz="8" w:color="0000FF"/>
            </w:tcBorders>
            <w:gridSpan w:val="5"/>
            <w:vMerge w:val="continue"/>
          </w:tcPr>
          <w:p>
            <w:pPr>
              <w:spacing w:after="0"/>
              <w:rPr>
                <w:sz w:val="18"/>
                <w:szCs w:val="18"/>
                <w:color w:val="auto"/>
              </w:rPr>
            </w:pPr>
          </w:p>
        </w:tc>
        <w:tc>
          <w:tcPr>
            <w:tcW w:w="320" w:type="dxa"/>
            <w:vAlign w:val="bottom"/>
            <w:vMerge w:val="continue"/>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40" w:type="dxa"/>
            <w:vAlign w:val="bottom"/>
            <w:tcBorders>
              <w:top w:val="single" w:sz="8" w:color="0000FF"/>
            </w:tcBorders>
          </w:tcPr>
          <w:p>
            <w:pPr>
              <w:spacing w:after="0"/>
              <w:rPr>
                <w:sz w:val="18"/>
                <w:szCs w:val="18"/>
                <w:color w:val="auto"/>
              </w:rPr>
            </w:pPr>
          </w:p>
        </w:tc>
        <w:tc>
          <w:tcPr>
            <w:tcW w:w="76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540" w:type="dxa"/>
            <w:vAlign w:val="bottom"/>
            <w:tcBorders>
              <w:top w:val="single" w:sz="8" w:color="0000FF"/>
            </w:tcBorders>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0000FF"/>
                <w:w w:val="96"/>
              </w:rPr>
              <w:t>Item</w:t>
            </w:r>
          </w:p>
        </w:tc>
        <w:tc>
          <w:tcPr>
            <w:tcW w:w="760" w:type="dxa"/>
            <w:vAlign w:val="bottom"/>
            <w:gridSpan w:val="5"/>
          </w:tcPr>
          <w:p>
            <w:pPr>
              <w:spacing w:after="0"/>
              <w:rPr>
                <w:sz w:val="18"/>
                <w:szCs w:val="18"/>
                <w:color w:val="auto"/>
              </w:rPr>
            </w:pP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79"/>
              </w:rPr>
              <w:t>10.</w:t>
            </w:r>
          </w:p>
        </w:tc>
        <w:tc>
          <w:tcPr>
            <w:tcW w:w="140" w:type="dxa"/>
            <w:vAlign w:val="bottom"/>
          </w:tcPr>
          <w:p>
            <w:pPr>
              <w:spacing w:after="0"/>
              <w:rPr>
                <w:sz w:val="18"/>
                <w:szCs w:val="18"/>
                <w:color w:val="auto"/>
              </w:rPr>
            </w:pPr>
          </w:p>
        </w:tc>
        <w:tc>
          <w:tcPr>
            <w:tcW w:w="9000" w:type="dxa"/>
            <w:vAlign w:val="bottom"/>
            <w:gridSpan w:val="22"/>
          </w:tcPr>
          <w:p>
            <w:pPr>
              <w:ind w:left="100"/>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79"/>
              </w:rPr>
              <w:t>11.</w:t>
            </w:r>
          </w:p>
        </w:tc>
        <w:tc>
          <w:tcPr>
            <w:tcW w:w="140" w:type="dxa"/>
            <w:vAlign w:val="bottom"/>
          </w:tcPr>
          <w:p>
            <w:pPr>
              <w:spacing w:after="0"/>
              <w:rPr>
                <w:sz w:val="18"/>
                <w:szCs w:val="18"/>
                <w:color w:val="auto"/>
              </w:rPr>
            </w:pPr>
          </w:p>
        </w:tc>
        <w:tc>
          <w:tcPr>
            <w:tcW w:w="9000" w:type="dxa"/>
            <w:vAlign w:val="bottom"/>
            <w:gridSpan w:val="22"/>
          </w:tcPr>
          <w:p>
            <w:pPr>
              <w:ind w:left="100"/>
              <w:spacing w:after="0"/>
              <w:rPr>
                <w:sz w:val="20"/>
                <w:szCs w:val="20"/>
                <w:color w:val="auto"/>
              </w:rPr>
            </w:pPr>
            <w:r>
              <w:rPr>
                <w:rFonts w:ascii="Times New Roman" w:cs="Times New Roman" w:eastAsia="Times New Roman" w:hAnsi="Times New Roman"/>
                <w:sz w:val="18"/>
                <w:szCs w:val="18"/>
                <w:color w:val="0000FF"/>
              </w:rPr>
              <w:t>Executive Compensation.</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6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79"/>
              </w:rPr>
              <w:t>12.</w:t>
            </w:r>
          </w:p>
        </w:tc>
        <w:tc>
          <w:tcPr>
            <w:tcW w:w="140" w:type="dxa"/>
            <w:vAlign w:val="bottom"/>
          </w:tcPr>
          <w:p>
            <w:pPr>
              <w:spacing w:after="0"/>
              <w:rPr>
                <w:sz w:val="18"/>
                <w:szCs w:val="18"/>
                <w:color w:val="auto"/>
              </w:rPr>
            </w:pPr>
          </w:p>
        </w:tc>
        <w:tc>
          <w:tcPr>
            <w:tcW w:w="9000" w:type="dxa"/>
            <w:vAlign w:val="bottom"/>
            <w:gridSpan w:val="22"/>
          </w:tcPr>
          <w:p>
            <w:pPr>
              <w:ind w:left="100"/>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138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560" w:type="dxa"/>
            <w:vAlign w:val="bottom"/>
            <w:gridSpan w:val="5"/>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79"/>
              </w:rPr>
              <w:t>13.</w:t>
            </w:r>
          </w:p>
        </w:tc>
        <w:tc>
          <w:tcPr>
            <w:tcW w:w="140" w:type="dxa"/>
            <w:vAlign w:val="bottom"/>
          </w:tcPr>
          <w:p>
            <w:pPr>
              <w:spacing w:after="0"/>
              <w:rPr>
                <w:sz w:val="18"/>
                <w:szCs w:val="18"/>
                <w:color w:val="auto"/>
              </w:rPr>
            </w:pPr>
          </w:p>
        </w:tc>
        <w:tc>
          <w:tcPr>
            <w:tcW w:w="9000" w:type="dxa"/>
            <w:vAlign w:val="bottom"/>
            <w:gridSpan w:val="22"/>
          </w:tcPr>
          <w:p>
            <w:pPr>
              <w:ind w:left="100"/>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138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560" w:type="dxa"/>
            <w:vAlign w:val="bottom"/>
            <w:gridSpan w:val="5"/>
            <w:shd w:val="clear" w:color="auto" w:fill="0000FF"/>
          </w:tcPr>
          <w:p>
            <w:pPr>
              <w:spacing w:after="0" w:line="20" w:lineRule="exact"/>
              <w:rPr>
                <w:sz w:val="1"/>
                <w:szCs w:val="1"/>
                <w:color w:val="auto"/>
              </w:rPr>
            </w:pPr>
          </w:p>
        </w:tc>
        <w:tc>
          <w:tcPr>
            <w:tcW w:w="3400" w:type="dxa"/>
            <w:vAlign w:val="bottom"/>
            <w:gridSpan w:val="5"/>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PART IV</w:t>
            </w:r>
          </w:p>
        </w:tc>
        <w:tc>
          <w:tcPr>
            <w:tcW w:w="340" w:type="dxa"/>
            <w:vAlign w:val="bottom"/>
            <w:gridSpan w:val="2"/>
            <w:vMerge w:val="restart"/>
          </w:tcPr>
          <w:p>
            <w:pPr>
              <w:spacing w:after="0"/>
              <w:rPr>
                <w:sz w:val="18"/>
                <w:szCs w:val="18"/>
                <w:color w:val="auto"/>
              </w:rPr>
            </w:pP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79"/>
              </w:rPr>
              <w:t>14.</w:t>
            </w:r>
          </w:p>
        </w:tc>
        <w:tc>
          <w:tcPr>
            <w:tcW w:w="140" w:type="dxa"/>
            <w:vAlign w:val="bottom"/>
          </w:tcPr>
          <w:p>
            <w:pPr>
              <w:spacing w:after="0"/>
              <w:rPr>
                <w:sz w:val="18"/>
                <w:szCs w:val="18"/>
                <w:color w:val="auto"/>
              </w:rPr>
            </w:pPr>
          </w:p>
        </w:tc>
        <w:tc>
          <w:tcPr>
            <w:tcW w:w="9000" w:type="dxa"/>
            <w:vAlign w:val="bottom"/>
            <w:gridSpan w:val="22"/>
          </w:tcPr>
          <w:p>
            <w:pPr>
              <w:ind w:left="100"/>
              <w:spacing w:after="0"/>
              <w:rPr>
                <w:sz w:val="20"/>
                <w:szCs w:val="20"/>
                <w:color w:val="auto"/>
              </w:rPr>
            </w:pPr>
            <w:r>
              <w:rPr>
                <w:rFonts w:ascii="Times New Roman" w:cs="Times New Roman" w:eastAsia="Times New Roman" w:hAnsi="Times New Roman"/>
                <w:sz w:val="18"/>
                <w:szCs w:val="18"/>
                <w:color w:val="0000FF"/>
              </w:rPr>
              <w:t>Principal Accounting Fees and Services.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14"/>
        </w:trPr>
        <w:tc>
          <w:tcPr>
            <w:tcW w:w="760" w:type="dxa"/>
            <w:vAlign w:val="bottom"/>
            <w:tcBorders>
              <w:bottom w:val="single" w:sz="8" w:color="0000FF"/>
            </w:tcBorders>
            <w:gridSpan w:val="4"/>
            <w:vMerge w:val="continue"/>
          </w:tcPr>
          <w:p>
            <w:pPr>
              <w:spacing w:after="0"/>
              <w:rPr>
                <w:sz w:val="18"/>
                <w:szCs w:val="18"/>
                <w:color w:val="auto"/>
              </w:rPr>
            </w:pPr>
          </w:p>
        </w:tc>
        <w:tc>
          <w:tcPr>
            <w:tcW w:w="340" w:type="dxa"/>
            <w:vAlign w:val="bottom"/>
            <w:gridSpan w:val="2"/>
            <w:vMerge w:val="continue"/>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4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0000FF"/>
                <w:w w:val="96"/>
              </w:rPr>
              <w:t>Item</w:t>
            </w:r>
          </w:p>
        </w:tc>
        <w:tc>
          <w:tcPr>
            <w:tcW w:w="760" w:type="dxa"/>
            <w:vAlign w:val="bottom"/>
            <w:gridSpan w:val="5"/>
          </w:tcPr>
          <w:p>
            <w:pPr>
              <w:spacing w:after="0"/>
              <w:rPr>
                <w:sz w:val="18"/>
                <w:szCs w:val="18"/>
                <w:color w:val="auto"/>
              </w:rPr>
            </w:pP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79"/>
              </w:rPr>
              <w:t>15.</w:t>
            </w:r>
          </w:p>
        </w:tc>
        <w:tc>
          <w:tcPr>
            <w:tcW w:w="140" w:type="dxa"/>
            <w:vAlign w:val="bottom"/>
          </w:tcPr>
          <w:p>
            <w:pPr>
              <w:spacing w:after="0"/>
              <w:rPr>
                <w:sz w:val="18"/>
                <w:szCs w:val="18"/>
                <w:color w:val="auto"/>
              </w:rPr>
            </w:pPr>
          </w:p>
        </w:tc>
        <w:tc>
          <w:tcPr>
            <w:tcW w:w="9000" w:type="dxa"/>
            <w:vAlign w:val="bottom"/>
            <w:gridSpan w:val="22"/>
          </w:tcPr>
          <w:p>
            <w:pPr>
              <w:ind w:left="100"/>
              <w:spacing w:after="0"/>
              <w:rPr>
                <w:sz w:val="20"/>
                <w:szCs w:val="20"/>
                <w:color w:val="auto"/>
              </w:rPr>
            </w:pPr>
            <w:r>
              <w:rPr>
                <w:rFonts w:ascii="Times New Roman" w:cs="Times New Roman" w:eastAsia="Times New Roman" w:hAnsi="Times New Roman"/>
                <w:sz w:val="18"/>
                <w:szCs w:val="18"/>
                <w:color w:val="0000FF"/>
              </w:rPr>
              <w:t>Exhibits, Financial Statement Schedules.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1400" w:type="dxa"/>
            <w:vAlign w:val="bottom"/>
            <w:gridSpan w:val="5"/>
            <w:shd w:val="clear" w:color="auto" w:fill="0000FF"/>
          </w:tcPr>
          <w:p>
            <w:pPr>
              <w:spacing w:after="0" w:line="20" w:lineRule="exact"/>
              <w:rPr>
                <w:sz w:val="1"/>
                <w:szCs w:val="1"/>
                <w:color w:val="auto"/>
              </w:rPr>
            </w:pPr>
          </w:p>
        </w:tc>
        <w:tc>
          <w:tcPr>
            <w:tcW w:w="5960" w:type="dxa"/>
            <w:vAlign w:val="bottom"/>
            <w:gridSpan w:val="1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79"/>
              </w:rPr>
              <w:t>16</w:t>
            </w:r>
            <w:r>
              <w:rPr>
                <w:rFonts w:ascii="Times New Roman" w:cs="Times New Roman" w:eastAsia="Times New Roman" w:hAnsi="Times New Roman"/>
                <w:sz w:val="18"/>
                <w:szCs w:val="18"/>
                <w:u w:val="single" w:color="auto"/>
                <w:color w:val="000000"/>
                <w:w w:val="79"/>
              </w:rPr>
              <w:t>.</w:t>
            </w:r>
          </w:p>
        </w:tc>
        <w:tc>
          <w:tcPr>
            <w:tcW w:w="140" w:type="dxa"/>
            <w:vAlign w:val="bottom"/>
          </w:tcPr>
          <w:p>
            <w:pPr>
              <w:spacing w:after="0"/>
              <w:rPr>
                <w:sz w:val="18"/>
                <w:szCs w:val="18"/>
                <w:color w:val="auto"/>
              </w:rPr>
            </w:pPr>
          </w:p>
        </w:tc>
        <w:tc>
          <w:tcPr>
            <w:tcW w:w="9000" w:type="dxa"/>
            <w:vAlign w:val="bottom"/>
            <w:gridSpan w:val="22"/>
          </w:tcPr>
          <w:p>
            <w:pPr>
              <w:ind w:left="100"/>
              <w:spacing w:after="0"/>
              <w:rPr>
                <w:sz w:val="20"/>
                <w:szCs w:val="20"/>
                <w:color w:val="auto"/>
              </w:rPr>
            </w:pPr>
            <w:r>
              <w:rPr>
                <w:rFonts w:ascii="Times New Roman" w:cs="Times New Roman" w:eastAsia="Times New Roman" w:hAnsi="Times New Roman"/>
                <w:sz w:val="18"/>
                <w:szCs w:val="18"/>
                <w:color w:val="0000FF"/>
              </w:rPr>
              <w:t>Form 10-K Summary</w:t>
            </w:r>
            <w:r>
              <w:rPr>
                <w:rFonts w:ascii="Times New Roman" w:cs="Times New Roman" w:eastAsia="Times New Roman" w:hAnsi="Times New Roman"/>
                <w:sz w:val="18"/>
                <w:szCs w:val="18"/>
                <w:color w:val="00000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this Annual Report on Form 10-K, or Annual Report, and unless otherwise indicated, the terms "Cantaloupe", the "Company", "CTLP", "we", "us", "our", "our company" and "our business" refer to Cantaloupe, Inc., formerly known as USA Technologies, Inc.</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our consolidated financial statements and related notes included elsewhere in this Annual Report. Due to rounding, figures in tables may not sum exactly.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Annual Report contains certain forward-looking statements within the meaning of Section 21E of the Securities Exchange Act of 1934, as amended, regarding, among other things, the anticipated financial and operating results of Cantaloupe, Inc. For this purpose, forward-looking statements are any statements contained herein that are not statements of historical fact and include, but are not limited to, those preceded by or that include the words “estimate,” “could,” “should,” “would,” “likely,” “may,” “will,” “plan,” “intend,” “believes,” “expects,” “anticipates,” “projected,” or similar expressions. Those statements are subject to known and unknown risks, uncertainties and other factors that could cause the actual results to differ materially from those contemplated by the statements. The forward-looking information is based on various factors and was derived using numerous assumptions. Important factors that could cause the Company’s actual results to differ materially from those projected include, for example:</w:t>
      </w:r>
    </w:p>
    <w:p>
      <w:pPr>
        <w:spacing w:after="0" w:line="81" w:lineRule="exact"/>
        <w:rPr>
          <w:sz w:val="20"/>
          <w:szCs w:val="20"/>
          <w:color w:val="auto"/>
        </w:rPr>
      </w:pPr>
    </w:p>
    <w:p>
      <w:pPr>
        <w:jc w:val="both"/>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market or business conditions unrelated to our operating performance, including inflation, elevated interests rates, supply chain disruptions, financial institution disruptions, geopolitical conflicts, public health emergencies, and declines in consumer confidence and discretionary spending;</w:t>
      </w:r>
    </w:p>
    <w:p>
      <w:pPr>
        <w:spacing w:after="0" w:line="6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with our competitors and increase market share;</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the financial covenants in our debt facilities;</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compliance with rules and regulations applicable to our business operations and industry;</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other card payment processors, software and manufacturing partners upon whom we rely;</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our customers continue to utilize our transaction processing and related services, as our customer agreements are generally cancellable by the customer with thirty days’ notice;</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acquire and develop relevant technology offerings for current, new and potential customers and partners;</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and uncertainties associated with our expansion into and our operations in Europe, Mexico and other foreign markets, including general economic conditions, policy changes affecting international trade, political instability, inflation rates, recessions, sanctions, foreign currency exchange rates and controls, foreign investment and repatriation restrictions, legal and regulatory constraints, civil unrest, armed conflict, war, and other economic and political factors;</w:t>
      </w:r>
    </w:p>
    <w:p>
      <w:pPr>
        <w:spacing w:after="0" w:line="7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satisfy our trade obligations included in accounts payable and accrued expenses;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develop and retain key personnel, or our loss of the services of our key executives;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58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by us of any unanticipated or unusual non-operating expenses, which may require us to divert our cash resources from achieving our business plan;</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7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predict or estimate our future quarterly or annual revenue and expenses given the developing and unpredictable market for our products;</w:t>
      </w:r>
    </w:p>
    <w:p>
      <w:pPr>
        <w:spacing w:after="0" w:line="5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integrate acquired companies into our current products and services structure;</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add new customers and retain key existing customers from whom a significant portion of our revenue is derived;</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a key customer to reduce or delay purchasing products from us;</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widespread commercial acceptance of our products and service offerings;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any patents issued to us will provide any competitive advantages or adequate protection for our products, or would be challenged, invalidated or circumvented by others;</w:t>
      </w:r>
    </w:p>
    <w:p>
      <w:pPr>
        <w:spacing w:after="0" w:line="5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products and services to avoid disruptions to our systems or unauthorized hacking or credit card fraud;</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3" w:name="page4"/>
    <w:bookmarkEnd w:id="3"/>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cyber-attacks and data breaches; and</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effective internal controls and to timely file periodic and current reports with the Securities and Exchange Commission ("SEC").</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Although we believe that the expectations reflected in the forward-looking statements are reasonable, we cannot guarantee future results, levels of activity, performance, or achievements. Actual results or business conditions may differ materially from those projected or suggested in forward-looking statements as a result of various factors including, but not limited to, those described above and in Part I, Item 1A, “Risk Factors” of this Annual Report. We cannot assure you that we have identified all the factors that create uncertainties. Moreover, new risks emerge from time to time and it is not possible for our management to predict all risks, nor can we assess the impact of all risks on our business or the extent to which any risk, or combination of risks, may cause actual results to differ from those contained in any forward-looking statements. Readers should not place undue reliance on forward-looking statements.</w:t>
      </w:r>
    </w:p>
    <w:p>
      <w:pPr>
        <w:spacing w:after="0" w:line="200" w:lineRule="exact"/>
        <w:rPr>
          <w:sz w:val="20"/>
          <w:szCs w:val="20"/>
          <w:color w:val="auto"/>
        </w:rPr>
      </w:pP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forward-looking statement made by us in this Annual Report speaks only as of the date of this Annual Report. Unless required by law, we undertake no obligation to publicly revise any forward-looking statement to reflect circumstances or events after the date of this Annual Report or to reflect the occurrence of unanticipated events.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4" w:name="page5"/>
    <w:bookmarkEnd w:id="4"/>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4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Cantaloupe, Inc. (Nasdaq: CTLP) is organized under the laws of the Commonwealth of Pennsylvania. We are a global technology leader powering self-service commerce. Cantaloupe offers a comprehensive suite of solutions including micro-payment processing, self-checkout kiosks, mobile ordering, connected point-of-sale ("POS") systems, and enterprise cloud software. Handling more than a billion transactions annually, our solutions enhance operational efficiency and consumer engagement across sectors like food &amp; beverage markets, smart automated retail, hospitality, entertainment venues, laundromats and more. Committed to innovation, we aim to drive advancements in digital payments and business optimization, serving 31,466 customers in the United States., United Kingdom., European Union countries, Australia, and Mexico.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5863590" cy="22631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63590" cy="2263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revenue streams consist of subscription, transaction processing and equipment sales. We derive the majority of our revenues from subscription and transaction fees resulting from transactions on, as well as connectivity and telemetry services provided by, our cashless devices, Seed™ software, Cantaloupe Go software, Cheq (acquired February 2024) software, and our API services used via our Seed API (formerly known as Quick Connect) product. These services include digital payment processing, loyalty programs, inventory management, route logistics optimization, warehouse and accounting management, intelligent merchandising, digital advertising, mobile ordering, and more. Devices and POS terminals operating on the Company’s platform and using our services include those resulting from the sale, finance or a monthly bundled subscription (Cantaloupe ONE program) of our POS electronic payment devices and checkout kiosks, telemetry devices, certified payment software or the servicing of similar third-party installed POS terminals and telemetry devices. The majority of customers pay a monthly service fee plus a blended percentage rate on transaction volumes. Transaction fees on volumes processed through our payment devices and POS systems are the most significant driver of our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THE INDUSTRY</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offer a variety of solutions for self-service commerce, which enable the acceptance of digital payments and allow our customers to simplify inventory, analytics, warehouse, logistics, and back-office management. We believe the following industry trends are driving growth in demand for digital payment systems and advanced logistics management both in general and within the specific markets we serve:</w:t>
      </w:r>
    </w:p>
    <w:p>
      <w:pPr>
        <w:spacing w:after="0" w:line="203" w:lineRule="exact"/>
        <w:rPr>
          <w:sz w:val="20"/>
          <w:szCs w:val="20"/>
          <w:color w:val="auto"/>
        </w:rPr>
      </w:pPr>
    </w:p>
    <w:p>
      <w:pPr>
        <w:ind w:left="660" w:right="2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adoption of cashier-less models via vending machines, self-service kiosks, and mobile ordering to meet demand for and more use of fast, simple and seamless digital purchase and payment experiences;</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Rising consumer demand for transaction convenience, safety, and security, as evidenced by the growth in digital payment adoption, especially contactless payments; and</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Ongoing labor challenges and inflation drive increased utility of actionable operational business intelligence from new technologies like machine learning and artificial intelligence (AI) to drive operational efficiencies and operational transparency through modern, cloud-based logistics and inventory management solutions.</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Cashier-less stores that minimize or remove human intervention have shifted consumer expectations on retail shopping experiences. Retailers are also finding that self-service helps them respond to the ongoing labor challenges and inflation costs they are facing while also appealing to changing consumer habits who are eager to use self-checkout solutions.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SOLUTION</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aim to transform self-service commerce by offering one integrated solution for payments processing, logistics, and back-office management. Our platform is designed to increase consumier engagement and sales revenue through digital payments, digital advertising, and customer loyalty programs, while providing retailers with control and visibility over their operations and inventory. As a result, customers can run their businesses more proactively, predictably, and competitively. We offer customers several different ways to connect and manage their distributed assets. These range from our cashless hardware, both attended and self-checkout kiosks, Seed platform, Cantaloupe Go platform, Cheq platform, and API services via Seed API. Our platform is designed to transmit payment information from our customers’ POS terminal or locations for payment processing, process sales and performance data to optimize assets, and generate reports which provide greater control and visibility to our customers. Through our platform, we enable customers to easily manage assets, make changes, and push updates all remotely, ensuring they run as efficiently as possible.</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PRODUCTS AND SERVICES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hardware includes Cantaloupe card readers, our integrated payment device, Cantaloupe Go POS kiosks, our wide range of POS terminals, as well as the Cheq POS attended and self-service kiosks, our solution for the stadium, entertainment venue and festival verticals. With a variety of self-service hardware solutions, our deployment currently supports applications such as vending, micro-markets, amusement, arcade, commercial laundry, air/vacuum, car wash, and others.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cashless devices, which come in a variety of styles, facilitate digital payments by capturing payment information and transmitting it to our platform for authorization and processing through the payment networks (e.g., credit card processors). Additionally, our devices send sales data into the Seed platform, along with third-party platforms, for advanced reporting, including remote asset management. our cashless devices have earned a reputation for quality, reliability, and innovation.</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Cantaloupe Go product line provides a variety of self-checkout kiosks, which range from tablet-based POS terminals, to feature-rich 46” kiosk screens that are equipped with ADA height compliant and audio assist features for the visually impaired. In addition to processing and transmitting transaction data into the cloud, our kiosks seamlessly integrate into the Cantaloupe Go platform for ease of kiosk management, loyalty and reward features, promotions, advertising, and more. Cantaloupe Go also enables complete management of an operator’s business by integrating into the Seed platform for one central place to manage inventory, warehouse processes, driver accountability and operating results.</w:t>
      </w:r>
    </w:p>
    <w:p>
      <w:pPr>
        <w:spacing w:after="0" w:line="19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Our Cheq product line supports both an attended and unattended self-service kiosk mode for concessionaire and event-goers to easily checkout while enjoying a game, concert or festival. Within the Cheq hardware line, we also offer clients handheld devices for taking payments on the go, along with mobile ordering activation areas for making it easier to order from the seat for pick-up or in-seat delivery. Like our kiosks, our Cheq POS terminals process payments and transmit transaction data into</w:t>
      </w:r>
    </w:p>
    <w:p>
      <w:pPr>
        <w:sectPr>
          <w:pgSz w:w="11900" w:h="16838" w:orient="portrait"/>
          <w:cols w:equalWidth="0" w:num="1">
            <w:col w:w="11240"/>
          </w:cols>
          <w:pgMar w:left="320" w:top="1103" w:right="339" w:bottom="1440" w:gutter="0" w:footer="0" w:header="0"/>
        </w:sect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type w:val="continuous"/>
        </w:sectPr>
      </w:pPr>
    </w:p>
    <w:bookmarkStart w:id="6" w:name="page7"/>
    <w:bookmarkEnd w:id="6"/>
    <w:p>
      <w:pPr>
        <w:spacing w:after="0" w:line="266" w:lineRule="auto"/>
        <w:rPr>
          <w:sz w:val="20"/>
          <w:szCs w:val="20"/>
          <w:color w:val="auto"/>
        </w:rPr>
      </w:pPr>
      <w:r>
        <w:rPr>
          <w:rFonts w:ascii="Times New Roman" w:cs="Times New Roman" w:eastAsia="Times New Roman" w:hAnsi="Times New Roman"/>
          <w:sz w:val="18"/>
          <w:szCs w:val="18"/>
          <w:color w:val="auto"/>
        </w:rPr>
        <w:t>the Cheq platform via the cloud, while also seamlessly integrating into a variety of venue applications. Our Cheq POS terminals also offer a robust back-end reporting platform for ease of venue management.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hardware is available for customers through purchase, finance, or subscription with our new Cantaloupe ONE Platform.</w:t>
      </w:r>
    </w:p>
    <w:p>
      <w:pPr>
        <w:spacing w:after="0" w:line="252" w:lineRule="exact"/>
        <w:rPr>
          <w:sz w:val="20"/>
          <w:szCs w:val="20"/>
          <w:color w:val="auto"/>
        </w:rPr>
      </w:pPr>
    </w:p>
    <w:p>
      <w:pPr>
        <w:jc w:val="both"/>
        <w:ind w:left="660" w:hanging="328"/>
        <w:spacing w:after="0" w:line="258"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G11 Cashless Kit and G11 Pulse Kit, are 4G LTE digital payment devices that enable faster processing and enhanced functionality for payment and consumer engagement applications. They support functionality that requires higher speeds and large data loads, operate on the AT&amp;T and Verizon networks, and have built-in near field communication "NFC" (contactless) support for mobile payments, traditional credit and debit cards, in addition to EMV- contactless. The G11 Pulse Kit also includes functionality which simulates a coin drop using a pulse adapter interface. These devices are currently available in the United States and Canada.</w:t>
      </w:r>
    </w:p>
    <w:p>
      <w:pPr>
        <w:spacing w:after="0" w:line="196" w:lineRule="exact"/>
        <w:rPr>
          <w:rFonts w:ascii="Times New Roman" w:cs="Times New Roman" w:eastAsia="Times New Roman" w:hAnsi="Times New Roman"/>
          <w:sz w:val="18"/>
          <w:szCs w:val="18"/>
          <w:color w:val="auto"/>
        </w:rPr>
      </w:pPr>
    </w:p>
    <w:p>
      <w:pPr>
        <w:jc w:val="both"/>
        <w:ind w:left="660" w:hanging="328"/>
        <w:spacing w:after="0" w:line="245"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G11 Chip Kit, is a digital reader that accepts contact EMV (chip cards) and contactless EMV (tap) payment methods, along with other standard forms of digital payments that include credit/debit card, and mobile wallet. The reader functions with the existing G11 telemeter and reports into the Seed platform similar to a G11 Cashless Kit (see below for a description of the Seed platform). This device is currently available in the United States and Canada.</w:t>
      </w:r>
    </w:p>
    <w:p>
      <w:pPr>
        <w:spacing w:after="0" w:line="22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Engage Series, which includes the Engage and Engage Combo, are our next generation of digital touchscreen devices designed to provide retailers the ability to captivate consumers in new ways and enables truly frictionless purchasing. The Engage Series offers networking, security and interactivity, including acceptance of contact EMV (chip cards) and contactless EMV (tap) payment methods. The devices can be fitted in a range of hardware configurations, including vending, kiosks, amusement parks, and more.</w:t>
      </w:r>
    </w:p>
    <w:p>
      <w:pPr>
        <w:spacing w:after="0" w:line="206" w:lineRule="exact"/>
        <w:rPr>
          <w:rFonts w:ascii="Times New Roman" w:cs="Times New Roman" w:eastAsia="Times New Roman" w:hAnsi="Times New Roman"/>
          <w:sz w:val="18"/>
          <w:szCs w:val="18"/>
          <w:color w:val="auto"/>
        </w:rPr>
      </w:pPr>
    </w:p>
    <w:p>
      <w:pPr>
        <w:jc w:val="both"/>
        <w:ind w:left="660" w:right="20" w:hanging="328"/>
        <w:spacing w:after="0" w:line="261"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 Series, which include the P66, P100, P100Pro and P30, are our card touchscreen card readers that support the UK/EMEA and MX/LAC markets. Based on various in-country features, these devices are equipped with digital touch screens and can easily accept all major forms of payments in the countries in which they serve today. The P30 is also used as the primary payment terminal in the United States for the our Cooler Cafe solution. All devices offer 4G LTE connectivity and ability to accept contactless EMV payments.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Cantaloupe Go offers a modern line of self-checkout kiosks, Smart Store concepts and the Cantaloupe Go management platform. </w:t>
      </w:r>
    </w:p>
    <w:p>
      <w:pPr>
        <w:spacing w:after="0" w:line="252" w:lineRule="exact"/>
        <w:rPr>
          <w:sz w:val="20"/>
          <w:szCs w:val="20"/>
          <w:color w:val="auto"/>
        </w:rPr>
      </w:pPr>
    </w:p>
    <w:p>
      <w:pPr>
        <w:jc w:val="both"/>
        <w:ind w:left="66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Go Mini is a cost-effective cash or cashless kiosk great for smaller locations or areas where customers want a quick self-checkout cashless experience. This kiosk includes a 10.5” touchscreen, built in LTE and Wi-Fi, bill acceptor and cash system add-on, credit card reader, multiple mounting options, and a barcode scanner.</w:t>
      </w:r>
    </w:p>
    <w:p>
      <w:pPr>
        <w:spacing w:after="0" w:line="20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Go MiniX is a compact, cashless kiosk ideal for locations where quick cashless only self-checkout is key, and is more public friendly with additional accessibility features. This kiosk includes a 15” touchscreen, vertical or horizontal orientation, built-in-camera, barcode scanner, biometric scanner (optional), credit card reader, and accessibility features for the visually impaired.</w:t>
      </w:r>
    </w:p>
    <w:p>
      <w:pPr>
        <w:spacing w:after="0" w:line="20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Go Plus100 is a cash and cashless kiosk for tabletop cabinetry in mid-size or larger locations where customers may want to offer cash acceptance that can be loaded onto a stored value card. This kiosk includes a 19” touchscreen, built-in camera, barcode scanner, biometric scanner, bill acceptor (optional), credit card reader, and accessibility features for the visually impaired.</w:t>
      </w:r>
    </w:p>
    <w:p>
      <w:pPr>
        <w:spacing w:after="0" w:line="202"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Go Plus200 is designed for customers with space constraints. Customers can opt for our standalone kiosk in mid-size or larger locations where the ability to offer cash acceptance loaded onto a stored value card is available. This kiosk includes a 19” touchscreen, built-in camera, barcode scanner, biometric scanner, credit card reader, bill acceptor (optional), customization options for colors and decals, and accessibility features for the visually impaired.</w:t>
      </w:r>
    </w:p>
    <w:p>
      <w:pPr>
        <w:spacing w:after="0" w:line="206"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Go Plus300 is a robust kiosk designed for government or military locations, offering cash-in and cash-out options to allow for flexible payment options for single-use visitors. This kiosk includes a 19” touchscreen, built-in camera, barcode scanner, biometric scanner, credit card reader, bill acceptor (optional), cash in/out available, customization options for colors and decals, and accessibility features for the visually impaired.</w:t>
      </w:r>
    </w:p>
    <w:p>
      <w:pPr>
        <w:spacing w:after="0" w:line="206"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Go Max is a digital touchscreen kiosk that supports cash and cashless acceptance for locations looking for an attractive kiosk screen that allows for complete payment flexibility and advanced accessibility features for consumers. This kiosk includes a 43” touchscreen, built-in camera, barcode scanner, biometric scanner, bill acceptor (optional),</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 w:name="page8"/>
    <w:bookmarkEnd w:id="7"/>
    <w:p>
      <w:pPr>
        <w:ind w:left="660"/>
        <w:spacing w:after="0" w:line="282" w:lineRule="auto"/>
        <w:rPr>
          <w:sz w:val="20"/>
          <w:szCs w:val="20"/>
          <w:color w:val="auto"/>
        </w:rPr>
      </w:pPr>
      <w:r>
        <w:rPr>
          <w:rFonts w:ascii="Times New Roman" w:cs="Times New Roman" w:eastAsia="Times New Roman" w:hAnsi="Times New Roman"/>
          <w:sz w:val="18"/>
          <w:szCs w:val="18"/>
          <w:color w:val="auto"/>
        </w:rPr>
        <w:t>cash in/out available, customization options for colors and decals, and accessibility features for the visually impaired as well as ADA height compliant features.</w:t>
      </w:r>
    </w:p>
    <w:p>
      <w:pPr>
        <w:spacing w:after="0" w:line="189" w:lineRule="exact"/>
        <w:rPr>
          <w:sz w:val="20"/>
          <w:szCs w:val="20"/>
          <w:color w:val="auto"/>
        </w:rPr>
      </w:pPr>
    </w:p>
    <w:p>
      <w:pPr>
        <w:jc w:val="both"/>
        <w:ind w:left="660" w:hanging="328"/>
        <w:spacing w:after="0" w:line="261"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Cooler Café is designed to deliver the micro market experience with a smaller footprint. Equipped with Cantaloupe’s Smart Lock technology and a cashless POS device, the Cooler Café remains locked until a payment is made. As a result, customers can save on upfront investment costs while maximizing revenue with higher margin food and beverage options. This solution integrates directly into Seed to enhance operator management.</w:t>
      </w:r>
    </w:p>
    <w:p>
      <w:pPr>
        <w:spacing w:after="0" w:line="206"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Smart Market, offers customers the micro market experience in a locked format. The consumer walks up to the kiosk first, logs into their account, or swipes their credit/debit card to initiate the coolers and snack section to unlock. Then they have a set amount of time to grab their items, scan at the kiosk and pay before the market locks again.</w:t>
      </w:r>
    </w:p>
    <w:p>
      <w:pPr>
        <w:spacing w:after="0" w:line="1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Acquired in February 2024, our new Cheq product offerings include a wide range of solutions built specifically for the stadium, entertainment and festival sectors.</w:t>
      </w:r>
    </w:p>
    <w:p>
      <w:pPr>
        <w:spacing w:after="0" w:line="189" w:lineRule="exact"/>
        <w:rPr>
          <w:sz w:val="20"/>
          <w:szCs w:val="20"/>
          <w:color w:val="auto"/>
        </w:rPr>
      </w:pPr>
    </w:p>
    <w:p>
      <w:pPr>
        <w:jc w:val="both"/>
        <w:ind w:left="660" w:hanging="328"/>
        <w:spacing w:after="0" w:line="245"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Cheq POS is equipped to serve in both attended and unattended mode. Built with a consumer-friendly user-interface, the Cheq POS register can take orders, accept payments, and integrate into multiple third-party back-end management tools for streamlined processes to venues. The Cheq POS also includes a self-service mode to enable customers to conveniently place their own order to streamline wait times and create less dependency on staff. The Cheq POS accepts credit and debit cards, EMV contactless, mobile wallet, NFC and QR codes.</w:t>
      </w:r>
    </w:p>
    <w:p>
      <w:pPr>
        <w:spacing w:after="0" w:line="207" w:lineRule="exact"/>
        <w:rPr>
          <w:rFonts w:ascii="Times New Roman" w:cs="Times New Roman" w:eastAsia="Times New Roman" w:hAnsi="Times New Roman"/>
          <w:sz w:val="18"/>
          <w:szCs w:val="18"/>
          <w:color w:val="auto"/>
        </w:rPr>
      </w:pPr>
    </w:p>
    <w:p>
      <w:pPr>
        <w:jc w:val="both"/>
        <w:ind w:left="660" w:hanging="328"/>
        <w:spacing w:after="0" w:line="24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Cheq handheld is an all-in-one mobile device that allows venues to take payments on the go. Built with a long-lasting battery life and the ability to store up to 50,000 transactions offline, venues and festivals can take payments from anywhere with limited access to dedicated power supply stations. The Cheq handheld can accept credit/debit cards, EMV contactless and mobile wallet payments.</w:t>
      </w:r>
    </w:p>
    <w:p>
      <w:pPr>
        <w:spacing w:after="0" w:line="210"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Cheq mobile app, most commonly integrated into existing venue/fan experience apps, provides event-goers the ability to order, pay and pick-up or request in-seat delivery for products anywhere in the venue. Integrated with in-venue POS menus, the Cheq mobile app is designed to make ordering from anywhere convenient and easy.</w:t>
      </w:r>
    </w:p>
    <w:p>
      <w:pPr>
        <w:spacing w:after="0" w:line="200" w:lineRule="exact"/>
        <w:rPr>
          <w:sz w:val="20"/>
          <w:szCs w:val="20"/>
          <w:color w:val="auto"/>
        </w:rPr>
      </w:pPr>
    </w:p>
    <w:p>
      <w:pPr>
        <w:spacing w:after="0" w:line="26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offer integrated software services that leverage payment or asset tracking devices in the field to connect into our feature-rich platform for advanced data management, analytics, route scheduling, loyalty and reward programs, and other offerings:</w:t>
      </w:r>
    </w:p>
    <w:p>
      <w:pPr>
        <w:spacing w:after="0" w:line="189" w:lineRule="exact"/>
        <w:rPr>
          <w:sz w:val="20"/>
          <w:szCs w:val="20"/>
          <w:color w:val="auto"/>
        </w:rPr>
      </w:pPr>
    </w:p>
    <w:p>
      <w:pPr>
        <w:jc w:val="both"/>
        <w:ind w:left="660" w:hanging="328"/>
        <w:spacing w:after="0" w:line="25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Seed platform is a cloud-based asset management and optimization solution that provides advanced analytics, dynamic route scheduling, automated pre-kitting, proactive equipment management, intelligent merchandising, inventory management, warehouse purchasing, and accounting management. The Seed platform has a reputation for providing innovative software features and functionality that solve every day customer challenges. It includes Seed Live for sales reporting and asset management, Seed Cashless+ for small business owner advanced management tools, Seed Pro for logistics optimization; Seed Office for back-office management; Seed Markets for integrated micro market management; and Seed Delivery for integrated online ordering and office coffee service ("OCS") optimization.</w:t>
      </w:r>
    </w:p>
    <w:p>
      <w:pPr>
        <w:spacing w:after="0" w:line="214"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Add-on software services within the Seed platform include our new Remote Price Change ("RPC") and integration with our e-commerce partners. RPC seeks to save customers time and money by enabling them to manage prices for products in their machines remotely through Seed. Our e-commerce integration partners enable customers to integrate their online stores to Seed platform for inventory and warehouse management.</w:t>
      </w:r>
    </w:p>
    <w:p>
      <w:pPr>
        <w:spacing w:after="0" w:line="202"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Cantaloupe Go Portal is a robust cloud-based platform that provides operators the customization to extend market and Smart Cooler features on a location-by-location basis. They can manage kiosk performance and uptime, view inventory and integrate the portal directly into Seed for better market management and service efficiencies. Some of the customizable features inside of the Cantaloupe Go portal include the ability to create coupons and guest passes, loyalty and reward programs, enable payroll deduct, client subsidy programs, health and wellness programs, manage credit card fees and deposits, kiosk alerts and more.</w:t>
      </w:r>
    </w:p>
    <w:p>
      <w:pPr>
        <w:spacing w:after="0" w:line="210"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Cheq platform provides real-time updates for on-the-fly changes that need to be deployed across multiple POS menus at any given time during an event. It includes intuitive reporting functionality to provide key data insights into both specific venue stations and overall event performance metrics. As a mobile-first platform, Cheq provides access to consumer buying trends and data points to leverage in-app or text notifications for driving new revenue back to any given venue. The Cheq platform seamlessly integrates with over 10 partners today to support the unique business needs of clients and their venues.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8" w:name="page9"/>
    <w:bookmarkEnd w:id="8"/>
    <w:p>
      <w:pPr>
        <w:ind w:left="660" w:right="2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Seed API (formerly known as Quick Connect), is an API web service that allows a client application to securely interface with the Company’s payment processing and asset managing services.</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services include our Cantaloupe Go consumer mobile app loyalty programs, campus card integrations, digital ad-management, and data warehouse services.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support our offerings through a number of professional services and back-office functions:</w:t>
      </w:r>
    </w:p>
    <w:p>
      <w:pPr>
        <w:spacing w:after="0" w:line="252" w:lineRule="exact"/>
        <w:rPr>
          <w:sz w:val="20"/>
          <w:szCs w:val="20"/>
          <w:color w:val="auto"/>
        </w:rPr>
      </w:pPr>
    </w:p>
    <w:p>
      <w:pPr>
        <w:ind w:left="66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Professional Services. For our larger customers we offer a variety of professional services to aid deployment and use of the platform. These include planning, project management, deployment, installation support, Seed implementation, and marketing and performance evaluation.</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Network Infrastructure. Our services and platforms operate on a combination of proprietary and third-party technologies and are supported by geographically diverse teams.</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Card Processing Services. Through our existing relationships with card processors and card associations, we provide merchant account and terminal ID set up, prenegotiated discounted fees on small ticket purchases, and direct electronic funds transfers to our customers’ bank accounts for all settled card transactions and ensure compliance with processing protocols.</w:t>
      </w:r>
    </w:p>
    <w:p>
      <w:pPr>
        <w:spacing w:after="0" w:line="202" w:lineRule="exact"/>
        <w:rPr>
          <w:rFonts w:ascii="Times New Roman" w:cs="Times New Roman" w:eastAsia="Times New Roman" w:hAnsi="Times New Roman"/>
          <w:sz w:val="18"/>
          <w:szCs w:val="18"/>
          <w:color w:val="auto"/>
        </w:rPr>
      </w:pPr>
    </w:p>
    <w:p>
      <w:pPr>
        <w:jc w:val="both"/>
        <w:ind w:left="660" w:hanging="328"/>
        <w:spacing w:after="0" w:line="220" w:lineRule="exact"/>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Customer/Consumer Services. We support our services by providing help desk support, repairs, and replacement services. Inbound consumer billing inquiries are handled through a 24</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hour help desk, which reduces our customers’ exposure to consumer billing inquiries and potential chargebacks. We provide remote maintenance updates and enhancements to software, settings, and features to our card readers via wireless connections.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self-service industry is highly competitive with service providers ranging from well-established enterprises to early-stage companies within the financial technology and software services industries. The markets for our products and services are characterized by evolving industry standards, aggressive pricing, continuous innovation, and changing consumer trends. Many of our competitors are challenging our industry position as an industry leader, particularly when it comes to pricing, emulating products, services, and marketing, as well as addressing consumer trends. However, we believe we have competitive strengths that position us for continued success.</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Consumers are expecting more from their shopping experience, with access to buy what they want, when they want, with the ability to pay with any shape or form of digital currency. This has led to a multitude of new devices on the market that enable a more engaging experience at the POS. In addition, micro markets are becoming one of the largest growth sectors in the convenience services industry, with large competitors owning a majority of the current market share. While we believe we have a strong competitive offering that positions us favorably in software services for self-service industry, competitors are entering the market with modernized back-end systems that are focused on the user interface along with real-life product planogram possibilities.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MARKETS WE SERVE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While the below key verticals represent only a fraction of our total market potential, as described below, these are the areas where we have seen the most traction to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5863590" cy="13887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863590" cy="13887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type w:val="continuous"/>
        </w:sectPr>
      </w:pPr>
    </w:p>
    <w:bookmarkStart w:id="9" w:name="page10"/>
    <w:bookmarkEnd w:id="9"/>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Food &amp; Beverage Vending</w:t>
      </w:r>
      <w:r>
        <w:rPr>
          <w:rFonts w:ascii="Times New Roman" w:cs="Times New Roman" w:eastAsia="Times New Roman" w:hAnsi="Times New Roman"/>
          <w:sz w:val="18"/>
          <w:szCs w:val="18"/>
          <w:color w:val="auto"/>
        </w:rPr>
        <w:t>. According to the 2022 Automatic Merchandiser State of the Industry Report released in May 2023, the vending and micro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industry grew by 12% in total revenue, representing almost 89% of 2019's benchmark revenue high. In 2022, the number of locations serviced increased by 76%, showcasing a more back to normal and accelerated self-service experience that is being desired by consumers. Nearly 80% of operators are embracing technology for vending and micro markets. Almost 80% of the operators said cashless payment devices are a great investment; 62% and 53% said pre-kitting and vending management systems are also great investments.</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Micro Markets and Kiosks. </w:t>
      </w:r>
      <w:r>
        <w:rPr>
          <w:rFonts w:ascii="Times New Roman" w:cs="Times New Roman" w:eastAsia="Times New Roman" w:hAnsi="Times New Roman"/>
          <w:sz w:val="18"/>
          <w:szCs w:val="18"/>
          <w:color w:val="auto"/>
        </w:rPr>
        <w:t>While micro markets grow in the traditional vending and food service industry, self-service kiosks are also on the rise. In fact,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according to the 2023 Kiosk Marketplace Census Report, global sales of interactive kiosks – not counting ATMs and refreshment vending machines – totaled an estimated $14.5 billion in 2022, a 20% increase over the $12.1 billion in 2021 and surpassing the $10.6 billion in 2020. The report states that, consumer acceptance of e-commerce during the pandemic played an important role in supporting the demand for self-serve kiosks, as the consumer tendency to use technology to shop encouraged brands and retailers to expand self-service offerings.</w:t>
      </w:r>
    </w:p>
    <w:p>
      <w:pPr>
        <w:spacing w:after="0" w:line="19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i w:val="1"/>
          <w:iCs w:val="1"/>
          <w:color w:val="auto"/>
        </w:rPr>
        <w:t>Vehicle Services</w:t>
      </w:r>
      <w:r>
        <w:rPr>
          <w:rFonts w:ascii="Times New Roman" w:cs="Times New Roman" w:eastAsia="Times New Roman" w:hAnsi="Times New Roman"/>
          <w:sz w:val="18"/>
          <w:szCs w:val="18"/>
          <w:color w:val="auto"/>
        </w:rPr>
        <w:t>. Our primary opportunities in the vehicle services markets relate to businesses that provide air, vacuum, car wash, and parking services.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these sectors we can provide customers with cashless payment terminals, payment processing, telemetry services for data and connectivity services, as well as software solutions to improve business optimization. Currently, we partner with a leader in the air vending services by equipping their machines with our cashless acceptance devices.</w:t>
      </w:r>
    </w:p>
    <w:p>
      <w:pPr>
        <w:spacing w:after="0" w:line="21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Laundry</w:t>
      </w:r>
      <w:r>
        <w:rPr>
          <w:rFonts w:ascii="Times New Roman" w:cs="Times New Roman" w:eastAsia="Times New Roman" w:hAnsi="Times New Roman"/>
          <w:sz w:val="18"/>
          <w:szCs w:val="18"/>
          <w:color w:val="auto"/>
        </w:rPr>
        <w:t>. Our primary opportunities in laundry consist of the coin-operated commercial laundry and multi-housing laundry markets. Currently, our joint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solution with an industry leader competes with hardware manufacturers, who provide joint solutions to their customers in partnership with payment processors, and with at least one competitor who provides an integrated hardware and payment processing solution.</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Amusement and Entertainment. </w:t>
      </w:r>
      <w:r>
        <w:rPr>
          <w:rFonts w:ascii="Times New Roman" w:cs="Times New Roman" w:eastAsia="Times New Roman" w:hAnsi="Times New Roman"/>
          <w:sz w:val="18"/>
          <w:szCs w:val="18"/>
          <w:color w:val="auto"/>
        </w:rPr>
        <w:t>Our current customers and primary opportunities in the amusement and entertainment markets are typically classified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“street/route business,” which are standalone businesses that are open to the general public and that offer card/coin-operated games such as claw machines, amusement park machines (i.e. body dryers), bowling alleys and bar entertainment (e.g. digital music machines and dart machines). Currently, we partner with one of the largest independent claw machine providers to enable them with cashless acceptance devices and payment processing.</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Stadium, Venues and Festivals. </w:t>
      </w:r>
      <w:r>
        <w:rPr>
          <w:rFonts w:ascii="Times New Roman" w:cs="Times New Roman" w:eastAsia="Times New Roman" w:hAnsi="Times New Roman"/>
          <w:sz w:val="18"/>
          <w:szCs w:val="18"/>
          <w:color w:val="auto"/>
        </w:rPr>
        <w:t>Our current customers and primary opportunities in the entertainment venue and festival markets are anywhere from large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venues that house premier professional sports teams including the NHL, NFL, MLB, MLS, as well as other venues such as college stadiums, carnivals, state fairs and those adjacent markets. Based on the venue or event, our solutions range from full POS including attended and self-service kiosks, to handhelds and mobile ordering experiences. We provide the payment processing, POS hardware and software services for these venues to manage their operations whether at one event or many throughout a given season.</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Smart Retail</w:t>
      </w:r>
      <w:r>
        <w:rPr>
          <w:rFonts w:ascii="Times New Roman" w:cs="Times New Roman" w:eastAsia="Times New Roman" w:hAnsi="Times New Roman"/>
          <w:sz w:val="18"/>
          <w:szCs w:val="18"/>
          <w:color w:val="auto"/>
        </w:rPr>
        <w:t>. According to a Research And Markets report, published by Vending International Online, the smart vending market is expected to reach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of $15 billion by 2028 growing with a rate of 12% during 2022 to 2028. With self-service technology becoming more popular amongst consumers, retail brands are trying to figure out ways to meet the buyer where they are – airport, train station, grocery store, gas stations, and more. Our current customers today range from implementing Pharambox machines, automated made-to-order pizza machines, to self-service propane tank lockers. As the market continues to expand, our primary opportunity is in enabling cashless payments and asset management software for these customers.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GROWTH OPPORTUNITY</w:t>
      </w:r>
    </w:p>
    <w:p>
      <w:pPr>
        <w:spacing w:after="0" w:line="2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primary objective is to continue to enhancing our position as a leading provider of technology powering self-service commerce. Our vertically integrated solutions are designed to fuel growth by offering payment processing, enterprise cloud software, IoT technology, as well as kiosk and POS innovations that serve a variety of locations such as vending, micro markets and smart retail, entertainment venues and festivals, EV charging stations, laundromats, metered parking terminals, amusement and entertainment venues, IoT services and more. Key elements of our strategy are to:</w:t>
      </w:r>
    </w:p>
    <w:p>
      <w:pPr>
        <w:spacing w:after="0" w:line="2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Maximize Growth in Existing Customers/Partners. </w:t>
      </w:r>
      <w:r>
        <w:rPr>
          <w:rFonts w:ascii="Times New Roman" w:cs="Times New Roman" w:eastAsia="Times New Roman" w:hAnsi="Times New Roman"/>
          <w:sz w:val="18"/>
          <w:szCs w:val="18"/>
          <w:color w:val="auto"/>
        </w:rPr>
        <w:t>Having experienced the benefits of our products and services, we believe our current customers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represent the largest opportunity to scale recurring revenue and connections, through the addition of new products and services, as well as expanding our footprint of current product offerings. We are continuously seeking to enhance our solutions and services with additional features and functionality that create add-on service offerings to existing customers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5" w:right="339" w:bottom="1440" w:gutter="0" w:footer="0" w:header="0"/>
        </w:sectPr>
      </w:pPr>
    </w:p>
    <w:bookmarkStart w:id="10" w:name="page11"/>
    <w:bookmarkEnd w:id="10"/>
    <w:p>
      <w:pPr>
        <w:jc w:val="both"/>
        <w:spacing w:after="0" w:line="282" w:lineRule="auto"/>
        <w:rPr>
          <w:sz w:val="20"/>
          <w:szCs w:val="20"/>
          <w:color w:val="auto"/>
        </w:rPr>
      </w:pPr>
      <w:r>
        <w:rPr>
          <w:rFonts w:ascii="Times New Roman" w:cs="Times New Roman" w:eastAsia="Times New Roman" w:hAnsi="Times New Roman"/>
          <w:sz w:val="18"/>
          <w:szCs w:val="18"/>
          <w:color w:val="auto"/>
        </w:rPr>
        <w:t>such as RPC, Seed Markets, Seed Analytics, Seed Pick Easy, and Cantaloupe Go POS solutions. We believe our continued innovation will lead to further adoption of Cantaloupe’s solutions and services in the self-service market.</w:t>
      </w:r>
    </w:p>
    <w:p>
      <w:pPr>
        <w:spacing w:after="0" w:line="17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i w:val="1"/>
          <w:iCs w:val="1"/>
          <w:color w:val="auto"/>
        </w:rPr>
        <w:t xml:space="preserve">Capitalize on the Emerging Cashless, Contactless, EMV, NFC, and Growing Mobile Payments Trends Globally. </w:t>
      </w:r>
      <w:r>
        <w:rPr>
          <w:rFonts w:ascii="Times New Roman" w:cs="Times New Roman" w:eastAsia="Times New Roman" w:hAnsi="Times New Roman"/>
          <w:sz w:val="18"/>
          <w:szCs w:val="18"/>
          <w:color w:val="auto"/>
        </w:rPr>
        <w:t>With growing consumer adoption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cashless and digital wallet payments, we believe this trend will continue to drive significant opportunity for us to further penetrate cashless transactions in both existing and new markets in the United States and abroad. As the United States completed its 3G upgrades in 2023, similar opportunities still exist in international markets where many legacy systems are still running on 3G networks and will be required to update to 4G LTE. We plan to take advantage of these opportunities to expand cashless acceptance.</w:t>
      </w:r>
    </w:p>
    <w:p>
      <w:pPr>
        <w:spacing w:after="0" w:line="20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i w:val="1"/>
          <w:iCs w:val="1"/>
          <w:color w:val="auto"/>
        </w:rPr>
        <w:t xml:space="preserve">Expand into Micro Markets and Smart Coolers. </w:t>
      </w:r>
      <w:r>
        <w:rPr>
          <w:rFonts w:ascii="Times New Roman" w:cs="Times New Roman" w:eastAsia="Times New Roman" w:hAnsi="Times New Roman"/>
          <w:sz w:val="18"/>
          <w:szCs w:val="18"/>
          <w:color w:val="auto"/>
        </w:rPr>
        <w:t>With our Cantaloupe Go platform, we plan to continue to expand into the growing vertical of micro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markets and smart coolers both in near-vending channels as well as adjacent verticals. With self-service and self-checkout on the rise, we believe we are well positioned to leverage our integrated offerings to deliver a scalable micro market and smart cooler solution for businesses of all kinds. We plan to differentiate ourselves by providing a single platform to manage consumer and operational aspects of micro markets and smart coolers, while also integrating multiple service providers for flexibility and ultimate ease to our customers.</w:t>
      </w:r>
    </w:p>
    <w:p>
      <w:pPr>
        <w:spacing w:after="0" w:line="21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i w:val="1"/>
          <w:iCs w:val="1"/>
          <w:color w:val="auto"/>
        </w:rPr>
        <w:t xml:space="preserve">Capitalize on Opportunities in International Markets. </w:t>
      </w:r>
      <w:r>
        <w:rPr>
          <w:rFonts w:ascii="Times New Roman" w:cs="Times New Roman" w:eastAsia="Times New Roman" w:hAnsi="Times New Roman"/>
          <w:sz w:val="18"/>
          <w:szCs w:val="18"/>
          <w:color w:val="auto"/>
        </w:rPr>
        <w:t>With the acquisition of Three Square Market in December 2022, we believe we are well positioned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expand across Mexico and Europe, while focusing on increasing market share in the United States. We are focused on continuing to grow our self-checkout micro market kiosks in these regions while also leveraging our Seed platform to optimize a customer’s vending and micro market business. Along with POS terminals, Smart Markets, Cantaloupe Go platform and Seed platform, we’ll establish a presence in cashless payment devices to give a one-stop-shop for our customers. In order to do so, we have dedicated sales resources to spearhead international opportunities, support implementation, and customer success.</w:t>
      </w:r>
    </w:p>
    <w:p>
      <w:pPr>
        <w:spacing w:after="0" w:line="21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i w:val="1"/>
          <w:iCs w:val="1"/>
          <w:color w:val="auto"/>
        </w:rPr>
        <w:t xml:space="preserve">Deliver an Exceptional Guest Experience at Stadiums, Venues and Festivals. </w:t>
      </w:r>
      <w:r>
        <w:rPr>
          <w:rFonts w:ascii="Times New Roman" w:cs="Times New Roman" w:eastAsia="Times New Roman" w:hAnsi="Times New Roman"/>
          <w:sz w:val="18"/>
          <w:szCs w:val="18"/>
          <w:color w:val="auto"/>
        </w:rPr>
        <w:t>With our acquisition of Cheq in February 2024, we believe we are also well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positioned to disrupt the POS market that supports both large and small entertainment venues, stadiums, festivals, state fairs and more. As a mobile-first built POS, the platform is focused on ensuring guests never miss a moment with in-seat mobile ordering, handhelds to take payments anywhere in venue, and both attended or self-checkout stations for fast-tracking lines. With our existing penetration across more than a dozen venues, we plan to continue delivering a POS platform that meets the consumer needs of today and into the future.</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Further Penetrate Attractive Adjacent Markets. </w:t>
      </w:r>
      <w:r>
        <w:rPr>
          <w:rFonts w:ascii="Times New Roman" w:cs="Times New Roman" w:eastAsia="Times New Roman" w:hAnsi="Times New Roman"/>
          <w:sz w:val="18"/>
          <w:szCs w:val="18"/>
          <w:color w:val="auto"/>
        </w:rPr>
        <w:t>We will continue to introduce our turn-key solutions and services to various adjacent markets and verticals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where there is a strong need for convenience, safety and security. Key growth verticals we will focus on include amusement and arcades, residential buildings, hotels and hospitality, college campuses and universities and retailers seeking new ways to create grab-and-go experiences both in-store and off-premise concepts. We plan to leverage solutions like our Cantaloupe Go line of products for micro markets, smart coolers and cashless payment acceptance to meet the needs of these industries seeking to deliver self-service solutions for today's consumer.</w:t>
      </w:r>
    </w:p>
    <w:p>
      <w:pPr>
        <w:spacing w:after="0" w:line="21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Extend IoT Services into New Verticals. </w:t>
      </w:r>
      <w:r>
        <w:rPr>
          <w:rFonts w:ascii="Times New Roman" w:cs="Times New Roman" w:eastAsia="Times New Roman" w:hAnsi="Times New Roman"/>
          <w:sz w:val="18"/>
          <w:szCs w:val="18"/>
          <w:color w:val="auto"/>
        </w:rPr>
        <w:t>Leveraging Seed’s ability to know where to go, when to go, and what to take, we can extend our telemetry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into other verticals that currently run on static scheduling models. We believe these verticals provide tremendous greenfield to move static routes to dynamic, servicing locations at the right time and driving greater efficiencies into business operators who provide these services on a daily basis.</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Comprehensive Service and Support. </w:t>
      </w:r>
      <w:r>
        <w:rPr>
          <w:rFonts w:ascii="Times New Roman" w:cs="Times New Roman" w:eastAsia="Times New Roman" w:hAnsi="Times New Roman"/>
          <w:sz w:val="18"/>
          <w:szCs w:val="18"/>
          <w:color w:val="auto"/>
        </w:rPr>
        <w:t>In addition to its industry-leading hardware and software, we seek to provide our customers with a comprehensive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platform designed to encourage optimal return on investment through business planning and performance optimization; a loyalty and rewards program for consumer engagement; sales data and machine alerts; DEX data transmission; and the ability to extend digital payments capabilities and the full suite of services across multiple aspects of an operator’s business.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4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Our go-to-market strategy includes both direct sales and indirect channels, depending on the particular dynamics of each of our markets. Our direct sale efforts are supported by both inside and external sales team members, which are aligned to serve our enterprise, mid-market, and small business customers and prospects, along with our channel partners and resellers both domestically and internationally. In order to expand our sales reach, we maintain agreements with resellers, affiliate networks, and distributors in select market segments. Our marketing drives growth through a variety of online and offline initiatives designed to build brand awareness, position our thought leadership within the self-service commerce market, highlight our competitive strengths, and illustrate the value of our products and services to our opportunity markets. Activities include creating a vibrant company and product presence on the web, digital advertising, Search Engine Optimization (“SEO”), and social media; affiliate and referral programs; our e-commerce store, the use of direct mail and email campaigns; educational online and in-person user conferences; content curation through blogs, white papers, guides, podcasts, and joint industry studies; advertising in vertically-oriented trade publications; participating in industry trade shows and events; and working closely with customers and key strategic partners on co-marketing opportunities that drive customer and consumer adoption of our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IMPORTANT RELATIONSHIPS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most important relationships are with our 31,466 customers, which are governed by services agreements that provide for terms and conditions of purchase, rental, subscription or lease of the devices, licensing of our solutions, and processing services. Under the terms, we typically collect our fees from settled funds, including activation fees, monthly service fees, and transaction processing fees. Our relationships with certain large customers are governed by customized terms and conditions contained within individually negotiated services agreements.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our customer relationships:</w:t>
      </w:r>
    </w:p>
    <w:p>
      <w:pPr>
        <w:spacing w:after="0" w:line="225" w:lineRule="exact"/>
        <w:rPr>
          <w:sz w:val="20"/>
          <w:szCs w:val="20"/>
          <w:color w:val="auto"/>
        </w:rPr>
      </w:pPr>
    </w:p>
    <w:p>
      <w:pPr>
        <w:ind w:left="66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maintain broad and long-standing relationships with card industry associations. From time to time, we enter into short-term incentive and promotional agreements with the card industry counterparties.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maintain close relationships with domestic wireless telecommunications carriers and with which we have long-term bespoke pricing and support terms.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long-term agreements with our payment processors, each of which is seamlessly integrated with our products and customers.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established reseller relationships with select solution providers for add-on features and services within our traditional offerings.</w:t>
      </w:r>
    </w:p>
    <w:p>
      <w:pPr>
        <w:spacing w:after="0" w:line="2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Lastly, we have a number of key technology vendors supporting our network environment and technology, our product development and our product offerings.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AND SUPPLY CHAIN</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utilize independent third-party manufacturing partners to produce the substantial majority of our electronic payment device hardware products that we market and sell to our customers. Production by our manufacturing partners is required to be performed in accordance with our product specifications, quality control and compliance standards. For the years ended June 30, 2024 and June 30, 2023 our manufacturing activities principally took place in the United States, Mexico and the United Kingdom.</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internal processes center around quality assurance of materials and testing of finished goods received from our contract manufacturers.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continued to experience certain elevated component and supply chain costs necessary for the production and distribution of our hardware products during the year. We are continually monitoring and evaluating manufacturing partners to accommodate our growth objectives while minimizing risks of disruption within our supply chain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TRADEMARKS, PROPRIETARY INFORMATION, AND PATENTS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owns US federal and foreign registrations for the following trademarks and service marks: Because Machines Can’t Cry For Help®, Blue Light Sequence (design only) Business Express®, Cantaloupe circle logo (design only), Cantaloupe Systems®, Cantaloupe Systems &amp; design (Cantaloupe circle logo), CM2iQ®, COMPUVEND®, EnergyMiser®, ePort®, ePort Connect®, ePort Mobile &amp; design, eSuds®, Intelligent Vending®, Routemaster®, Seed®, Seed &amp; design, Seed Office®, SnackMiser®, TransAct®, USA Technologies®, USA Technologies &amp; design, USALIVE®, VendingMiser®, VendPro®, VM2iQ®, Warehouse Master®, YOKE®, TSM Smart Lock®, and Cooler Cafe®.</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Much of the technology developed or to be developed by us is subject to trade secret protection. To reduce the risk of loss of trade secret protection through disclosure, we have entered into confidentiality agreements with our key employees.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June 30, 2024, 140 patents have been granted to or acquired since our inception in 1992. Of the 140 patents, 49 are still in force as of June 30, 2024. Our patents expire between 2024 and 2038. To the extent renewable, we intend to renew these patents. We will pursue intellectual property protection to the extent we believe it would be beneficial and cost-effective.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ACTIVE DEVICES AND ACTIVE CUSTOMERS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order to present meaningful information on our business, we report Active Devices and Active Customers. Active Devices are devices that have communicated with us or have had a transaction in the last twelve months. Included in the number of Active Devices are devices that communicate through other devices that communicate or transact with us. For example, a self-service retail location that utilizes an ePort cashless payment device as well as Seed management services constitutes only one device. We define Active Customers as all customers with at least one active device.</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had 31,466 Active Customers and 1.22 million Active Devices connected to our service as of June 30, 2024 compared to 28,584 Active Customers and 1.17 million Active Devices as of June 30,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June 30, 2024, we had 359 full-time employees compared to 269 full-time employees as of June 30, 2023. This represents a headcount increase of approximately 33% over prior year. Headcount growth has occurred primarily in our Sales, Customer Support and Technology departments. The headcount increase aligns with our overall objective to reduce reliance on outside consultants which in turn leads to a reduction in certain general and administrative expenses and enables us to instead invest in innovative technologies and products and increase marketing spend to penetrate new and existing customers. We seek employees who share a passion for our technology and its ability to improve our customers’ businesses.</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our ability to attract and retain the most qualified candidates in all areas of our business is critical to our future success and growth, and we strive for a well-balanced and diverse workforce. In addition to standard Company-wide Compliance trainings, we prioritize and invest in helping our employees grow professionally in their career. We offer a combination of interactive professional development trainings, access to on demand online courses through our learning management system, and group learning programs.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offer our employees wages and benefit packages that we believe are competitive with others throughout our industry. In addition to salaries, we provide benefits including a 401(k) retirement savings plan, healthcare and insurance benefits, health savings and flexible spending accounts, tuition reimbursement, paid time off, as well as other benefits including access to mental health benefits, and a paid parental leave policy.</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Each year, we request our employees to complete a Company-wide employee engagement survey. The survey is facilitated internally through our Human Resources department. The survey reflects questions to gauge employee sentiments toward current trends and issues including company direction and strategy, communication by management, individual development, team culture, and overall satisfaction. With the information provided by the annual engagement survey, leadership is provided key insights and valuable feedback which we implement in our Company-wide action plans with the intent to focus on key areas to prioritize, enhance, and drive increased employee engagement, learning and development, and professional growth for our employees.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public may access any materials the Company files with the SEC, including our annual reports on Form 10-K, quarterly reports on Form 10-Q, current reports on Form 8-K, proxy statements for our annual stockholder meetings, and amendments to those reports, through the SEC’s Interactive Data Electronic Applications system at http://www.sec.gov. These reports are also available free of charge on our website, www.cantaloupe.com, as soon as reasonably practicable after we electronically file the material with the SEC. In addition, our website includes, among other things, charters of the various committees of our Board of Directors and our code of business conduct and ethics applicable to all employees, officers and directors. Within the time period required by the SEC, we will post on our website any amendment to the code of business conduct and ethics and any waiver applicable to any executive officer, director or senior financial officer. We use our website as a means of disclosing material non-public information and for complying with our disclosure obligations under Regulation FD. Accordingly, investors should monitor our website, in addition to following our press releases, SEC filings and public conference calls and webcasts. Information on our website does not constitute part of this document.</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4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i w:val="1"/>
          <w:iCs w:val="1"/>
          <w:color w:val="auto"/>
        </w:rPr>
        <w:t>The risks and uncertainties describe below are not the only ones we face. There may be other unknown or unpredictable economic, business, competitive, regulatory or other factors that could have material adverse effects on our future results. The occurrence of any of these risks could materially adversely affect our business, financial condition, results of operations and cash flows. Accordingly, you should carefully consider the following risk factors, as well as other information contained in or incorporated by reference in this Annual Report.</w:t>
      </w:r>
    </w:p>
    <w:p>
      <w:pPr>
        <w:spacing w:after="0" w:line="21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General economic, market or business conditions unrelated to our operating performance, including global supply chain disruptions and inflationary pressures could adversely affect our business and results of operations.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global payments technology industry depends heavily on the overall level of consumer, business and government spending. We are exposed to general economic conditions that affect consumer confidence, spending, and discretionary income and changes in consumer purchasing habits. A sustained deterioration in general economic conditions in the markets in which we operate, supply chain disruptions, geopolitical conflicts, political uncertainty, inflationary pressure, elevated interest rates or interest rate fluctuations such as those that occurred recently, may adversely affect our financial performance by reducing the number or active devices, active customers and total number of transactions using our payment solutions.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downturn in the economy and other adverse economic trends may accelerate the timing, or increase the impact of, risks to our financial performance.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trends could include the following:</w:t>
      </w:r>
    </w:p>
    <w:p>
      <w:pPr>
        <w:spacing w:after="0" w:line="207" w:lineRule="exact"/>
        <w:rPr>
          <w:sz w:val="20"/>
          <w:szCs w:val="20"/>
          <w:color w:val="auto"/>
        </w:rPr>
      </w:pPr>
    </w:p>
    <w:p>
      <w:pPr>
        <w:ind w:left="66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 levels of consumer and business confidence typically associated with recessionary environments may result in decreased spending by consumers;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consumer debt levels or high unemployment may result in decreased spending by consumers;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budgetary concerns in the United States and other countries could affect sovereign credit ratings, and impact consumer confidence and spending;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chain disruptions may result in decreased spending by consumers whose ability to provide goods and services is materially impacted;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chain disruptions could also impact our ability to purchase devices for existing or prospective customers;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and potential future inflationary pressures, which may adversely impact spending by consumers;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deterioration of emerging market economies, which tend to be more sensitive to adverse economic trends than the more established markets we serve.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climate-related events, including extreme weather events and natural disasters and their effect on critical infrastructure in the U.S. or internationally, could have similar adverse effects on our customers and our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Impacts of widespread inflation could negatively affect our industry.</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own costs, including labor, hardware, services, technology providers, and other variable expenses could be impacted by severe, widespread or continuing inflation. Our customer base includes many small businesses, some of which operate on tight margins. Our customers may not successfully navigate a rising cost environment, causing collection issues or bankruptcies. Inflation could seriously erode the discretionary buying decisions of consumers, impacting size of purchases or volumes at our unattended points of sale.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only recently began to be profitable and if we incur losses in the future, the price of our shares can be expected to fall.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experienced losses from inception through June 30, 2012, and from fiscal year 2015 through fiscal year 2022. For fiscal years 2024 and 2023, we recognized net income of $12.0 million and $0.6 million, respectively. For fiscal year 2022, we incurred a net loss of $1.7 million. Despite recent profitability, there can be no assurance that we will continue to be profitable in the future. Accordingly, we may be required to use our cash and cash equivalents on hand and may raise capital to meet cash</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5" w:name="page16"/>
    <w:bookmarkEnd w:id="15"/>
    <w:p>
      <w:pPr>
        <w:jc w:val="both"/>
        <w:spacing w:after="0" w:line="261" w:lineRule="auto"/>
        <w:rPr>
          <w:sz w:val="20"/>
          <w:szCs w:val="20"/>
          <w:color w:val="auto"/>
        </w:rPr>
      </w:pPr>
      <w:r>
        <w:rPr>
          <w:rFonts w:ascii="Times New Roman" w:cs="Times New Roman" w:eastAsia="Times New Roman" w:hAnsi="Times New Roman"/>
          <w:sz w:val="18"/>
          <w:szCs w:val="18"/>
          <w:color w:val="auto"/>
        </w:rPr>
        <w:t>flow requirements including the issuance of common stock or debt financing. Additionally, if we incur losses in the future, the price of our common stock can be expected to fall.</w:t>
      </w:r>
    </w:p>
    <w:p>
      <w:pPr>
        <w:jc w:val="both"/>
        <w:spacing w:after="0" w:line="260" w:lineRule="auto"/>
        <w:rPr>
          <w:sz w:val="20"/>
          <w:szCs w:val="20"/>
          <w:color w:val="auto"/>
        </w:rPr>
      </w:pPr>
      <w:r>
        <w:rPr>
          <w:rFonts w:ascii="Times New Roman" w:cs="Times New Roman" w:eastAsia="Times New Roman" w:hAnsi="Times New Roman"/>
          <w:sz w:val="18"/>
          <w:szCs w:val="18"/>
          <w:b w:val="1"/>
          <w:bCs w:val="1"/>
          <w:color w:val="auto"/>
        </w:rPr>
        <w:t>If we are not able to implement successful enhancements and new features for our products and services, our business could be materially and adversely affected.</w:t>
      </w:r>
    </w:p>
    <w:p>
      <w:pPr>
        <w:spacing w:after="0" w:line="2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success depends on our ability to develop new products and services to address the rapidly evolving market for cashless payments and cloud and mobile solutions for the self-service retail markets. Rapid and significant technological changes continue to confront the industries in which we operate, including developments in proximity payment devices. These new services and technologies may be superior to, impair, or render obsolete the products and services we currently offer or the technologies we currently use to provide them. Incorporating new and acquired technologies into our products and services may require substantial expenditures and take considerable time, and we may not be successful in realizing a return on these development efforts in a timely manner or at all. There can be no assurance that any new products or services we develop and offer to our customers will achieve significant commercial acceptance. Our ability to develop new products and services may be inhibited by industry-wide standards, payment card networks, existing and future laws and regulations, resistance to change from our customers, challenges of integration with a wide variety of legacy end-point machines, or third parties’ intellectual property rights. If we are unable to provide enhancements and new features for our products and services or to develop new products and services that achieve market acceptance or that keep pace with rapid technological developments and evolving industry standards, our business would be materially and adversely affected.</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because our products and services are designed to operate with a variety of systems, infrastructures, and devices, we need to continuously modify and enhance our products and services to keep pace with changes in mobile, software, communication, and database technologies. We may not be successful in either developing these modifications and enhancements or in bringing them to market in a timely and cost-effective manner. Any failure of our products and services to continue to operate effectively with third-party infrastructures and technologies could reduce the demand for our products and services, result in dissatisfaction of our customers, and materially and adversely affect our business.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Substantially all of the service contracts with our customers are terminable for any or no reason upon thirty days advance notice.</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Substantially all of our customers may terminate their services with us for any or no reason by providing us with thirty days' advance notice, subject to, in some instances, early termination fees. Accordingly, consistent demand for and satisfaction with our products by our customers is critical to our financial condition and future success. Problems, outages, defects, or other issues with our products or services or competition in the marketplace could cause us to lose a substantial number of our customers with minimal notice. If a substantial number of our customers were to exercise their termination rights, it would result in a material adverse effect to our business, operating results, and financial condition.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not successfully implement our go-to-market strategy which may adversely affect growth and profitability.</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current core business is highly concentrated among several large customers in the vending industry. We have made inroads into other adjacent markets including micro-markets, laundry, gaming, entertainment, vehicle services, and other commercial payments applications and continued expansion into these markets is a substantial piece of our potential future growth prospects. Changing technology, customer preferences, and competitor actions may limit our ability to successfully grow and expand beyond our core business.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engage in the outsourcing of engineering work, including outsourcing of software work overseas.</w:t>
      </w:r>
    </w:p>
    <w:p>
      <w:pPr>
        <w:spacing w:after="0" w:line="24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We may, from time-to-time, outsource engineering work related to the design, development, and operations of our products and services, typically to save money and gain access to additional engineering resources. We have worked, and expect to work in the future, with companies located in jurisdictions outside of the U.S., including, but not limited to Sweden, Romania, Columbia, and India. If we are unable to properly manage and oversee the outsourcing of engineering and other work to third parties located internationally that operate under different laws and regulations than those in the U.S., we could suffer the loss of valuable intellectual property, or the loss of the ability to claim such intellectual property, including patents and trade names. Additionally, instead of saving money, we could in fact incur significant additional costs because of inefficient engineering services and poor work product, which could harm our business, financial results, reputation, and brand.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The loss of one or more of our key customers could significantly reduce our revenues, results of operations, and reduce net income.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derived, and believe we will continue to derive, a significant portion of our revenues from one large customer or a limited number of large customers. Customer concentrations for the years ended June 30, 2024, 2023 and 2022 were as follows: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80" w:type="dxa"/>
            <w:vAlign w:val="bottom"/>
            <w:tcBorders>
              <w:bottom w:val="single" w:sz="8" w:color="auto"/>
            </w:tcBorders>
            <w:gridSpan w:val="5"/>
          </w:tcPr>
          <w:p>
            <w:pPr>
              <w:ind w:left="900"/>
              <w:spacing w:after="0"/>
              <w:rPr>
                <w:sz w:val="20"/>
                <w:szCs w:val="20"/>
                <w:color w:val="auto"/>
              </w:rPr>
            </w:pPr>
            <w:r>
              <w:rPr>
                <w:rFonts w:ascii="Times New Roman" w:cs="Times New Roman" w:eastAsia="Times New Roman" w:hAnsi="Times New Roman"/>
                <w:sz w:val="18"/>
                <w:szCs w:val="18"/>
                <w:b w:val="1"/>
                <w:bCs w:val="1"/>
                <w:color w:val="auto"/>
              </w:rPr>
              <w:t>For the year ended June 30,</w:t>
            </w:r>
          </w:p>
        </w:tc>
        <w:tc>
          <w:tcPr>
            <w:tcW w:w="880" w:type="dxa"/>
            <w:vAlign w:val="bottom"/>
            <w:tcBorders>
              <w:bottom w:val="single" w:sz="8" w:color="auto"/>
            </w:tcBorders>
          </w:tcPr>
          <w:p>
            <w:pPr>
              <w:spacing w:after="0"/>
              <w:rPr>
                <w:sz w:val="20"/>
                <w:szCs w:val="20"/>
                <w:color w:val="auto"/>
              </w:rPr>
            </w:pPr>
          </w:p>
        </w:tc>
      </w:tr>
      <w:tr>
        <w:trPr>
          <w:trHeight w:val="223"/>
        </w:trPr>
        <w:tc>
          <w:tcPr>
            <w:tcW w:w="72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Single customer</w:t>
            </w:r>
          </w:p>
        </w:tc>
        <w:tc>
          <w:tcPr>
            <w:tcW w:w="11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9"/>
                <w:szCs w:val="19"/>
                <w:color w:val="auto"/>
              </w:rPr>
            </w:pPr>
          </w:p>
        </w:tc>
        <w:tc>
          <w:tcPr>
            <w:tcW w:w="13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8"/>
        </w:trPr>
        <w:tc>
          <w:tcPr>
            <w:tcW w:w="7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20" w:type="dxa"/>
            <w:vAlign w:val="bottom"/>
          </w:tcPr>
          <w:p>
            <w:pPr>
              <w:spacing w:after="0"/>
              <w:rPr>
                <w:sz w:val="19"/>
                <w:szCs w:val="19"/>
                <w:color w:val="auto"/>
              </w:rPr>
            </w:pPr>
          </w:p>
        </w:tc>
        <w:tc>
          <w:tcPr>
            <w:tcW w:w="1160" w:type="dxa"/>
            <w:vAlign w:val="bottom"/>
            <w:tcBorders>
              <w:top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w w:val="99"/>
              </w:rPr>
              <w:t>9%</w:t>
            </w:r>
          </w:p>
        </w:tc>
        <w:tc>
          <w:tcPr>
            <w:tcW w:w="80" w:type="dxa"/>
            <w:vAlign w:val="bottom"/>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14 %</w:t>
            </w:r>
          </w:p>
        </w:tc>
      </w:tr>
    </w:tbl>
    <w:p>
      <w:pPr>
        <w:spacing w:after="0" w:line="27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loss of such customers could materially adversely affect our revenues. Additionally, a major customer in one year may not purchase any of our products or services in another year, which may negatively affect our financial performance. We have offered, and may in the future offer, discounts to our large customers to incentivize them to continue to utilize our products and services. If we are required to sell products to any of our large customers at reduced prices or unfavorable terms, our revenue and earnings could be materially adversely affected. Further, there is no assurance that our customers will continue to utilize our transaction processing and related services as our customer agreements are generally cancellable by the customer on thirty days notice.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Increases in card association and debit network interchange fees could increase our operating costs or otherwise adversely affect our operations.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obligated to pay interchange fees and other network fees set by the bankcard networks to the card issuing bank and the bankcard networks for each transaction we process through our network. From time to time, card associations and debit networks increase the organization and/or processing fees, known as interchange fees that they charge. Under our processing agreements with our customers, we are permitted to pass along these fee increases to our customers through corresponding increases in our processing fees. Passing along such increases could result in some of our customers canceling their contracts with us. Consequently, it is possible that competitive pressures will result in us absorbing some or all of the increases in the future, which would increase our operating costs, reduce our gross profit and adversely affect our business.</w:t>
      </w:r>
    </w:p>
    <w:p>
      <w:pPr>
        <w:spacing w:after="0" w:line="21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b w:val="1"/>
          <w:bCs w:val="1"/>
          <w:color w:val="auto"/>
        </w:rPr>
        <w:t>Our efforts to expand into international markets may not be successful; our products and services may not gain traction in new markets; and managing international operations may be challenging or may fail.</w:t>
      </w:r>
    </w:p>
    <w:p>
      <w:pPr>
        <w:spacing w:after="0" w:line="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As we seek to expand into international markets, we may not be successful, or our plans may be delayed. We only recently began managing international operations. Our products will need to be localized in some cases and if our localization efforts fail or are delayed or our products and services do not gain traction in new markets, our business could be adversely affected.</w:t>
      </w:r>
    </w:p>
    <w:p>
      <w:pPr>
        <w:spacing w:after="0" w:line="18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color w:val="auto"/>
        </w:rPr>
        <w:t>Geopolitical conflicts, including the conflict between Russia and Ukraine and the conflict between Israel and Hamas, may adversely affect our business and results of operations.</w:t>
      </w:r>
    </w:p>
    <w:p>
      <w:pPr>
        <w:spacing w:after="0" w:line="19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While we do not currently have employees, customers or corporate offices in impacted areas, we have worked, and expect to work in the future, with companies located in jurisdictions outside of the U.S., including, but not limited to Ukraine. In addition, we are focused on international expansion. As a result, our operations and international expansion efforts could be impacted by economic, political and other conditions resulting from the current conflict between Russia and Ukraine and the conflict between Israel and Hamas, which could, among other things, lead to a reduction in consumer, government or corporate spending, international sanctions, embargoes, heightened inflation, volatility in global financial markets, increased cyber disruptions or attacks, higher supply chain costs and increased tensions between the United States and countries in which we operate, which could result in charges related to the recoverability of assets, including financial assets, long-lived assets and goodwill and other losses, and could adversely affect our financial position and results of operations. To the extent the Russia-Ukraine conflict or the Israel-Hamas conflict adversely affects our business, it may also have the effect of heightening many other risks disclosed in this Annual Report, any of which could have a material adverse effect on our business and results of operations.</w:t>
      </w:r>
    </w:p>
    <w:p>
      <w:pPr>
        <w:spacing w:after="0" w:line="19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color w:val="auto"/>
        </w:rPr>
        <w:t>Increased scrutiny from shareholders, customers and other stakeholders regarding our environmental, social, and governance, or sustainability responsibilities, could adversely impact our liquidity, results of operations, reputation, and stock price.</w:t>
      </w:r>
    </w:p>
    <w:p>
      <w:pPr>
        <w:spacing w:after="0" w:line="18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Shareholders, customers and other stakeholders have begun to consider how corporations are addressing environmental, social and governance (“ESG”) issues. Government regulators, investors, customers and the general public are increasingly focused on ESG practices and disclosures, and views about ESG are diverse and rapidly changing. These shifts in investing priorities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17" w:name="page18"/>
    <w:bookmarkEnd w:id="17"/>
    <w:p>
      <w:pPr>
        <w:jc w:val="both"/>
        <w:spacing w:after="0" w:line="250" w:lineRule="auto"/>
        <w:rPr>
          <w:sz w:val="20"/>
          <w:szCs w:val="20"/>
          <w:color w:val="auto"/>
        </w:rPr>
      </w:pPr>
      <w:r>
        <w:rPr>
          <w:rFonts w:ascii="Times New Roman" w:cs="Times New Roman" w:eastAsia="Times New Roman" w:hAnsi="Times New Roman"/>
          <w:sz w:val="18"/>
          <w:szCs w:val="18"/>
          <w:color w:val="auto"/>
        </w:rPr>
        <w:t>may result in adverse effects on the trading price of our common stock if investors determine that the Company has not made sufficient progress on ESG matters. We could also face potential negative ESG-related publicity in traditional media or social media if shareholders or other stakeholders determine that we have not adequately considered or addressed ESG matters.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Operational and liquidity</w:t>
      </w:r>
    </w:p>
    <w:p>
      <w:pPr>
        <w:spacing w:after="0" w:line="23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Disruptions to our systems, breaches in the security of transactions involving our products or services, or failure of our processing systems could adversely affect our reputation, business and results of operations.</w:t>
      </w:r>
    </w:p>
    <w:p>
      <w:pPr>
        <w:spacing w:after="0" w:line="17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We rely on information technology and other systems to transmit financial information of consumers making cashless transactions and to provide accounting and inventory management services to our customers. As such, the information we transmit and/or maintain is exposed to the ever-evolving threat of compromised security, in the form of a risk of potential breach, system failure, computer virus, cyber-attack or unauthorized or fraudulent use by consumers, customers, company employees, or employees of third party vendors. While we have implemented various cybersecurity defense mechanisms and risk management initiatives, there can be no assurance that such mechanisms and initiatives will be effective, and may experience a cybersecurity breach. A cybersecurity breach of our informational technology systems, or those of third parties upon whom we rely, could result in disclosure of confidential information and intellectual property, or cause operational disruptions and compromised data. We may be unable to anticipate or prevent techniques to obtain unauthorized access or to sabotage systems because they change frequently and often are not detected until after an incident has occurred. Further, cybersecurity attacks are becoming more frequent and sophisticated, including through emerging AI technologies, which may intensify or exacerbate cybersecurity risks or introduce new risks.</w:t>
      </w:r>
    </w:p>
    <w:p>
      <w:pPr>
        <w:spacing w:after="0" w:line="23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our processing systems may experience errors, interruptions, delays or damage from a number of causes, including, but not limited to, power outages, hardware, software and network failures, internal design, manual or usage errors, terrorism, workplace violence or wrongdoing, catastrophic events, climate-related events such as natural disasters and severe weather conditions. The steps we take to deter and mitigate these risks, including annual validation of our compliance with the Payment Card Industry Data Security Standard, may not be successful, and any resulting compromise or loss of data or systems could adversely impact the marketplace acceptance of our products and services, and could result in significant remedial expenses to not only assess and repair any damage to our systems, but also to reimburse customers for losses that occur from service interruptions or the fraudulent use of confidential data. Additionally, we could become subject to significant fines, litigation, and loss of reputation, potentially impacting our financial results.</w:t>
      </w:r>
    </w:p>
    <w:p>
      <w:pPr>
        <w:spacing w:after="0" w:line="2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Furthermore, the technology systems of businesses that we have acquired, or may acquire, as well as their practices related to the collection, use, maintenance, and disclosure of data, could present issues that we were not able to identify prior to the acquisition or other issues that continue to pose risk to use, such as cybersecurity vulnerabilities or past cybersecurity or privacy incidents. Following an acquisition, we take steps to ensure our data and system security protection measures cover the acquired business as part of our integration process. As such, there may be a period of increased cybersecurity risk during the period between closing an acquisition and the completion of our data and system security integration. Furthermore, despite these efforts, especially in light of increasingly sophisticated techniques used in cybersecurity attacks, our information technology systems and those of third parties with who we do business or communicate may be damaged, disrupted, or shut down due to attacks by unauthorized access, malicious software, computer viruses, undetected intrusion, hardware failures, or other events and in these circumstances where we cannot fully anticipate, detect, repel, or implement fully effective preventative measures, our disaster recovery plans may be ineffective or inadequate.</w:t>
      </w:r>
    </w:p>
    <w:p>
      <w:pPr>
        <w:spacing w:after="0" w:line="18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We depend on our key personnel and, if they leave us, or if we are unable to attract highly skilled personnel, our business could be adversely affected.</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we have maintained business continuity and operational success despite recent management changes over the past several years, our success and future growth also depends, to a significant degree, on the skills and continued services of our management team. Further, due to the complexity of the work required to make needed improvements within the Company, it may be difficult for us to retain existing senior management and new hires, sales personnel, and development and engineering personnel critical to our ability to execute our business plan, which could result in harm to key customer relationships, loss of key information, expertise or know-how and unanticipated recruitment and training costs.</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may experience a loss of productivity due to the departure of key personnel and the associated loss of institutional knowledge, or while new personnel integrate into our business and transition into their respective roles.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future success also depends on our ability to attract and motivate highly skilled technical, managerial, sales, marketing and customer service personnel, including members of our management team.</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8" w:name="page19"/>
    <w:bookmarkEnd w:id="18"/>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The termination of our relationships with certain third-party suppliers upon whom we rely for services that are critical to our products could adversely affect our business and delay achievement of our business plan.</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operation of our networked devices depends upon the capacity, reliability and security of services provided to us by our wireless telecommunication services providers, equipment manufacturers and other suppliers. In addition, if we terminate relationships with our current telecommunications service providers and other third-party suppliers, we may have to replace hardware that is part of our existing ePort, Seed, or other products that are already installed in the marketplace. This could significantly harm our reputation and could cause us to lose customers and revenue.</w:t>
      </w:r>
    </w:p>
    <w:p>
      <w:pPr>
        <w:spacing w:after="0" w:line="20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We rely on other card payment processors, and if they fail or no longer agree to provide their services or we fail to operate in compliance with the requirements of those relationships, our customer relationships could be adversely affected, and we could lose business.</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rely on agreements with other large payment processing organizations to enable us to provide card authorization, data capture and transmission, settlement and merchant accounting services for the customers we serve. The termination by our card processing providers of their arrangements with us or their failure to perform their services efficiently and effectively would adversely affect our relationships with the customers whose accounts we serve and may cause those customers to terminate their processing agreements with us.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 substantially all of the cashless payment transactions handled by our network involve the three largest credit card associations. If we fail to comply with the applicable standards or requirements of these card associations relating to security, they could suspend or terminate our registration with them. The termination of our registration with them or any changes in the respective rules that would impair our registration with them could require us to stop providing cashless payment services through our network. In such event, our business plan and/or competitive advantages in the market place would be materially adversely affected.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Disruptions at other participants in the financial system could prevent us from delivering our cashless payment services.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operations and systems of many participants in the financial system are interconnected. Many of the transactions that involve our cashless payment services rely on multiple participants in the financial system to accurately move funds and communicate information to the next participant in the transaction chain. A disruption for any reason at one of the participants in the financial system could impact our ability to cause funds to be moved in a manner to successfully deliver our services. Although we work with other participants to avoid any disruptions, there is no assurance that such efforts will be effective. Such a disruption could lead to the inability for us to deliver services, reputational damage, lost customers and lost revenue, loss of customers’ confidence, as well as additional costs, all of which could have a material adverse effect on our revenue, profitability, financial condition, and future growth.</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Any increase in chargebacks not paid by our customers may adversely affect our results of operations, financial condition and cash flows.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event a dispute between a cardholder and a customer is not resolved in favor of the customer, the transaction is normally charged back to the customer and the purchase price is credited or otherwise refunded to the cardholder. If we are unable to collect such amounts from the customer's account, or if the customer refuses or is unable, due to closure, bankruptcy or other reasons, to reimburse us for a chargeback, we bear the loss for the amount of the refund paid to the cardholder. We may experience significant losses from chargebacks in the future. Any increase in chargebacks not paid by our customers could have a material adverse effect on our business, financial condition, results of operations and cash flows. We have policies to manage customer-related credit risk and attempt to mitigate such risk by monitoring transaction activity. Notwithstanding our programs and policies for managing credit risk, it is possible that a default on such obligations by one or more of our customers could have a material adverse effect on our business.</w:t>
      </w:r>
    </w:p>
    <w:p>
      <w:pPr>
        <w:spacing w:after="0" w:line="21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may not fully realize the benefits of acquisitions, it may take longer than we anticipate for us to achieve those benefits, they may be difficult to integrate, may disrupt our business, or divert management attention and may adversely affect our financial condition.</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could acquire additional products, technologies, or businesses to complement or expand our existing business. We may be unable to negotiate favorable terms in a timely manner or at all. Negotiation and integration of these types of potential business combinations could divert management’s time and resources. In addition, we may encounter unanticipated costs, operational challenges, or potential disruption of our business and diversion of management’s attention from our core business. We may</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9" w:name="page20"/>
    <w:bookmarkEnd w:id="19"/>
    <w:p>
      <w:pPr>
        <w:jc w:val="both"/>
        <w:spacing w:after="0" w:line="282" w:lineRule="auto"/>
        <w:rPr>
          <w:sz w:val="20"/>
          <w:szCs w:val="20"/>
          <w:color w:val="auto"/>
        </w:rPr>
      </w:pPr>
      <w:r>
        <w:rPr>
          <w:rFonts w:ascii="Times New Roman" w:cs="Times New Roman" w:eastAsia="Times New Roman" w:hAnsi="Times New Roman"/>
          <w:sz w:val="18"/>
          <w:szCs w:val="18"/>
          <w:color w:val="auto"/>
        </w:rPr>
        <w:t>not realize the anticipated benefits from our acquisitions. We could reduce the cash that would otherwise be available to fund operations or other purposes, or we could incur debt, potentially on unfavorable terms.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Additionally, for any future acquisition, we need to determine the appropriate level of integration of products, services, associates, and information technology, financial, human resources, compliance, and other systems and processes, and then successfully manage that integration into our corporate structure. Integration can be a complex and time-consuming process, and if the integration is not fully successful or is delayed for a material period of time, we may not achieve the anticipated synergies or benefits of the acquisition. In addition, the integration of businesses may create complexity in our financial systems, internal controls, technology and cybersecurity systems, and operations and may make them more difficult to manage. Even if the target companies are successfully integrated, the acquisitions may fail to further our business strategy as anticipated, expose us to increased competition or challenges with respect to our products or services, and expose us to additional risks and liabilities.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dependence on proprietary technology and limited ability to protect our intellectual property may adversely affect our ability to compete.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Challenge to our ownership of our intellectual property could materially damage our business prospects. Our technology may infringe upon the proprietary rights of others. Our ability to execute our business plan is dependent, in part, on our ability to obtain patent protection for our proprietary products, maintain trade secret protection and operate without infringing the proprietary rights of others.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June 30, 2024, the United States Government and other countries have granted us 140 patents, of which 49 are still in force. Our patents expire between 2024 and 2038. There can be no assurance that we will be able to successfully renew any of these patents following their expiration. We also have a number of pending patent applications, and will consider filing applications for additional patents covering aspects of our future developments, although there can be no assurance that we will do so. In addition, there can be no assurance that we will maintain or prosecute these applications. There can be no assurance that:</w:t>
      </w:r>
    </w:p>
    <w:p>
      <w:pPr>
        <w:spacing w:after="0" w:line="75"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the remaining patent applications will be granted to us;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develop additional products that are patentable or that do not infringe the patents of others;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patents issued to us will provide us with any competitive advantages or adequate protection for our products;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patents issued to us will not be challenged, invalidated or circumvented by others; or</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products would not infringe the patents of others.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any of our products or services is found to have infringed any patent, there can be no assurance that we will be able to obtain licenses to continue to manufacture, use, sell, and license such product or service or that we will not have to pay damages and/or be enjoined as a result of such infringement.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we are unable to adequately protect our proprietary technology or fail to enforce or prosecute our patents against others, third parties may be able to compete more effectively against us, which could result in the loss of customers and our business being adversely affected. Patent and proprietary rights litigation entails substantial legal and other costs and diverts Company resources as well as the attention of our management. There can be no assurance we will have the necessary financial resources to appropriately defend or prosecute our intellectual property rights in connection with any such litigation.</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We may require additional financing or find it necessary to raise capital to sustain our operations and without it we may not be able to achieve our business plan.</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June 30, 2024, we had a net working capital surplus of $51.9 million and cash and cash equivalents of $58.9 million. We had net cash provided by (used in) operating activities of $27.7 million, $14.2 million, and $(8.7) million for fiscal years ended 2024, 2023, and 2022, respectively. We may need additional funds to continue these operations. We may also need additional capital to respond to unusual or unanticipated non-operational events. Should the financing that we require to sustain our working capital needs be unavailable or prohibitively expensive when we require it, the consequences could have a material adverse effect on our business, operating results, financial condition and future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0" w:name="page21"/>
    <w:bookmarkEnd w:id="20"/>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Failure to comply with any of the financial covenants under the Company’s debt facilities could result in an event of default which may accelerate our outstanding indebtedness or other obligations and have a material adverse impact on our business, liquidity position and financial position.</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party to an amended and restated credit agreement with JPMorgan Chase Bank, N.A. which provides for a $15 million secured revolving credit facility (as amended, the “Amended Revolving Facility”) and a $25 million secured term facility (as amended, the “Amended Secured Term Facility” and together with the Amended Revolving Facility, the “JPMorgan Credit Facility”).</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JPMorgan Credit Facility has a four-year maturity and includes customary representations, warranties and covenants, and acceleration, indemnity and events of default provisions, including, among other things, two financial covenants. One financial covenant requires us to maintain, at all times, a total leverage ratio of not more than 3.00 to 1.00 on the last day of any fiscal quarter. The other financial covenant is conditional on a material acquisition occurring: if a material acquisition occurs, we are required to maintain a total leverage ratio not greater than 4.00 to 1.00 for the next four fiscal quarters following the material acquisition.</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were in compliance with its financial covenants as of June 30, 2024. Failure to comply with the foregoing financial covenants, if not cured or waived, will result in an event of default that could trigger acceleration of our indebtedness, which would require us to repay all amounts owed under the JPMorgan Credit Facility and could have a material adverse impact on our business, liquidity position and financial position.</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cannot be certain that our future operating results will be sufficient to ensure compliance with the financial covenants in the JPMorgan Credit Facility or to remedy any defaults. In addition, in the event of any event of default and related acceleration, we may not have or be able to obtain sufficient funds to make the accelerated payments required under the JPMorgan Credit Facility.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regulatory, and compliance risks</w:t>
      </w:r>
    </w:p>
    <w:p>
      <w:pPr>
        <w:spacing w:after="0" w:line="25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We are subject to laws and regulations that affect the products, services and markets in which we operate. Failure by us to comply with these laws or regulations would have an adverse effect on our business, financial condition, or results of operations.</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among other things, subject to certain banking regulations and credit card association regulations. Failure to comply with these regulations may result in the suspension of our business, the limitation, suspension or termination of service, and/or the imposition of fines that could have an adverse effect on our financial condition. Additionally, changes to legal rules and regulations, or interpretation or enforcement thereof, could have a negative financial effect on us or our product offerings. To the extent this occurs, we could be subject to additional technical, contractual or other requirements as a condition of our continuing to conduct our payment processing business. These requirements could cause us to incur additional costs, which could be significant, or to lose revenues to the extent we do not comply with these requirements.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subject to additional risks with respect to our current and potential international operations.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subject to laws, regulations and business practices of the foreign jurisdictions in which we operate. These laws, regulations and business practices expose us to risks that are different than or in addition to those commonly found in the United States. Risks relating to our international operations and properties include:</w:t>
      </w:r>
    </w:p>
    <w:p>
      <w:pPr>
        <w:spacing w:after="0" w:line="203"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governmental rules and policies;</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enactment of laws restricting the ability to remove profits earned from activities within a particular country to a person’s or company’s country of origin;</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policies governing foreign trade or investment and use of foreign operations or workers, and any negative sentiments towards multinational companies as a result of any such changes to laws, regulations or policies or due to trends such as political populism and economic nationalism;</w:t>
      </w:r>
    </w:p>
    <w:p>
      <w:pPr>
        <w:spacing w:after="0" w:line="2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currency exchange rates and the imposition of currency controls;</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market conditions caused by terrorism, civil unrest, natural disasters, infectious disease and changes in international, national or local governmental or economic conditions;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1" w:name="page22"/>
    <w:bookmarkEnd w:id="21"/>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disruptions arising from public health crises and outbreaks of communicable diseases;</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U.S. or international lenders to make loans in certain countries and changes in the availability, cost and terms of secured and unsecured debt resulting from varying governmental economic policies;</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unique tax structures and changes in other tax rates and other operating expenses in particular countries, including the potential imposition of adverse or confiscatory taxes;</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imposition of restrictions on currency conversions or the transfer of funds;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political and economic instability; and</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experience and expertise in foreign countries, particularly European countries, relative to our experience and expertise in the United States.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any of the foregoing risks were to materialize, they could materially and adversely affect us.</w:t>
      </w:r>
    </w:p>
    <w:p>
      <w:pPr>
        <w:spacing w:after="0" w:line="24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and certain of our former officers and directors could be subject to future claims and lawsuits, which could require significant additional management time and attention, result in significant additional legal expenses or result in government enforcement actions.</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and certain of our former officers and directors have been subject to litigation, government investigations or proceedings, including the 2019 Investigation (refer to </w:t>
      </w:r>
      <w:r>
        <w:rPr>
          <w:rFonts w:ascii="Times New Roman" w:cs="Times New Roman" w:eastAsia="Times New Roman" w:hAnsi="Times New Roman"/>
          <w:sz w:val="18"/>
          <w:szCs w:val="18"/>
          <w:i w:val="1"/>
          <w:iCs w:val="1"/>
          <w:color w:val="auto"/>
        </w:rPr>
        <w:t>Note 18</w:t>
      </w:r>
      <w:r>
        <w:rPr>
          <w:rFonts w:ascii="Times New Roman" w:cs="Times New Roman" w:eastAsia="Times New Roman" w:hAnsi="Times New Roman"/>
          <w:sz w:val="18"/>
          <w:szCs w:val="18"/>
          <w:color w:val="auto"/>
        </w:rPr>
        <w:t xml:space="preserve"> – Commitments and Contingencies to the consolidated financial statements in Part II, Item 8 of this Annual report). Future litigation, investigation or other actions that may be filed or initiated against us or our former officers or directors may be time consuming and expensive. We cannot predict what losses we may incur in these matters, and contingencies related to our obligations under the federal and state securities laws, or in other legal proceedings or governmental investigations or proceedings related to these matters.</w:t>
      </w:r>
    </w:p>
    <w:p>
      <w:pPr>
        <w:spacing w:after="0" w:line="2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 date, we have incurred significant costs in connection with litigation, investigations and with the special litigation committee proceedings. Any legal proceedings, if decided adversely to us, could result in significant monetary damages, penalties and reputational harm, and will likely involve significant defense and other costs. We have entered into indemnification agreements with certain of our former directors and officers, and our bylaws require us to indemnify each of our directors and officers. Further, our insurance may not cover all claims that have been or may be brought against us, and insurance coverage may not continue to be available to us at a reasonable cost. As a result, we have been and may continue to be exposed to substantial uninsured liabilities, including pursuant to our indemnification obligations, which could materially adversely affect our business, prospects, results of operations and financial condition.</w:t>
      </w:r>
    </w:p>
    <w:p>
      <w:pPr>
        <w:spacing w:after="0" w:line="21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Failure to maintain effective systems of internal control over financial reporting and disclosure controls and procedures could cause a loss of confidence in our financial reporting and adversely affect the trading price of our common stock.</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Effective internal control over financial reporting is necessary for us to provide accurate financial information. Section 404 of the Sarbanes-Oxley Act requires us to evaluate the effectiveness of our internal control over financial reporting as of the end of each fiscal year and to include a management report assessing the effectiveness of our internal control over financial reporting in our Annual Report on Form 10-K.</w:t>
      </w:r>
    </w:p>
    <w:p>
      <w:pPr>
        <w:spacing w:after="0" w:line="18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have identified material weaknesses in our internal controls in the past, including as disclosed in our Annual Report on Form 10-K for the year ended June 30, 2023. We have also previously restated certain of our consolidated financial statements (most recently in February 2020 for the fiscal period ended September 20, 2019). We may identify additional material weaknesses or significant deficiencies in our internal controls in the future. If any such control deficiencies occur in the future, we may not detect errors on a timely basis and our financial statements could be materially misstated. As a result, we may be forced to restate our financial statements and take other actions which will take significant financial and managerial resources, as well as be subject to</w:t>
      </w:r>
    </w:p>
    <w:p>
      <w:pPr>
        <w:spacing w:after="0" w:line="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fines and other government enforcement actions. A restatement of our financial results could, among other potential adverse effects, impact our ability to timely file our periodic reports until the restatement is completed. In addition, investors could lose confidence in the accuracy and completeness of our financial reports, which could negatively affect the market price of our common stock, perhaps significantly. In addition, we could become subject to investigations, such as the 2019 Investigation, litigation or disputes with stockholders, which could have an adverse impact on our business. For information regarding the 2019 Investigation.</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common stock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and officer liability is limited and shareholders may have limited rights to recover against directors for breach of fiduciary duty.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permitted by Pennsylvania law, our by-laws limit the liability of our directors for monetary damages for breach of a director’s fiduciary duty except for liability in certain instances. As a result of our by-law provisions and Pennsylvania law, shareholders may have limited rights to recover against directors for breach of fiduciary duty. In addition, our by-laws and indemnification agreements entered into by the Company with each of the officers and directors provide that we shall indemnify our directors and officers to the fullest extent permitted by law.</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 active trading market for our common stock may not be maintained.</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can provide no assurance that we will be able to maintain an active trading market for our common stock on the Nasdaq Global Select Market, or any other exchange in the future. If an active market for our common stock is not maintained, or if we fail to satisfy the continued listing standards of Nasdaq for any reason and our securities are delisted, it may be difficult for our security holders to sell their securities without depressing the market price for the securities or at all. An inactive trading market may also impair our ability to both raise capital by selling shares of common stock and complete other acquisitions by using our shares of common stock as consideration.</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If securities and/or industry analysts fail to continue publishing research about our business, if they change their recommendations adversely, or if our results of operations do not meet their expectations, our stock price and trading volume could decline.</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will be influenced by the research and reports that industry or securities analysts publish about us or our business. If one or more of these analysts cease coverage of our company or fail to publish reports on us regularly for any reason, we could lose visibility in the financial markets, which in turn could cause our stock price or trading volume to decline. In addition, it is likely that, in some future period, our operating results will be below the expectations of securities analysts or investors. If one or more of the analysts who cover us downgrade our stock, or if our results of operations do not meet their expectations, our stock price could decline.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Exclusion from the Russell 2000® Index could result in a decline in the price of our stock.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we are currently included in the Russell 2000® Index, if our market capitalization were to fall below the minimum necessary, we could be dropped from inclusion. If we were no longer included in the Russell 2000® Index, it could result in a decline in demand for our common stock and, accordingly, the trading price of our common stock following such events.</w:t>
      </w:r>
    </w:p>
    <w:p>
      <w:pPr>
        <w:spacing w:after="0" w:line="19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Upon certain fundamental transactions involving the Company, such as a merger or sale of substantially all of our assets, we may be required to distribute the liquidation preference then due to the holders of our Series A Preferred Stock which would reduce the amount of the distributions otherwise to be made to the holders of our common stock in connection with such transactions.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articles of incorporation provide that upon a merger or sale of substantially all of our assets or upon the disposition of more than 50% of our voting power, the transaction will be treated as a liquidation if approved by the holders at least 50% of the preferred stock. Upon our liquidation, the holders of our preferred stock are entitled to receive a liquidation preference prior to any distribution to the holders of common stock which, as of June 30, 2024 was approximately $22.7 million, inclusive of accrued dividends. No dividend may be paid on our common stock until all accumulated and unpaid dividends on our preferred stock have been paid.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&amp; Strategy</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cybersecurity program is designed to safeguard the confidentiality, integrity and availability of information assets by monitoring the cyber threat landscape, internal threats and technological changes and through the development of controls to mitigate risk to the organization and our customers. While cybersecurity is a dynamic and constantly evolving field, we strive to minimize the occurrence and impact of unauthorized access, disruption to our information systems and are committed to staying informed about emerging threats, adopting industry best practices, and integrating feedback from our assessment and incidents. We deploy and manage both preventive and detective controls and processes to mitigate cybersecurity threats, including monitoring our network for known vulnerabilities and signs of unauthorized attempts to access our data and systems. We also deploy and manage preventive and detective controls and processes related to the mitigation of risks from our use of third-party service providers.</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organization undergoes annual reviews by third-party consultants to help assess the implementation and operational effectiveness of the security controls implemented in our service environment which is in scope for Payment Card Industry Data Security Standard ("PCI DSS") and American Institute of Certified Public Accountants ("AICPA") System and Organization Controls ("SOC").</w:t>
      </w:r>
    </w:p>
    <w:p>
      <w:pPr>
        <w:spacing w:after="0" w:line="20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Our program is designed to guide our practices which are based on relevant industry frameworks and laws. This program consists of policies and procedures designed to manage material risks from cybersecurity threats, including training requirements, threat monitoring and detection and threat containment and risk assessments. Additionally, we leverage third-party firms to conduct routine external and internal penetration testing to emulate the common tactics and techniques of cyber threat actors and have processes to address identified vulnerabilities, although it may take time to mitigate or manage such vulnerabilities. Results of this testing is included in the Company's SOC report. Further, we also carry cyber security insurance, which is renewed annually and covers cyber events and business interruption. We closely monitor costs of breaches within the industry in an effort to ensure that our coverage is sufficient to address all reasonably foreseeable threats and levels of risk.</w:t>
      </w:r>
    </w:p>
    <w:p>
      <w:pPr>
        <w:spacing w:after="0" w:line="2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an Incident Management Policy ("IMP") and Incident Response Plan ("IRP") which helps enable us to quickly detect, respond to, and recover from third-party malicious attacks and potential security incidents. This plan includes formal steps to review incidents and implement improvements, including steps to involve the CISO, CIO and CTO as appropriate.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Oversight</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Information Security Program is overseen by our Chief Information Security Officer (“CISO”), who reports to our Chief Technology Officer (“CTO”). Our CISO oversees the third-party consultants who help assess our security controls and penetration testing previously described. The CTO provides oversight, leadership and direction for data risks, technology risks and information security. Our CISO leads the Cybersecurity organization and has the overall responsibility of implementing its strategy and objectives to build a strong cyber engineering function.</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CISO has over 20 years of information technology experience with specialization in information security and risk management. Our CISO has industry recognized certifications including Certified Information Systems Security Professional (CISSP), Certified Information Security Manager (CISM), Payment Card Industry Professional (PCI ISA &amp; PCIP). He worked in various information security roles at other large public traded companies.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CISO and CTO report to the Board of Directors who have ultimate responsibility in overseeing enterprise risks, including cybersecurity threats.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current headquarters are located at 101 Lindenwood Drive, Malvern, Pennsylvania. All of our current locations are leased and expire in varying years outlined below. All of our leased facilities are used for corporate functions, product development, sales, and other purposes. We believe our existing facilities are sufficient for our current and future needs.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3300" w:type="dxa"/>
            <w:vAlign w:val="bottom"/>
            <w:gridSpan w:val="2"/>
          </w:tcPr>
          <w:p>
            <w:pPr>
              <w:ind w:left="640"/>
              <w:spacing w:after="0"/>
              <w:rPr>
                <w:sz w:val="20"/>
                <w:szCs w:val="20"/>
                <w:color w:val="auto"/>
              </w:rPr>
            </w:pPr>
            <w:r>
              <w:rPr>
                <w:rFonts w:ascii="Times New Roman" w:cs="Times New Roman" w:eastAsia="Times New Roman" w:hAnsi="Times New Roman"/>
                <w:sz w:val="18"/>
                <w:szCs w:val="18"/>
                <w:b w:val="1"/>
                <w:bCs w:val="1"/>
                <w:color w:val="auto"/>
              </w:rPr>
              <w:t>Approximate Monthly Base Rent</w:t>
            </w:r>
          </w:p>
        </w:tc>
        <w:tc>
          <w:tcPr>
            <w:tcW w:w="2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Lease Expiration</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Approximate Size</w:t>
            </w:r>
          </w:p>
        </w:tc>
      </w:tr>
      <w:tr>
        <w:trPr>
          <w:trHeight w:val="223"/>
        </w:trPr>
        <w:tc>
          <w:tcPr>
            <w:tcW w:w="3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Atlanta, Georgia</w:t>
            </w:r>
          </w:p>
        </w:tc>
        <w:tc>
          <w:tcPr>
            <w:tcW w:w="100" w:type="dxa"/>
            <w:vAlign w:val="bottom"/>
            <w:tcBorders>
              <w:top w:val="single" w:sz="8" w:color="CCEEFF"/>
            </w:tcBorders>
            <w:shd w:val="clear" w:color="auto" w:fill="CCEEFF"/>
          </w:tcPr>
          <w:p>
            <w:pPr>
              <w:spacing w:after="0"/>
              <w:rPr>
                <w:sz w:val="19"/>
                <w:szCs w:val="19"/>
                <w:color w:val="auto"/>
              </w:rPr>
            </w:pPr>
          </w:p>
        </w:tc>
        <w:tc>
          <w:tcPr>
            <w:tcW w:w="3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$38,000 - $44,000</w:t>
            </w:r>
          </w:p>
        </w:tc>
        <w:tc>
          <w:tcPr>
            <w:tcW w:w="100" w:type="dxa"/>
            <w:vAlign w:val="bottom"/>
            <w:tcBorders>
              <w:top w:val="single" w:sz="8" w:color="CCEEFF"/>
            </w:tcBorders>
            <w:shd w:val="clear" w:color="auto" w:fill="CCEEFF"/>
          </w:tcPr>
          <w:p>
            <w:pPr>
              <w:spacing w:after="0"/>
              <w:rPr>
                <w:sz w:val="19"/>
                <w:szCs w:val="19"/>
                <w:color w:val="auto"/>
              </w:rPr>
            </w:pPr>
          </w:p>
        </w:tc>
        <w:tc>
          <w:tcPr>
            <w:tcW w:w="2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July 2029</w:t>
            </w:r>
          </w:p>
        </w:tc>
        <w:tc>
          <w:tcPr>
            <w:tcW w:w="100" w:type="dxa"/>
            <w:vAlign w:val="bottom"/>
            <w:tcBorders>
              <w:top w:val="single" w:sz="8" w:color="CCEEFF"/>
            </w:tcBorders>
            <w:shd w:val="clear" w:color="auto" w:fill="CCEEFF"/>
          </w:tcPr>
          <w:p>
            <w:pPr>
              <w:spacing w:after="0"/>
              <w:rPr>
                <w:sz w:val="19"/>
                <w:szCs w:val="19"/>
                <w:color w:val="auto"/>
              </w:rPr>
            </w:pPr>
          </w:p>
        </w:tc>
        <w:tc>
          <w:tcPr>
            <w:tcW w:w="2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15,300 sq. ft.</w:t>
            </w:r>
          </w:p>
        </w:tc>
      </w:tr>
      <w:tr>
        <w:trPr>
          <w:trHeight w:val="229"/>
        </w:trPr>
        <w:tc>
          <w:tcPr>
            <w:tcW w:w="3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Malvern, Pennsylvania</w:t>
            </w:r>
          </w:p>
        </w:tc>
        <w:tc>
          <w:tcPr>
            <w:tcW w:w="3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$65,000 - $85,000</w:t>
            </w:r>
          </w:p>
        </w:tc>
        <w:tc>
          <w:tcPr>
            <w:tcW w:w="100" w:type="dxa"/>
            <w:vAlign w:val="bottom"/>
          </w:tcPr>
          <w:p>
            <w:pPr>
              <w:spacing w:after="0"/>
              <w:rPr>
                <w:sz w:val="19"/>
                <w:szCs w:val="19"/>
                <w:color w:val="auto"/>
              </w:rPr>
            </w:pPr>
          </w:p>
        </w:tc>
        <w:tc>
          <w:tcPr>
            <w:tcW w:w="2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March 2035</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27,000 sq. ft.</w:t>
            </w:r>
          </w:p>
        </w:tc>
      </w:tr>
      <w:tr>
        <w:trPr>
          <w:trHeight w:val="230"/>
        </w:trPr>
        <w:tc>
          <w:tcPr>
            <w:tcW w:w="322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Denver, Colorado</w:t>
            </w:r>
            <w:r>
              <w:rPr>
                <w:rFonts w:ascii="Times New Roman" w:cs="Times New Roman" w:eastAsia="Times New Roman" w:hAnsi="Times New Roman"/>
                <w:sz w:val="23"/>
                <w:szCs w:val="23"/>
                <w:color w:val="auto"/>
                <w:vertAlign w:val="superscript"/>
              </w:rPr>
              <w:t>(1)</w:t>
            </w:r>
          </w:p>
        </w:tc>
        <w:tc>
          <w:tcPr>
            <w:tcW w:w="3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$45,000 - $53,000</w:t>
            </w:r>
          </w:p>
        </w:tc>
        <w:tc>
          <w:tcPr>
            <w:tcW w:w="100" w:type="dxa"/>
            <w:vAlign w:val="bottom"/>
            <w:shd w:val="clear" w:color="auto" w:fill="CCEEFF"/>
          </w:tcPr>
          <w:p>
            <w:pPr>
              <w:spacing w:after="0"/>
              <w:rPr>
                <w:sz w:val="19"/>
                <w:szCs w:val="19"/>
                <w:color w:val="auto"/>
              </w:rPr>
            </w:pPr>
          </w:p>
        </w:tc>
        <w:tc>
          <w:tcPr>
            <w:tcW w:w="2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December 2026</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16,700 sq. ft.</w:t>
            </w:r>
          </w:p>
        </w:tc>
      </w:tr>
      <w:tr>
        <w:trPr>
          <w:trHeight w:val="229"/>
        </w:trPr>
        <w:tc>
          <w:tcPr>
            <w:tcW w:w="3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River Falls, Wisconsin</w:t>
            </w:r>
          </w:p>
        </w:tc>
        <w:tc>
          <w:tcPr>
            <w:tcW w:w="3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100" w:type="dxa"/>
            <w:vAlign w:val="bottom"/>
          </w:tcPr>
          <w:p>
            <w:pPr>
              <w:spacing w:after="0"/>
              <w:rPr>
                <w:sz w:val="19"/>
                <w:szCs w:val="19"/>
                <w:color w:val="auto"/>
              </w:rPr>
            </w:pPr>
          </w:p>
        </w:tc>
        <w:tc>
          <w:tcPr>
            <w:tcW w:w="2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November 2026</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36,100 sq. ft.</w:t>
            </w:r>
          </w:p>
        </w:tc>
      </w:tr>
      <w:tr>
        <w:trPr>
          <w:trHeight w:val="229"/>
        </w:trPr>
        <w:tc>
          <w:tcPr>
            <w:tcW w:w="322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Metairie, Louisiana</w:t>
            </w:r>
            <w:r>
              <w:rPr>
                <w:rFonts w:ascii="Times New Roman" w:cs="Times New Roman" w:eastAsia="Times New Roman" w:hAnsi="Times New Roman"/>
                <w:sz w:val="23"/>
                <w:szCs w:val="23"/>
                <w:color w:val="auto"/>
                <w:vertAlign w:val="superscript"/>
              </w:rPr>
              <w:t>(1)</w:t>
            </w:r>
          </w:p>
        </w:tc>
        <w:tc>
          <w:tcPr>
            <w:tcW w:w="3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$15,000 - $16,000</w:t>
            </w:r>
          </w:p>
        </w:tc>
        <w:tc>
          <w:tcPr>
            <w:tcW w:w="100" w:type="dxa"/>
            <w:vAlign w:val="bottom"/>
            <w:shd w:val="clear" w:color="auto" w:fill="CCEEFF"/>
          </w:tcPr>
          <w:p>
            <w:pPr>
              <w:spacing w:after="0"/>
              <w:rPr>
                <w:sz w:val="19"/>
                <w:szCs w:val="19"/>
                <w:color w:val="auto"/>
              </w:rPr>
            </w:pPr>
          </w:p>
        </w:tc>
        <w:tc>
          <w:tcPr>
            <w:tcW w:w="2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July 2024</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7,800 sq. ft.</w:t>
            </w:r>
          </w:p>
        </w:tc>
      </w:tr>
      <w:tr>
        <w:trPr>
          <w:trHeight w:val="230"/>
        </w:trPr>
        <w:tc>
          <w:tcPr>
            <w:tcW w:w="3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Seattle, Washington</w:t>
            </w:r>
          </w:p>
        </w:tc>
        <w:tc>
          <w:tcPr>
            <w:tcW w:w="3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00" w:type="dxa"/>
            <w:vAlign w:val="bottom"/>
          </w:tcPr>
          <w:p>
            <w:pPr>
              <w:spacing w:after="0"/>
              <w:rPr>
                <w:sz w:val="19"/>
                <w:szCs w:val="19"/>
                <w:color w:val="auto"/>
              </w:rPr>
            </w:pPr>
          </w:p>
        </w:tc>
        <w:tc>
          <w:tcPr>
            <w:tcW w:w="2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December 2024</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 sq. ft.</w:t>
            </w:r>
          </w:p>
        </w:tc>
      </w:tr>
      <w:tr>
        <w:trPr>
          <w:trHeight w:val="229"/>
        </w:trPr>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Birmingham, United Kingdom</w:t>
            </w:r>
          </w:p>
        </w:tc>
        <w:tc>
          <w:tcPr>
            <w:tcW w:w="3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100" w:type="dxa"/>
            <w:vAlign w:val="bottom"/>
            <w:shd w:val="clear" w:color="auto" w:fill="CCEEFF"/>
          </w:tcPr>
          <w:p>
            <w:pPr>
              <w:spacing w:after="0"/>
              <w:rPr>
                <w:sz w:val="19"/>
                <w:szCs w:val="19"/>
                <w:color w:val="auto"/>
              </w:rPr>
            </w:pPr>
          </w:p>
        </w:tc>
        <w:tc>
          <w:tcPr>
            <w:tcW w:w="2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December 2026</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6,800 sq. ft.</w:t>
            </w:r>
          </w:p>
        </w:tc>
      </w:tr>
      <w:tr>
        <w:trPr>
          <w:trHeight w:val="234"/>
        </w:trPr>
        <w:tc>
          <w:tcPr>
            <w:tcW w:w="3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Dhaka, Bangladesh</w:t>
            </w:r>
          </w:p>
        </w:tc>
        <w:tc>
          <w:tcPr>
            <w:tcW w:w="3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$3,740</w:t>
            </w:r>
          </w:p>
        </w:tc>
        <w:tc>
          <w:tcPr>
            <w:tcW w:w="100" w:type="dxa"/>
            <w:vAlign w:val="bottom"/>
          </w:tcPr>
          <w:p>
            <w:pPr>
              <w:spacing w:after="0"/>
              <w:rPr>
                <w:sz w:val="20"/>
                <w:szCs w:val="20"/>
                <w:color w:val="auto"/>
              </w:rPr>
            </w:pPr>
          </w:p>
        </w:tc>
        <w:tc>
          <w:tcPr>
            <w:tcW w:w="2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June 2025</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4,400 sq. ft.</w:t>
            </w:r>
          </w:p>
        </w:tc>
      </w:tr>
    </w:tbl>
    <w:p>
      <w:pPr>
        <w:spacing w:after="0" w:line="310" w:lineRule="exact"/>
        <w:rPr>
          <w:sz w:val="20"/>
          <w:szCs w:val="20"/>
          <w:color w:val="auto"/>
        </w:rPr>
      </w:pPr>
    </w:p>
    <w:p>
      <w:pPr>
        <w:ind w:left="140" w:hanging="132"/>
        <w:spacing w:after="0"/>
        <w:tabs>
          <w:tab w:leader="none" w:pos="140" w:val="left"/>
        </w:tabs>
        <w:numPr>
          <w:ilvl w:val="0"/>
          <w:numId w:val="18"/>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These office space locations are no longer utilized by the Company and have been sub-leased.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 party to litigation and other proceedings that arise in the ordinary course of our business. We establish accruals for those matters in circumstances when a loss contingency is considered probable and the related amount is reasonably estimable. Any such accruals may be adjusted as circumstances change. Assessments of losses are inherently subjective and involve unpredictable factors. It is possible that future results of operations for any particular quarterly or annual period could be materially and adversely affected by any developments relating to the legal proceedings, claims and investigations.</w:t>
      </w:r>
    </w:p>
    <w:p>
      <w:pPr>
        <w:spacing w:after="0" w:line="2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i w:val="1"/>
          <w:iCs w:val="1"/>
          <w:color w:val="auto"/>
        </w:rPr>
        <w:t>Note 18 - Commitments and contingencies</w:t>
      </w:r>
      <w:r>
        <w:rPr>
          <w:rFonts w:ascii="Times New Roman" w:cs="Times New Roman" w:eastAsia="Times New Roman" w:hAnsi="Times New Roman"/>
          <w:sz w:val="18"/>
          <w:szCs w:val="18"/>
          <w:color w:val="auto"/>
        </w:rPr>
        <w:t xml:space="preserve"> to the consolidated financial statements in Part II, Item 8 of this Annual Report, we are not aware of any material pending legal or governmental proceedings as of the filing date of this Annual Report to which we are party, other than routine litigation incidental to our business.</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common stock is traded on The NASDAQ Global Market under the symbol “CTLP”. As of September 6, 2024, there were 485 holders of record of our common stock and 214 record holders of the preferred stock. This number does not include stockholders for whom shares were held in a “nominee” or “street” name.</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holders of the common stock are entitled to receive such dividends as the Board of Directors of the Company may from time to time declare out of funds legally available for payment of dividends. Through the date hereof, no cash dividends have been declared on the Company’s common stock or preferred stock. No dividend may be paid on the common stock until all accumulated and unpaid dividends on the preferred stock have been paid. As of June 30, 2024, accumulated unpaid preferred stock dividends amounted to approximately $18.9 million. The preferred stock is also entitled to a liquidation preference over the common stock. As of June 30, 2024, the liquidation preference was approximately $22.7 million, inclusive of the $18.9 million unpaid dividends.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188" w:lineRule="exact"/>
        <w:rPr>
          <w:sz w:val="20"/>
          <w:szCs w:val="20"/>
          <w:color w:val="auto"/>
        </w:rPr>
      </w:pPr>
    </w:p>
    <w:p>
      <w:pPr>
        <w:jc w:val="both"/>
        <w:spacing w:after="0" w:line="236" w:lineRule="exact"/>
        <w:rPr>
          <w:sz w:val="20"/>
          <w:szCs w:val="20"/>
          <w:color w:val="auto"/>
        </w:rPr>
      </w:pPr>
      <w:r>
        <w:rPr>
          <w:rFonts w:ascii="Times New Roman" w:cs="Times New Roman" w:eastAsia="Times New Roman" w:hAnsi="Times New Roman"/>
          <w:sz w:val="18"/>
          <w:szCs w:val="18"/>
          <w:color w:val="auto"/>
        </w:rPr>
        <w:t>The following graph shows a comparison of the 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cumulative total shareholder return for our common stock with The US Small-Cap Russell 2000® Index and the S&amp;P 500 Information Technology Index in the United States. The graph assumes a $100 investment on June 30, 2018 in our common stock and in the Small-Cap Russell 2000® Index and the S&amp;P 500 Information Technology Index, including reinvestment of dividends.</w:t>
      </w:r>
    </w:p>
    <w:p>
      <w:pPr>
        <w:spacing w:after="0" w:line="19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The Company was added as a member of the US Small-Cap Russell 2000</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Index in June 2021. We have included the Small-Cap Russell 2000® Index replacing the Nasdaq Composite Index in our cumulative total return comparisons below, which reflects a change from the presentation in prior fiscal years.</w:t>
      </w:r>
    </w:p>
    <w:p>
      <w:pPr>
        <w:spacing w:after="0" w:line="43" w:lineRule="exact"/>
        <w:rPr>
          <w:sz w:val="20"/>
          <w:szCs w:val="20"/>
          <w:color w:val="auto"/>
        </w:rPr>
      </w:pPr>
    </w:p>
    <w:p>
      <w:pPr>
        <w:jc w:val="center"/>
        <w:spacing w:after="0" w:line="207" w:lineRule="exact"/>
        <w:rPr>
          <w:sz w:val="20"/>
          <w:szCs w:val="20"/>
          <w:color w:val="auto"/>
        </w:rPr>
      </w:pPr>
      <w:r>
        <w:rPr>
          <w:rFonts w:ascii="Times New Roman" w:cs="Times New Roman" w:eastAsia="Times New Roman" w:hAnsi="Times New Roman"/>
          <w:sz w:val="18"/>
          <w:szCs w:val="18"/>
          <w:b w:val="1"/>
          <w:bCs w:val="1"/>
          <w:color w:val="auto"/>
        </w:rPr>
        <w:t>COMPARISON OF 5</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YEAR CUMULATIVE TOTAL RETURN</w:t>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Among Cantaloupe, Inc., The US Small-Cap Russell 2000® Index, and The S&amp;P 500 Information Technology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1153795</wp:posOffset>
            </wp:positionH>
            <wp:positionV relativeFrom="paragraph">
              <wp:posOffset>38735</wp:posOffset>
            </wp:positionV>
            <wp:extent cx="4834890" cy="37547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834890" cy="3754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90"/>
        </w:trPr>
        <w:tc>
          <w:tcPr>
            <w:tcW w:w="41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Total Return For:</w:t>
            </w:r>
          </w:p>
        </w:tc>
        <w:tc>
          <w:tcPr>
            <w:tcW w:w="220" w:type="dxa"/>
            <w:vAlign w:val="bottom"/>
          </w:tcPr>
          <w:p>
            <w:pPr>
              <w:spacing w:after="0"/>
              <w:rPr>
                <w:sz w:val="16"/>
                <w:szCs w:val="16"/>
                <w:color w:val="auto"/>
              </w:rPr>
            </w:pPr>
          </w:p>
        </w:tc>
        <w:tc>
          <w:tcPr>
            <w:tcW w:w="9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Jun-19</w:t>
            </w:r>
          </w:p>
        </w:tc>
        <w:tc>
          <w:tcPr>
            <w:tcW w:w="220" w:type="dxa"/>
            <w:vAlign w:val="bottom"/>
          </w:tcPr>
          <w:p>
            <w:pPr>
              <w:spacing w:after="0"/>
              <w:rPr>
                <w:sz w:val="16"/>
                <w:szCs w:val="16"/>
                <w:color w:val="auto"/>
              </w:rPr>
            </w:pPr>
          </w:p>
        </w:tc>
        <w:tc>
          <w:tcPr>
            <w:tcW w:w="9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Jun-20</w:t>
            </w:r>
          </w:p>
        </w:tc>
        <w:tc>
          <w:tcPr>
            <w:tcW w:w="220" w:type="dxa"/>
            <w:vAlign w:val="bottom"/>
          </w:tcPr>
          <w:p>
            <w:pPr>
              <w:spacing w:after="0"/>
              <w:rPr>
                <w:sz w:val="16"/>
                <w:szCs w:val="16"/>
                <w:color w:val="auto"/>
              </w:rPr>
            </w:pP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Jun-21</w:t>
            </w:r>
          </w:p>
        </w:tc>
        <w:tc>
          <w:tcPr>
            <w:tcW w:w="220" w:type="dxa"/>
            <w:vAlign w:val="bottom"/>
          </w:tcPr>
          <w:p>
            <w:pPr>
              <w:spacing w:after="0"/>
              <w:rPr>
                <w:sz w:val="16"/>
                <w:szCs w:val="16"/>
                <w:color w:val="auto"/>
              </w:rPr>
            </w:pP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Jun-22</w:t>
            </w:r>
          </w:p>
        </w:tc>
        <w:tc>
          <w:tcPr>
            <w:tcW w:w="220" w:type="dxa"/>
            <w:vAlign w:val="bottom"/>
          </w:tcPr>
          <w:p>
            <w:pPr>
              <w:spacing w:after="0"/>
              <w:rPr>
                <w:sz w:val="16"/>
                <w:szCs w:val="16"/>
                <w:color w:val="auto"/>
              </w:rPr>
            </w:pP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Jun-23</w:t>
            </w:r>
          </w:p>
        </w:tc>
        <w:tc>
          <w:tcPr>
            <w:tcW w:w="220" w:type="dxa"/>
            <w:vAlign w:val="bottom"/>
          </w:tcPr>
          <w:p>
            <w:pPr>
              <w:spacing w:after="0"/>
              <w:rPr>
                <w:sz w:val="16"/>
                <w:szCs w:val="16"/>
                <w:color w:val="auto"/>
              </w:rPr>
            </w:pPr>
          </w:p>
        </w:tc>
        <w:tc>
          <w:tcPr>
            <w:tcW w:w="88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Jun-24</w:t>
            </w:r>
          </w:p>
        </w:tc>
      </w:tr>
      <w:tr>
        <w:trPr>
          <w:trHeight w:val="23"/>
        </w:trPr>
        <w:tc>
          <w:tcPr>
            <w:tcW w:w="4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6"/>
        </w:trPr>
        <w:tc>
          <w:tcPr>
            <w:tcW w:w="4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29"/>
        </w:trPr>
        <w:tc>
          <w:tcPr>
            <w:tcW w:w="4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Cantaloupe, Inc.</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30"/>
        </w:trPr>
        <w:tc>
          <w:tcPr>
            <w:tcW w:w="4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 Small-Cap Russell 2000® Index</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29"/>
        </w:trPr>
        <w:tc>
          <w:tcPr>
            <w:tcW w:w="4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S&amp;P 500 Information Technology Index</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r>
    </w:tbl>
    <w:p>
      <w:pPr>
        <w:spacing w:after="0" w:line="2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information in the performance graph is not deemed to be “soliciting material” or to be “filed” with the SEC or subject to Regulation 14A or 14C under the Securities Exchange Act of 1934, as amended, or to the liabilities of Section 18 of the Securities Exchange Act of 1934, as amended, and will not be deemed to be incorporated by reference into any filing under the Securities Act of 1933, as amended, or the Securities Exchange Act of 1934, as amended, except to the extent that we specifically incorporate it by reference into such a filing. The stock price performance included in this graph is not necessarily indicative of future stock price performance.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following discussion and analysis of the financial condition and results of operations should be read in conjunction with our consolidated financial statements and related notes included in this Annual Report, as well as the discussion under “Item 1A. Risk Factors.” For further discussion of the business, industry, our products and services, competitive strengths, and growth strategy, see “Item 1. Business.” Unless stated otherwise, the comparisons presented in this discussion and analysis refer to the year-over-year comparison of changes in our financial condition and results of operations as of and for the fiscal years ended June 30, 2024 and June 30, 2023. Discussion of fiscal year 2023 items and the year-over year comparison of changes in our financial condition and results of operations as of and for the fiscal years ended June 30, 2023 and June 30, 2022 can be found in Part II, “Item 7. Management’s Discussion and Analysis of Financial Condition and Results of Operations” of our Annual Report on Form 10-K for the fiscal year ended June 30, 2023, which was previously filed with the SEC on September 25, 2023.</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discussion contains forward-looking statements that involve risks and uncertainties. Our actual results could differ materially from those anticipated in these forward-looking statements. Furthermore, the period-over-period comparison of our historical results is not necessarily indicative of the results that may be expected in the future.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THE COMPANY</w:t>
      </w:r>
    </w:p>
    <w:p>
      <w:pPr>
        <w:spacing w:after="0" w:line="24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are a global technology leader powering self-service commerce. We offer a comprehensive suite of solutions including micro-payment processing, self-checkout kiosks, mobile ordering, connected POS systems, and enterprise cloud software. Handling more than a billion transactions annually, our solutions enhance operational efficiency and consumer engagement across sectors like food &amp; beverage markets, smart automated retail, hospitality, entertainment venues, laundromats and more. Committed to innovation, we aim to drive advancements in digital payments and business optimization, serving 31,466 customers in the U.S., U.K., EU countries, Australia, and Mexico.</w:t>
      </w:r>
    </w:p>
    <w:p>
      <w:pPr>
        <w:spacing w:after="0" w:line="19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fiscal year ends June 30. We generate revenue in multiple ways. During the fiscal years ended June 30, 2024 and June 30, 2023, we derived approximately 86% of our revenue from subscription and transaction fees, and approximately 14% from equipment sales. Active Devices on our service include POS electronic payment devices, certified payment software, or the servicing of similar third-party installed POS terminals. Customers can obtain POS electronic payment devices from us in the following ways:</w:t>
      </w:r>
    </w:p>
    <w:p>
      <w:pPr>
        <w:sectPr>
          <w:pgSz w:w="11900" w:h="16838" w:orient="portrait"/>
          <w:cols w:equalWidth="0" w:num="1">
            <w:col w:w="11240"/>
          </w:cols>
          <w:pgMar w:left="320" w:top="1103" w:right="339" w:bottom="1440" w:gutter="0" w:footer="0" w:header="0"/>
        </w:sectPr>
      </w:pPr>
    </w:p>
    <w:p>
      <w:pPr>
        <w:spacing w:after="0" w:line="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w:t>
      </w:r>
    </w:p>
    <w:p>
      <w:pPr>
        <w:spacing w:after="0" w:line="1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Purchasing devices directly from the Company or one of its authorized resellers;</w:t>
      </w:r>
    </w:p>
    <w:p>
      <w:pPr>
        <w:spacing w:after="0" w:line="198" w:lineRule="exact"/>
        <w:rPr>
          <w:sz w:val="20"/>
          <w:szCs w:val="20"/>
          <w:color w:val="auto"/>
        </w:rPr>
      </w:pPr>
    </w:p>
    <w:p>
      <w:pPr>
        <w:ind w:left="20" w:right="20" w:hanging="5"/>
        <w:spacing w:after="0" w:line="313" w:lineRule="auto"/>
        <w:rPr>
          <w:sz w:val="20"/>
          <w:szCs w:val="20"/>
          <w:color w:val="auto"/>
        </w:rPr>
      </w:pPr>
      <w:r>
        <w:rPr>
          <w:rFonts w:ascii="Times New Roman" w:cs="Times New Roman" w:eastAsia="Times New Roman" w:hAnsi="Times New Roman"/>
          <w:sz w:val="18"/>
          <w:szCs w:val="18"/>
          <w:color w:val="auto"/>
        </w:rPr>
        <w:t>Financing devices under the Company’s QuickStart Program, which are non-cancellable 60-months sales-type leases directly from the Company; and</w:t>
      </w:r>
    </w:p>
    <w:p>
      <w:pPr>
        <w:spacing w:after="0" w:line="41" w:lineRule="exact"/>
        <w:rPr>
          <w:sz w:val="20"/>
          <w:szCs w:val="20"/>
          <w:color w:val="auto"/>
        </w:rPr>
      </w:pPr>
    </w:p>
    <w:p>
      <w:pPr>
        <w:sectPr>
          <w:pgSz w:w="11900" w:h="16838" w:orient="portrait"/>
          <w:cols w:equalWidth="0" w:num="2">
            <w:col w:w="420" w:space="220"/>
            <w:col w:w="10600"/>
          </w:cols>
          <w:pgMar w:left="320" w:top="1103" w:right="339" w:bottom="1440" w:gutter="0" w:footer="0" w:header="0"/>
          <w:type w:val="continuous"/>
        </w:sectPr>
      </w:pPr>
    </w:p>
    <w:p>
      <w:pPr>
        <w:ind w:left="640" w:hanging="308"/>
        <w:spacing w:after="0"/>
        <w:tabs>
          <w:tab w:leader="none" w:pos="640" w:val="left"/>
        </w:tabs>
        <w:numPr>
          <w:ilvl w:val="0"/>
          <w:numId w:val="19"/>
        </w:numPr>
        <w:rPr>
          <w:rFonts w:ascii="Times New Roman" w:cs="Times New Roman" w:eastAsia="Times New Roman" w:hAnsi="Times New Roman"/>
          <w:sz w:val="25"/>
          <w:szCs w:val="25"/>
          <w:color w:val="auto"/>
        </w:rPr>
      </w:pPr>
      <w:r>
        <w:rPr>
          <w:rFonts w:ascii="Times New Roman" w:cs="Times New Roman" w:eastAsia="Times New Roman" w:hAnsi="Times New Roman"/>
          <w:sz w:val="18"/>
          <w:szCs w:val="18"/>
          <w:color w:val="auto"/>
        </w:rPr>
        <w:t>Renting devices under the Company's Cantaloupe ONE program, which are typically 36-months duration agreements.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Highlights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Highlights of the Company for the fiscal year ended June 30, 2024 are below:</w:t>
      </w:r>
    </w:p>
    <w:p>
      <w:pPr>
        <w:spacing w:after="0" w:line="239"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of $269 million, an increase of 10% year over year, led by higher transaction and subscription fees revenue;</w:t>
      </w:r>
    </w:p>
    <w:p>
      <w:pPr>
        <w:spacing w:after="0" w:line="238" w:lineRule="exact"/>
        <w:rPr>
          <w:rFonts w:ascii="Times New Roman" w:cs="Times New Roman" w:eastAsia="Times New Roman" w:hAnsi="Times New Roman"/>
          <w:sz w:val="18"/>
          <w:szCs w:val="18"/>
          <w:color w:val="auto"/>
        </w:rPr>
      </w:pPr>
    </w:p>
    <w:p>
      <w:pPr>
        <w:ind w:left="660" w:hanging="328"/>
        <w:spacing w:after="0" w:line="265" w:lineRule="auto"/>
        <w:tabs>
          <w:tab w:leader="none" w:pos="655" w:val="left"/>
        </w:tabs>
        <w:numPr>
          <w:ilvl w:val="0"/>
          <w:numId w:val="20"/>
        </w:numPr>
        <w:rPr>
          <w:rFonts w:ascii="Arial" w:cs="Arial" w:eastAsia="Arial" w:hAnsi="Arial"/>
          <w:sz w:val="18"/>
          <w:szCs w:val="18"/>
          <w:color w:val="auto"/>
        </w:rPr>
      </w:pPr>
      <w:r>
        <w:rPr>
          <w:rFonts w:ascii="Times New Roman" w:cs="Times New Roman" w:eastAsia="Times New Roman" w:hAnsi="Times New Roman"/>
          <w:sz w:val="18"/>
          <w:szCs w:val="18"/>
          <w:color w:val="auto"/>
        </w:rPr>
        <w:t>$3.0 billion in dollar volume of transactions for the year ended June 30, 2024 compared to $2.6 billion for the year ended June 30, 2023, an increase of $0.4 billion, or 15%;</w:t>
      </w:r>
    </w:p>
    <w:p>
      <w:pPr>
        <w:spacing w:after="0" w:line="190" w:lineRule="exact"/>
        <w:rPr>
          <w:rFonts w:ascii="Arial" w:cs="Arial" w:eastAsia="Arial" w:hAnsi="Arial"/>
          <w:sz w:val="18"/>
          <w:szCs w:val="18"/>
          <w:color w:val="auto"/>
        </w:rPr>
      </w:pPr>
    </w:p>
    <w:p>
      <w:pPr>
        <w:ind w:left="660" w:right="20" w:hanging="328"/>
        <w:spacing w:after="0" w:line="266"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1.22 million Active Devices as of June 30, 2024 compared to 1.17 million as of June 30, 2023, an increase of approximately 55 thousand Active Devices, or 5%;</w:t>
      </w:r>
    </w:p>
    <w:p>
      <w:pPr>
        <w:spacing w:after="0" w:line="189" w:lineRule="exact"/>
        <w:rPr>
          <w:rFonts w:ascii="Times New Roman" w:cs="Times New Roman" w:eastAsia="Times New Roman" w:hAnsi="Times New Roman"/>
          <w:sz w:val="18"/>
          <w:szCs w:val="18"/>
          <w:color w:val="auto"/>
        </w:rPr>
      </w:pPr>
    </w:p>
    <w:p>
      <w:pPr>
        <w:ind w:left="660" w:right="20" w:hanging="328"/>
        <w:spacing w:after="0" w:line="265" w:lineRule="auto"/>
        <w:tabs>
          <w:tab w:leader="none" w:pos="655" w:val="left"/>
        </w:tabs>
        <w:numPr>
          <w:ilvl w:val="0"/>
          <w:numId w:val="20"/>
        </w:numPr>
        <w:rPr>
          <w:rFonts w:ascii="Arial" w:cs="Arial" w:eastAsia="Arial" w:hAnsi="Arial"/>
          <w:sz w:val="18"/>
          <w:szCs w:val="18"/>
          <w:color w:val="auto"/>
        </w:rPr>
      </w:pPr>
      <w:r>
        <w:rPr>
          <w:rFonts w:ascii="Times New Roman" w:cs="Times New Roman" w:eastAsia="Times New Roman" w:hAnsi="Times New Roman"/>
          <w:sz w:val="18"/>
          <w:szCs w:val="18"/>
          <w:color w:val="auto"/>
        </w:rPr>
        <w:t>31,466 Active Customers to our service as of June 30, 2024 compared to 28,584 as of June 30, 2023, an increase of 2,882 Active Customers, or 10%;</w:t>
      </w:r>
    </w:p>
    <w:p>
      <w:pPr>
        <w:spacing w:after="0" w:line="190" w:lineRule="exact"/>
        <w:rPr>
          <w:rFonts w:ascii="Arial" w:cs="Arial" w:eastAsia="Arial" w:hAnsi="Arial"/>
          <w:sz w:val="18"/>
          <w:szCs w:val="18"/>
          <w:color w:val="auto"/>
        </w:rPr>
      </w:pPr>
    </w:p>
    <w:p>
      <w:pPr>
        <w:jc w:val="both"/>
        <w:ind w:left="660" w:hanging="328"/>
        <w:spacing w:after="0" w:line="24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acquired Cheq, which offers a portfolio of POS solutions that include both register and self-service kiosk ordering, handheld devices for taking payments on-the-go, and mobile app ordering for pick-up or in-seat delivery – serving the sports stadium, entertainment venues and festival industries;</w:t>
      </w:r>
    </w:p>
    <w:p>
      <w:pPr>
        <w:spacing w:after="0" w:line="224"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launched Seed Analytics and Seed Intelligence, two new premium analytics tools available within the Seed Pro platform, designed to transform the way vending operators leverage data for business growth with improved decision-making and enhanced productivity;</w:t>
      </w:r>
    </w:p>
    <w:p>
      <w:pPr>
        <w:sectPr>
          <w:pgSz w:w="11900" w:h="16838" w:orient="portrait"/>
          <w:cols w:equalWidth="0" w:num="1">
            <w:col w:w="11240"/>
          </w:cols>
          <w:pgMar w:left="320" w:top="1103" w:right="339" w:bottom="1440" w:gutter="0" w:footer="0" w:header="0"/>
          <w:type w:val="continuous"/>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type w:val="continuous"/>
        </w:sectPr>
      </w:pPr>
    </w:p>
    <w:bookmarkStart w:id="28" w:name="page29"/>
    <w:bookmarkEnd w:id="28"/>
    <w:p>
      <w:pPr>
        <w:ind w:left="66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our thought-leadership initiatives, including the release of our 2024 Micropayment Trends Report, which studied micro payment trends (transactions less than $10) at food and beverage vending and at amusement machines throughout the United States and Canada in 2023;</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2024, we held our annual user conference, Cantaloupe University, in Las Vegas, NV, where we showcased our latest technologies and provided two days of training and education around our entire platform and suite of products; and</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showcased our full suite of solutions for the European and Mexico markets at Cantaloupe LIVE in the Milton-Keynes, U.K. and Mexico City, Mexico. Both events allowed customers, partners and industry professionals to see the latest technology for self-service retail serving their respective markets. We also showcased our cashless device the P30, the Seed platform, micro market technology and our smart coolers with age verification solutions at various industry trade shows within Mexico.</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CONDITIONS</w:t>
      </w:r>
    </w:p>
    <w:p>
      <w:pPr>
        <w:spacing w:after="0" w:line="24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self-service industry is highly competitive with service providers ranging from well-established enterprises to early-stage companies within the financial technology and software services industries. The markets for our products and services are characterized by evolving industry standards, aggressive pricing, continuous innovation, and changing consumer trends. We believe the following macroeconomic conditions and specific industry trends and uncertainties are most likely to impact our financial results:</w:t>
      </w:r>
    </w:p>
    <w:p>
      <w:pPr>
        <w:spacing w:after="0" w:line="208" w:lineRule="exact"/>
        <w:rPr>
          <w:sz w:val="20"/>
          <w:szCs w:val="20"/>
          <w:color w:val="auto"/>
        </w:rPr>
      </w:pPr>
    </w:p>
    <w:p>
      <w:pPr>
        <w:ind w:left="660" w:right="20" w:hanging="328"/>
        <w:spacing w:after="0" w:line="266"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rising demand from the increased adoption of cashier-less models via vending machines, self-service kiosks, and mobile ordering as consumer preferences for use of faster, simpler and more seamless digital purchase and payment experiences continues to grow;</w:t>
      </w:r>
    </w:p>
    <w:p>
      <w:pPr>
        <w:spacing w:after="0" w:line="175"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successful enhancements and new features for our products and services and to successfully target, acquire and integrate new businesses;</w:t>
      </w:r>
    </w:p>
    <w:p>
      <w:pPr>
        <w:spacing w:after="0" w:line="189" w:lineRule="exact"/>
        <w:rPr>
          <w:rFonts w:ascii="Times New Roman" w:cs="Times New Roman" w:eastAsia="Times New Roman" w:hAnsi="Times New Roman"/>
          <w:sz w:val="18"/>
          <w:szCs w:val="18"/>
          <w:color w:val="auto"/>
        </w:rPr>
      </w:pPr>
    </w:p>
    <w:p>
      <w:pPr>
        <w:jc w:val="both"/>
        <w:ind w:left="660" w:hanging="328"/>
        <w:spacing w:after="0" w:line="245"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broader implications of the macroeconomic environment, including a potentially sustained deterioration in general economic conditions in the markets in which we operate, including as a result of supply chain disruptions, geopolitical conflicts (including the conflicts between Russia and Ukraine and Israel and Hamas), political uncertainty, inflationary pressure, elevated interest rates or interest rate fluctuations such as those that occurred recently; and</w:t>
      </w:r>
    </w:p>
    <w:p>
      <w:pPr>
        <w:spacing w:after="0" w:line="207"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Ongoing labor challenges and inflation drive increased utility of actionable operational business intelligence from new technologies like machine learning and AI to drive operational efficiencies and operational transparency through modern, cloud-based logistics and inventory management solutions.</w:t>
      </w:r>
    </w:p>
    <w:p>
      <w:pPr>
        <w:spacing w:after="0" w:line="20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a further discussion of trends, uncertainties and other factors that could affect our business performance and our financial and operating results, see the section entitled “Risk Factors” in Item 1A.</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METRICS</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shows certain financial and non-financial data that management believes give readers insight into certain trends and relationships about the Company’s financial performance. We believe the metrics (Active Devices, Active Customers, Total Number of Transactions and Total Dollar Volume of Transactions) are useful in allowing management and readers to evaluate our strategy of driving growth in devices and transactions.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Active Devices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Active Devices are devices that have communicated with us or have had a transaction in the last twelve months. Included in the number of Active Devices are devices that communicate through other devices that communicate or transact with us. For example, a self-service retail location that utilizes an ePort cashless payment device as well as Seed management services constitutes only one device.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Active Customers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defines Active Customers as all customers with at least one Active Device.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i w:val="1"/>
          <w:iCs w:val="1"/>
          <w:color w:val="auto"/>
        </w:rPr>
        <w:t>Total Number Of Transactions and Total Dollar Volume of Transactions</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Transactions are defined as electronic payment transactions that are processed by our technology-enabled solutions. Management uses Total Number of Transactions and Total Dollar Volume of Transactions to evaluate the effectiveness of our new customer strategy and ability to leverage existing customers and partners.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4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As of and for the years ended</w:t>
            </w:r>
          </w:p>
        </w:tc>
        <w:tc>
          <w:tcPr>
            <w:tcW w:w="30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3"/>
        </w:trPr>
        <w:tc>
          <w:tcPr>
            <w:tcW w:w="53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90"/>
        </w:trPr>
        <w:tc>
          <w:tcPr>
            <w:tcW w:w="5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320" w:type="dxa"/>
            <w:vAlign w:val="bottom"/>
          </w:tcPr>
          <w:p>
            <w:pPr>
              <w:spacing w:after="0"/>
              <w:rPr>
                <w:sz w:val="16"/>
                <w:szCs w:val="16"/>
                <w:color w:val="auto"/>
              </w:rPr>
            </w:pPr>
          </w:p>
        </w:tc>
        <w:tc>
          <w:tcPr>
            <w:tcW w:w="17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300" w:type="dxa"/>
            <w:vAlign w:val="bottom"/>
          </w:tcPr>
          <w:p>
            <w:pPr>
              <w:spacing w:after="0"/>
              <w:rPr>
                <w:sz w:val="16"/>
                <w:szCs w:val="16"/>
                <w:color w:val="auto"/>
              </w:rPr>
            </w:pPr>
          </w:p>
        </w:tc>
        <w:tc>
          <w:tcPr>
            <w:tcW w:w="156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June 30, 2022</w:t>
            </w:r>
          </w:p>
        </w:tc>
      </w:tr>
      <w:tr>
        <w:trPr>
          <w:trHeight w:val="216"/>
        </w:trPr>
        <w:tc>
          <w:tcPr>
            <w:tcW w:w="5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Devices:</w:t>
            </w:r>
          </w:p>
        </w:tc>
        <w:tc>
          <w:tcPr>
            <w:tcW w:w="32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r>
      <w:tr>
        <w:trPr>
          <w:trHeight w:val="270"/>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Active Devices (thousands)</w:t>
            </w:r>
          </w:p>
        </w:tc>
        <w:tc>
          <w:tcPr>
            <w:tcW w:w="32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w:t>
            </w:r>
          </w:p>
        </w:tc>
      </w:tr>
      <w:tr>
        <w:trPr>
          <w:trHeight w:val="270"/>
        </w:trPr>
        <w:tc>
          <w:tcPr>
            <w:tcW w:w="53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r>
      <w:tr>
        <w:trPr>
          <w:trHeight w:val="229"/>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Customers:</w:t>
            </w:r>
          </w:p>
        </w:tc>
        <w:tc>
          <w:tcPr>
            <w:tcW w:w="3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70"/>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Active Customers</w:t>
            </w:r>
          </w:p>
        </w:tc>
        <w:tc>
          <w:tcPr>
            <w:tcW w:w="320" w:type="dxa"/>
            <w:vAlign w:val="bottom"/>
            <w:shd w:val="clear" w:color="auto" w:fill="CCEEFF"/>
          </w:tcPr>
          <w:p>
            <w:pPr>
              <w:spacing w:after="0"/>
              <w:rPr>
                <w:sz w:val="23"/>
                <w:szCs w:val="23"/>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31,466</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28,584</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23,991</w:t>
            </w:r>
          </w:p>
        </w:tc>
      </w:tr>
      <w:tr>
        <w:trPr>
          <w:trHeight w:val="270"/>
        </w:trPr>
        <w:tc>
          <w:tcPr>
            <w:tcW w:w="53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29"/>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Volumes:</w:t>
            </w:r>
          </w:p>
        </w:tc>
        <w:tc>
          <w:tcPr>
            <w:tcW w:w="3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70"/>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Number of Transactions (millions)</w:t>
            </w:r>
          </w:p>
        </w:tc>
        <w:tc>
          <w:tcPr>
            <w:tcW w:w="32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w:t>
            </w:r>
          </w:p>
        </w:tc>
      </w:tr>
      <w:tr>
        <w:trPr>
          <w:trHeight w:val="270"/>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Dollar Volume of Transactions (millions)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3,038</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2,646</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2,287</w:t>
            </w:r>
          </w:p>
        </w:tc>
      </w:tr>
      <w:tr>
        <w:trPr>
          <w:trHeight w:val="257"/>
        </w:trPr>
        <w:tc>
          <w:tcPr>
            <w:tcW w:w="5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70"/>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 and transaction fees - Trailing 12 months (thousands)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231,496</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200,223</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168,850</w:t>
            </w:r>
          </w:p>
        </w:tc>
      </w:tr>
      <w:tr>
        <w:trPr>
          <w:trHeight w:val="270"/>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revenue per unit (ARPU)</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193.64</w:t>
            </w:r>
          </w:p>
        </w:tc>
        <w:tc>
          <w:tcPr>
            <w:tcW w:w="100" w:type="dxa"/>
            <w:vAlign w:val="bottom"/>
          </w:tcPr>
          <w:p>
            <w:pPr>
              <w:spacing w:after="0"/>
              <w:rPr>
                <w:sz w:val="23"/>
                <w:szCs w:val="23"/>
                <w:color w:val="auto"/>
              </w:rPr>
            </w:pPr>
          </w:p>
        </w:tc>
        <w:tc>
          <w:tcPr>
            <w:tcW w:w="3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173.70</w:t>
            </w:r>
          </w:p>
        </w:tc>
        <w:tc>
          <w:tcPr>
            <w:tcW w:w="120" w:type="dxa"/>
            <w:vAlign w:val="bottom"/>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151.35</w:t>
            </w: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40" w:type="dxa"/>
            <w:vAlign w:val="bottom"/>
            <w:gridSpan w:val="5"/>
          </w:tcPr>
          <w:p>
            <w:pPr>
              <w:ind w:left="800"/>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340" w:type="dxa"/>
            <w:vAlign w:val="bottom"/>
          </w:tcPr>
          <w:p>
            <w:pPr>
              <w:spacing w:after="0"/>
              <w:rPr>
                <w:sz w:val="16"/>
                <w:szCs w:val="16"/>
                <w:color w:val="auto"/>
              </w:rPr>
            </w:pPr>
          </w:p>
        </w:tc>
        <w:tc>
          <w:tcPr>
            <w:tcW w:w="174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32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Percent Change</w:t>
            </w:r>
          </w:p>
        </w:tc>
        <w:tc>
          <w:tcPr>
            <w:tcW w:w="0" w:type="dxa"/>
            <w:vAlign w:val="bottom"/>
          </w:tcPr>
          <w:p>
            <w:pPr>
              <w:spacing w:after="0"/>
              <w:rPr>
                <w:sz w:val="1"/>
                <w:szCs w:val="1"/>
                <w:color w:val="auto"/>
              </w:rPr>
            </w:pPr>
          </w:p>
        </w:tc>
      </w:tr>
      <w:tr>
        <w:trPr>
          <w:trHeight w:val="23"/>
        </w:trPr>
        <w:tc>
          <w:tcPr>
            <w:tcW w:w="42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22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2"/>
          </w:tcPr>
          <w:p>
            <w:pPr>
              <w:ind w:left="980"/>
              <w:spacing w:after="0"/>
              <w:rPr>
                <w:sz w:val="20"/>
                <w:szCs w:val="20"/>
                <w:color w:val="auto"/>
              </w:rPr>
            </w:pPr>
            <w:r>
              <w:rPr>
                <w:rFonts w:ascii="Times New Roman" w:cs="Times New Roman" w:eastAsia="Times New Roman" w:hAnsi="Times New Roman"/>
                <w:sz w:val="14"/>
                <w:szCs w:val="14"/>
                <w:b w:val="1"/>
                <w:bCs w:val="1"/>
                <w:color w:val="auto"/>
              </w:rPr>
              <w:t>2024 v. 2023</w:t>
            </w: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Subscription and transaction fee revenue</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231,497</w:t>
            </w: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200,223</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31,274</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15.6 %</w:t>
            </w:r>
          </w:p>
        </w:tc>
        <w:tc>
          <w:tcPr>
            <w:tcW w:w="0" w:type="dxa"/>
            <w:vAlign w:val="bottom"/>
          </w:tcPr>
          <w:p>
            <w:pPr>
              <w:spacing w:after="0"/>
              <w:rPr>
                <w:sz w:val="1"/>
                <w:szCs w:val="1"/>
                <w:color w:val="auto"/>
              </w:rPr>
            </w:pPr>
          </w:p>
        </w:tc>
      </w:tr>
      <w:tr>
        <w:trPr>
          <w:trHeight w:val="149"/>
        </w:trPr>
        <w:tc>
          <w:tcPr>
            <w:tcW w:w="4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422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Cost of subscription and transaction fees</w:t>
            </w:r>
            <w:r>
              <w:rPr>
                <w:rFonts w:ascii="Times New Roman" w:cs="Times New Roman" w:eastAsia="Times New Roman" w:hAnsi="Times New Roman"/>
                <w:sz w:val="23"/>
                <w:szCs w:val="23"/>
                <w:color w:val="auto"/>
                <w:vertAlign w:val="superscript"/>
              </w:rPr>
              <w:t>(1)</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131,400</w:t>
            </w: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119,715</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11,685</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9.8 %</w:t>
            </w:r>
          </w:p>
        </w:tc>
        <w:tc>
          <w:tcPr>
            <w:tcW w:w="0" w:type="dxa"/>
            <w:vAlign w:val="bottom"/>
          </w:tcPr>
          <w:p>
            <w:pPr>
              <w:spacing w:after="0"/>
              <w:rPr>
                <w:sz w:val="1"/>
                <w:szCs w:val="1"/>
                <w:color w:val="auto"/>
              </w:rPr>
            </w:pPr>
          </w:p>
        </w:tc>
      </w:tr>
      <w:tr>
        <w:trPr>
          <w:trHeight w:val="230"/>
        </w:trPr>
        <w:tc>
          <w:tcPr>
            <w:tcW w:w="4220" w:type="dxa"/>
            <w:vAlign w:val="bottom"/>
            <w:tcBorders>
              <w:bottom w:val="single" w:sz="8" w:color="CCEEFF"/>
            </w:tcBorders>
          </w:tcPr>
          <w:p>
            <w:pPr>
              <w:ind w:left="140"/>
              <w:spacing w:after="0" w:line="230" w:lineRule="exact"/>
              <w:rPr>
                <w:sz w:val="20"/>
                <w:szCs w:val="20"/>
                <w:color w:val="auto"/>
              </w:rPr>
            </w:pPr>
            <w:r>
              <w:rPr>
                <w:rFonts w:ascii="Times New Roman" w:cs="Times New Roman" w:eastAsia="Times New Roman" w:hAnsi="Times New Roman"/>
                <w:sz w:val="18"/>
                <w:szCs w:val="18"/>
                <w:color w:val="auto"/>
              </w:rPr>
              <w:t>Amortization</w:t>
            </w:r>
            <w:r>
              <w:rPr>
                <w:rFonts w:ascii="Times New Roman" w:cs="Times New Roman" w:eastAsia="Times New Roman" w:hAnsi="Times New Roman"/>
                <w:sz w:val="23"/>
                <w:szCs w:val="23"/>
                <w:color w:val="auto"/>
                <w:vertAlign w:val="superscript"/>
              </w:rPr>
              <w:t>(2)</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6,767</w:t>
            </w:r>
          </w:p>
        </w:tc>
        <w:tc>
          <w:tcPr>
            <w:tcW w:w="2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5,020</w:t>
            </w:r>
          </w:p>
        </w:tc>
        <w:tc>
          <w:tcPr>
            <w:tcW w:w="2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1,747</w:t>
            </w:r>
          </w:p>
        </w:tc>
        <w:tc>
          <w:tcPr>
            <w:tcW w:w="42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34.8 %</w:t>
            </w:r>
          </w:p>
        </w:tc>
        <w:tc>
          <w:tcPr>
            <w:tcW w:w="0" w:type="dxa"/>
            <w:vAlign w:val="bottom"/>
          </w:tcPr>
          <w:p>
            <w:pPr>
              <w:spacing w:after="0"/>
              <w:rPr>
                <w:sz w:val="1"/>
                <w:szCs w:val="1"/>
                <w:color w:val="auto"/>
              </w:rPr>
            </w:pPr>
          </w:p>
        </w:tc>
      </w:tr>
      <w:tr>
        <w:trPr>
          <w:trHeight w:val="183"/>
        </w:trPr>
        <w:tc>
          <w:tcPr>
            <w:tcW w:w="42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 subscription and transaction fees</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93,330</w:t>
            </w:r>
          </w:p>
        </w:tc>
        <w:tc>
          <w:tcPr>
            <w:tcW w:w="22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75,488</w:t>
            </w:r>
          </w:p>
        </w:tc>
        <w:tc>
          <w:tcPr>
            <w:tcW w:w="24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17,842</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23.6 %</w:t>
            </w:r>
          </w:p>
        </w:tc>
        <w:tc>
          <w:tcPr>
            <w:tcW w:w="0" w:type="dxa"/>
            <w:vAlign w:val="bottom"/>
          </w:tcPr>
          <w:p>
            <w:pPr>
              <w:spacing w:after="0"/>
              <w:rPr>
                <w:sz w:val="1"/>
                <w:szCs w:val="1"/>
                <w:color w:val="auto"/>
              </w:rPr>
            </w:pPr>
          </w:p>
        </w:tc>
      </w:tr>
      <w:tr>
        <w:trPr>
          <w:trHeight w:val="20"/>
        </w:trPr>
        <w:tc>
          <w:tcPr>
            <w:tcW w:w="42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Equipment sales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37,099</w:t>
            </w: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43,418</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(6,319)</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162"/>
        </w:trPr>
        <w:tc>
          <w:tcPr>
            <w:tcW w:w="4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equipment sales</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34,545</w:t>
            </w:r>
          </w:p>
        </w:tc>
        <w:tc>
          <w:tcPr>
            <w:tcW w:w="2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42,690</w:t>
            </w:r>
          </w:p>
        </w:tc>
        <w:tc>
          <w:tcPr>
            <w:tcW w:w="2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(8,145)</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183"/>
        </w:trPr>
        <w:tc>
          <w:tcPr>
            <w:tcW w:w="4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4220" w:type="dxa"/>
            <w:vAlign w:val="bottom"/>
            <w:tcBorders>
              <w:bottom w:val="single" w:sz="8" w:color="CCEEFF"/>
            </w:tcBorders>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Gross profit, equipment</w:t>
            </w:r>
            <w:r>
              <w:rPr>
                <w:rFonts w:ascii="Times New Roman" w:cs="Times New Roman" w:eastAsia="Times New Roman" w:hAnsi="Times New Roman"/>
                <w:sz w:val="23"/>
                <w:szCs w:val="23"/>
                <w:color w:val="auto"/>
                <w:vertAlign w:val="superscript"/>
              </w:rPr>
              <w:t>(3)</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2,554</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728</w:t>
            </w:r>
          </w:p>
        </w:tc>
        <w:tc>
          <w:tcPr>
            <w:tcW w:w="2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1,826</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250.8 %</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4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5"/>
        </w:trPr>
        <w:tc>
          <w:tcPr>
            <w:tcW w:w="4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gross profit</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95,884</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76,216</w:t>
            </w:r>
          </w:p>
        </w:tc>
        <w:tc>
          <w:tcPr>
            <w:tcW w:w="2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19,668</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25.8 %</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254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2920" w:type="dxa"/>
            <w:vAlign w:val="bottom"/>
            <w:shd w:val="clear" w:color="auto" w:fill="CCEEFF"/>
          </w:tcPr>
          <w:p>
            <w:pPr>
              <w:spacing w:after="0"/>
              <w:rPr>
                <w:sz w:val="19"/>
                <w:szCs w:val="19"/>
                <w:color w:val="auto"/>
              </w:rPr>
            </w:pPr>
          </w:p>
        </w:tc>
      </w:tr>
      <w:tr>
        <w:trPr>
          <w:trHeight w:val="230"/>
        </w:trPr>
        <w:tc>
          <w:tcPr>
            <w:tcW w:w="3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Subscription and transaction fees</w:t>
            </w:r>
          </w:p>
        </w:tc>
        <w:tc>
          <w:tcPr>
            <w:tcW w:w="254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40.3 %</w:t>
            </w:r>
          </w:p>
        </w:tc>
        <w:tc>
          <w:tcPr>
            <w:tcW w:w="190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37.7 %</w:t>
            </w:r>
          </w:p>
        </w:tc>
        <w:tc>
          <w:tcPr>
            <w:tcW w:w="2920" w:type="dxa"/>
            <w:vAlign w:val="bottom"/>
          </w:tcPr>
          <w:p>
            <w:pPr>
              <w:jc w:val="right"/>
              <w:ind w:right="1670"/>
              <w:spacing w:after="0"/>
              <w:rPr>
                <w:sz w:val="20"/>
                <w:szCs w:val="20"/>
                <w:color w:val="auto"/>
              </w:rPr>
            </w:pPr>
            <w:r>
              <w:rPr>
                <w:rFonts w:ascii="Times New Roman" w:cs="Times New Roman" w:eastAsia="Times New Roman" w:hAnsi="Times New Roman"/>
                <w:sz w:val="18"/>
                <w:szCs w:val="18"/>
                <w:color w:val="auto"/>
              </w:rPr>
              <w:t>2.6 %</w:t>
            </w:r>
          </w:p>
        </w:tc>
      </w:tr>
      <w:tr>
        <w:trPr>
          <w:trHeight w:val="230"/>
        </w:trPr>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Equipment sales</w:t>
            </w:r>
          </w:p>
        </w:tc>
        <w:tc>
          <w:tcPr>
            <w:tcW w:w="254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6.9 %</w:t>
            </w:r>
          </w:p>
        </w:tc>
        <w:tc>
          <w:tcPr>
            <w:tcW w:w="190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1.7 %</w:t>
            </w:r>
          </w:p>
        </w:tc>
        <w:tc>
          <w:tcPr>
            <w:tcW w:w="2920" w:type="dxa"/>
            <w:vAlign w:val="bottom"/>
            <w:shd w:val="clear" w:color="auto" w:fill="CCEEFF"/>
          </w:tcPr>
          <w:p>
            <w:pPr>
              <w:jc w:val="right"/>
              <w:ind w:right="1670"/>
              <w:spacing w:after="0"/>
              <w:rPr>
                <w:sz w:val="20"/>
                <w:szCs w:val="20"/>
                <w:color w:val="auto"/>
              </w:rPr>
            </w:pPr>
            <w:r>
              <w:rPr>
                <w:rFonts w:ascii="Times New Roman" w:cs="Times New Roman" w:eastAsia="Times New Roman" w:hAnsi="Times New Roman"/>
                <w:sz w:val="18"/>
                <w:szCs w:val="18"/>
                <w:color w:val="auto"/>
              </w:rPr>
              <w:t>5.2 %</w:t>
            </w:r>
          </w:p>
        </w:tc>
      </w:tr>
      <w:tr>
        <w:trPr>
          <w:trHeight w:val="234"/>
        </w:trPr>
        <w:tc>
          <w:tcPr>
            <w:tcW w:w="3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gross margin</w:t>
            </w:r>
          </w:p>
        </w:tc>
        <w:tc>
          <w:tcPr>
            <w:tcW w:w="254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35.7 %</w:t>
            </w:r>
          </w:p>
        </w:tc>
        <w:tc>
          <w:tcPr>
            <w:tcW w:w="190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31.3 %</w:t>
            </w:r>
          </w:p>
        </w:tc>
        <w:tc>
          <w:tcPr>
            <w:tcW w:w="2920" w:type="dxa"/>
            <w:vAlign w:val="bottom"/>
          </w:tcPr>
          <w:p>
            <w:pPr>
              <w:jc w:val="right"/>
              <w:ind w:right="1670"/>
              <w:spacing w:after="0"/>
              <w:rPr>
                <w:sz w:val="20"/>
                <w:szCs w:val="20"/>
                <w:color w:val="auto"/>
              </w:rPr>
            </w:pPr>
            <w:r>
              <w:rPr>
                <w:rFonts w:ascii="Times New Roman" w:cs="Times New Roman" w:eastAsia="Times New Roman" w:hAnsi="Times New Roman"/>
                <w:sz w:val="18"/>
                <w:szCs w:val="18"/>
                <w:color w:val="auto"/>
              </w:rPr>
              <w:t>4.4 %</w:t>
            </w:r>
          </w:p>
        </w:tc>
      </w:tr>
    </w:tbl>
    <w:p>
      <w:pPr>
        <w:spacing w:after="0" w:line="61" w:lineRule="exact"/>
        <w:rPr>
          <w:sz w:val="20"/>
          <w:szCs w:val="20"/>
          <w:color w:val="auto"/>
        </w:rPr>
      </w:pPr>
    </w:p>
    <w:p>
      <w:pPr>
        <w:ind w:left="140" w:hanging="132"/>
        <w:spacing w:after="0"/>
        <w:tabs>
          <w:tab w:leader="none" w:pos="140" w:val="left"/>
        </w:tabs>
        <w:numPr>
          <w:ilvl w:val="0"/>
          <w:numId w:val="23"/>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 xml:space="preserve">Cost of subscription and transaction fees excludes amortization of certain technology assets, see </w:t>
      </w:r>
      <w:r>
        <w:rPr>
          <w:rFonts w:ascii="Times New Roman" w:cs="Times New Roman" w:eastAsia="Times New Roman" w:hAnsi="Times New Roman"/>
          <w:sz w:val="15"/>
          <w:szCs w:val="15"/>
          <w:color w:val="auto"/>
          <w:vertAlign w:val="superscript"/>
        </w:rPr>
        <w:t>(2)</w:t>
      </w:r>
      <w:r>
        <w:rPr>
          <w:rFonts w:ascii="Times New Roman" w:cs="Times New Roman" w:eastAsia="Times New Roman" w:hAnsi="Times New Roman"/>
          <w:sz w:val="12"/>
          <w:szCs w:val="12"/>
          <w:color w:val="auto"/>
        </w:rPr>
        <w:t xml:space="preserve"> below.</w:t>
      </w:r>
    </w:p>
    <w:p>
      <w:pPr>
        <w:ind w:left="140" w:hanging="132"/>
        <w:spacing w:after="0"/>
        <w:tabs>
          <w:tab w:leader="none" w:pos="140" w:val="left"/>
        </w:tabs>
        <w:numPr>
          <w:ilvl w:val="0"/>
          <w:numId w:val="23"/>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Amortization of internal-use software assets and developed technology assets.</w:t>
      </w:r>
    </w:p>
    <w:p>
      <w:pPr>
        <w:spacing w:after="0" w:line="11" w:lineRule="exact"/>
        <w:rPr>
          <w:rFonts w:ascii="Times New Roman" w:cs="Times New Roman" w:eastAsia="Times New Roman" w:hAnsi="Times New Roman"/>
          <w:sz w:val="9"/>
          <w:szCs w:val="9"/>
          <w:color w:val="auto"/>
        </w:rPr>
      </w:pPr>
    </w:p>
    <w:p>
      <w:pPr>
        <w:ind w:left="140" w:hanging="132"/>
        <w:spacing w:after="0" w:line="228" w:lineRule="auto"/>
        <w:tabs>
          <w:tab w:leader="none" w:pos="140" w:val="left"/>
        </w:tabs>
        <w:numPr>
          <w:ilvl w:val="0"/>
          <w:numId w:val="23"/>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The Company's internal-use software assets and developed technology assets are not associated with equipment sales.</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revenues increased by $25.0 million, or 10%, from $243.6 million for the year ended June 30, 2023, to $268.6 million for the year ended June 30, 2024. The increase was attributable to a $31.3 million increase in subscription and transaction fees, partially offset by a $6.3 million decrease in equipment sales.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increase in subscription and transaction fees was primarily driven by increased processing volumes, with an approximately 15% increase in total dollar volumes for the year ended June 30, 2024 compared to the prior year. Our transaction fees increased $23.6 million, or 18%, due to an increase in the average price per transaction and Total Number of Transactions relative to the prior year. Our subscription fees increased approximately $7.7 million, or 11% for the year ended June 30, 2024 compared to the prior year which was attributed to a focus of management on growing our recurring subscription services to our customer base and a 5% increase in the Active Devices count compared to last year. Our Cheq acquisition contributed $2.1 million in subscription and transaction fees for the year ended June 30, 2024.</w:t>
      </w:r>
    </w:p>
    <w:p>
      <w:pPr>
        <w:spacing w:after="0" w:line="21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decrease in equipment sales for the year ended June 30, 2024 was primarily driven by the upgrades of some of our customers from 3G to 4G network compatible devices in 2023, with these upgrades substantially complete in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Costs of sales</w:t>
      </w:r>
    </w:p>
    <w:p>
      <w:pPr>
        <w:spacing w:after="0" w:line="22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Costs of sales increased $3.5 million for the year ended June 30, 2024 compared to the year ended June 30, 2023. The increase was attributed to a $11.7 million increase in Cost of subscription and transaction fees, partially offset by a $8.1 million decrease in equipment costs. Cost of subscription and transaction fees increased $11.7 million primarily due to corresponding increases in transaction processing fee revenue and transaction processing volumes. Cost of equipment sales decreased $8.1 million primarily due to a decrease in the volume of equipment sold during the current fiscal year as a result of 3G to 4G upgrades as described above.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472"/>
        </w:trPr>
        <w:tc>
          <w:tcPr>
            <w:tcW w:w="45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5"/>
          </w:tcPr>
          <w:p>
            <w:pPr>
              <w:ind w:left="480"/>
              <w:spacing w:after="0"/>
              <w:rPr>
                <w:sz w:val="20"/>
                <w:szCs w:val="20"/>
                <w:color w:val="auto"/>
              </w:rPr>
            </w:pPr>
            <w:r>
              <w:rPr>
                <w:rFonts w:ascii="Times New Roman" w:cs="Times New Roman" w:eastAsia="Times New Roman" w:hAnsi="Times New Roman"/>
                <w:sz w:val="18"/>
                <w:szCs w:val="18"/>
                <w:b w:val="1"/>
                <w:bCs w:val="1"/>
                <w:color w:val="auto"/>
              </w:rPr>
              <w:t>Year ended June 30,</w:t>
            </w:r>
          </w:p>
        </w:tc>
        <w:tc>
          <w:tcPr>
            <w:tcW w:w="3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9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Percent Change</w:t>
            </w:r>
          </w:p>
        </w:tc>
      </w:tr>
      <w:tr>
        <w:trPr>
          <w:trHeight w:val="223"/>
        </w:trPr>
        <w:tc>
          <w:tcPr>
            <w:tcW w:w="4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200" w:type="dxa"/>
            <w:vAlign w:val="bottom"/>
            <w:tcBorders>
              <w:bottom w:val="single" w:sz="8" w:color="auto"/>
            </w:tcBorders>
            <w:gridSpan w:val="2"/>
          </w:tcPr>
          <w:p>
            <w:pPr>
              <w:jc w:val="right"/>
              <w:ind w:right="1190"/>
              <w:spacing w:after="0"/>
              <w:rPr>
                <w:sz w:val="20"/>
                <w:szCs w:val="20"/>
                <w:color w:val="auto"/>
              </w:rPr>
            </w:pPr>
            <w:r>
              <w:rPr>
                <w:rFonts w:ascii="Times New Roman" w:cs="Times New Roman" w:eastAsia="Times New Roman" w:hAnsi="Times New Roman"/>
                <w:sz w:val="18"/>
                <w:szCs w:val="18"/>
                <w:b w:val="1"/>
                <w:bCs w:val="1"/>
                <w:color w:val="auto"/>
              </w:rPr>
              <w:t>2024 v. 2023</w:t>
            </w:r>
          </w:p>
        </w:tc>
      </w:tr>
      <w:tr>
        <w:trPr>
          <w:trHeight w:val="223"/>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center"/>
              <w:ind w:left="670"/>
              <w:spacing w:after="0"/>
              <w:rPr>
                <w:sz w:val="20"/>
                <w:szCs w:val="20"/>
                <w:color w:val="auto"/>
              </w:rPr>
            </w:pPr>
            <w:r>
              <w:rPr>
                <w:rFonts w:ascii="Times New Roman" w:cs="Times New Roman" w:eastAsia="Times New Roman" w:hAnsi="Times New Roman"/>
                <w:sz w:val="18"/>
                <w:szCs w:val="18"/>
                <w:color w:val="auto"/>
              </w:rPr>
              <w:t>7,883</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63.4 %</w:t>
            </w:r>
          </w:p>
        </w:tc>
      </w:tr>
      <w:tr>
        <w:trPr>
          <w:trHeight w:val="23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 and product development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20,726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w w:val="98"/>
              </w:rPr>
              <w:t>(4,194)</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(20.2 %)</w:t>
            </w:r>
          </w:p>
        </w:tc>
      </w:tr>
      <w:tr>
        <w:trPr>
          <w:trHeight w:val="230"/>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36,926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center"/>
              <w:ind w:left="670"/>
              <w:spacing w:after="0"/>
              <w:rPr>
                <w:sz w:val="20"/>
                <w:szCs w:val="20"/>
                <w:color w:val="auto"/>
              </w:rPr>
            </w:pPr>
            <w:r>
              <w:rPr>
                <w:rFonts w:ascii="Times New Roman" w:cs="Times New Roman" w:eastAsia="Times New Roman" w:hAnsi="Times New Roman"/>
                <w:sz w:val="18"/>
                <w:szCs w:val="18"/>
                <w:color w:val="auto"/>
              </w:rPr>
              <w:t>4,469</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12.1 %</w:t>
            </w:r>
          </w:p>
        </w:tc>
      </w:tr>
      <w:tr>
        <w:trPr>
          <w:trHeight w:val="175"/>
        </w:trPr>
        <w:tc>
          <w:tcPr>
            <w:tcW w:w="45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Investigation, proxy solicitation and restatement expenses, net</w:t>
            </w: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900" w:type="dxa"/>
            <w:vAlign w:val="bottom"/>
          </w:tcPr>
          <w:p>
            <w:pPr>
              <w:spacing w:after="0"/>
              <w:rPr>
                <w:sz w:val="15"/>
                <w:szCs w:val="15"/>
                <w:color w:val="auto"/>
              </w:rPr>
            </w:pPr>
          </w:p>
        </w:tc>
      </w:tr>
      <w:tr>
        <w:trPr>
          <w:trHeight w:val="243"/>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 insurance recoveries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w w:val="98"/>
              </w:rPr>
              <w:t>(1,160)</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320.4 %</w:t>
            </w:r>
          </w:p>
        </w:tc>
      </w:tr>
      <w:tr>
        <w:trPr>
          <w:trHeight w:val="230"/>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Integration and acquisition</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center"/>
              <w:ind w:left="650"/>
              <w:spacing w:after="0"/>
              <w:rPr>
                <w:sz w:val="20"/>
                <w:szCs w:val="20"/>
                <w:color w:val="auto"/>
              </w:rPr>
            </w:pPr>
            <w:r>
              <w:rPr>
                <w:rFonts w:ascii="Times New Roman" w:cs="Times New Roman" w:eastAsia="Times New Roman" w:hAnsi="Times New Roman"/>
                <w:sz w:val="18"/>
                <w:szCs w:val="18"/>
                <w:color w:val="auto"/>
                <w:w w:val="98"/>
              </w:rPr>
              <w:t>(1,944)</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(61.9 %)</w:t>
            </w:r>
          </w:p>
        </w:tc>
      </w:tr>
      <w:tr>
        <w:trPr>
          <w:trHeight w:val="229"/>
        </w:trPr>
        <w:tc>
          <w:tcPr>
            <w:tcW w:w="4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10,570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7,618</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left="670"/>
              <w:spacing w:after="0"/>
              <w:rPr>
                <w:sz w:val="20"/>
                <w:szCs w:val="20"/>
                <w:color w:val="auto"/>
              </w:rPr>
            </w:pPr>
            <w:r>
              <w:rPr>
                <w:rFonts w:ascii="Times New Roman" w:cs="Times New Roman" w:eastAsia="Times New Roman" w:hAnsi="Times New Roman"/>
                <w:sz w:val="18"/>
                <w:szCs w:val="18"/>
                <w:color w:val="auto"/>
              </w:rPr>
              <w:t>2,952</w:t>
            </w:r>
          </w:p>
        </w:tc>
        <w:tc>
          <w:tcPr>
            <w:tcW w:w="19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38.8 %</w:t>
            </w:r>
          </w:p>
        </w:tc>
      </w:tr>
      <w:tr>
        <w:trPr>
          <w:trHeight w:val="248"/>
        </w:trPr>
        <w:tc>
          <w:tcPr>
            <w:tcW w:w="4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88,482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80,476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center"/>
              <w:ind w:left="670"/>
              <w:spacing w:after="0"/>
              <w:rPr>
                <w:sz w:val="20"/>
                <w:szCs w:val="20"/>
                <w:color w:val="auto"/>
              </w:rPr>
            </w:pPr>
            <w:r>
              <w:rPr>
                <w:rFonts w:ascii="Times New Roman" w:cs="Times New Roman" w:eastAsia="Times New Roman" w:hAnsi="Times New Roman"/>
                <w:sz w:val="18"/>
                <w:szCs w:val="18"/>
                <w:color w:val="auto"/>
              </w:rPr>
              <w:t>8,006</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9.9 %</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r>
    </w:tbl>
    <w:p>
      <w:pPr>
        <w:spacing w:after="0" w:line="27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Total operating expenses. </w:t>
      </w:r>
      <w:r>
        <w:rPr>
          <w:rFonts w:ascii="Times New Roman" w:cs="Times New Roman" w:eastAsia="Times New Roman" w:hAnsi="Times New Roman"/>
          <w:sz w:val="18"/>
          <w:szCs w:val="18"/>
          <w:color w:val="auto"/>
        </w:rPr>
        <w:t>Operating expenses increased by $8.0 million, or 9.9%, for the year ended June 30, 2024 compared to the prior year. The change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primarily attributed to an increase of $4.5 million in general and administrative expenses, a $7.9 million increase in sales and marketing costs, a $3.0 million increase in depreciation and amortization. This increase was partially offset by a $1.9 million decrease in integration and acquisition expense, a $1.2 million decrease in investigation, proxy solicitation and restatement expenses, and a $4.2 million decrease in technology and product development expenses. See further details within individual categories below.</w:t>
      </w:r>
    </w:p>
    <w:p>
      <w:pPr>
        <w:spacing w:after="0" w:line="18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expenses increased approximately $7.9 million for the year ended June 30, 2024 compared to the year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June 30, 2023. The change was primarily due to higher sales and marketing employee personnel cost in the current year, to support our expanding business and service offerings in the United States and international markets.</w:t>
      </w:r>
    </w:p>
    <w:p>
      <w:pPr>
        <w:spacing w:after="0" w:line="20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i w:val="1"/>
          <w:iCs w:val="1"/>
          <w:color w:val="auto"/>
        </w:rPr>
        <w:t xml:space="preserve">Technology and product development. </w:t>
      </w:r>
      <w:r>
        <w:rPr>
          <w:rFonts w:ascii="Times New Roman" w:cs="Times New Roman" w:eastAsia="Times New Roman" w:hAnsi="Times New Roman"/>
          <w:sz w:val="18"/>
          <w:szCs w:val="18"/>
          <w:color w:val="auto"/>
        </w:rPr>
        <w:t>Technology and product development expenses decreased approximately $4.2 million for the year ended June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compared to the year ended June 30, 2023. The decrease in the current year was driven by lower expensed personnel costs as we continued to invest in internal-use software which resulted in higher capitalized costs compared to the prior year. We focus on investing in innovative technologies, specifically advancing mobile enhancements across the Seed platform, Cantaloupe Go and the mobile loyalty platform for consumers. Additional expenses in technology were incurred to further strengthen our network environment and platform, which will provide our customers greater stability, reliability, and overall higher performance on processing transactions and transmitting data.</w:t>
      </w:r>
    </w:p>
    <w:p>
      <w:pPr>
        <w:sectPr>
          <w:pgSz w:w="11900" w:h="16838" w:orient="portrait"/>
          <w:cols w:equalWidth="0" w:num="1">
            <w:col w:w="11240"/>
          </w:cols>
          <w:pgMar w:left="320" w:top="110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type w:val="continuous"/>
        </w:sectPr>
      </w:pPr>
    </w:p>
    <w:bookmarkStart w:id="31" w:name="page32"/>
    <w:bookmarkEnd w:id="31"/>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expenses. </w:t>
      </w:r>
      <w:r>
        <w:rPr>
          <w:rFonts w:ascii="Times New Roman" w:cs="Times New Roman" w:eastAsia="Times New Roman" w:hAnsi="Times New Roman"/>
          <w:sz w:val="18"/>
          <w:szCs w:val="18"/>
          <w:color w:val="auto"/>
        </w:rPr>
        <w:t>General and administrative expenses increased approximately $4.5 million for the year ended June 30,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year ended June 30, 2023. The increase was primarily driven by a $2.9 million increase in personnel compensation cost, as a result of our growing business, including a 33% increase to our headcount year-over-year, a $2.8 million increase in consulting professional services spent as part of our remediation of previously identified material weaknesses in our internal controls over financial reporting and $0.4 million increase in rent expense. These increases were offset by a $0.8 million decrease in travel and entertainment and a $0.6 million decrease from the release of sales tax reserves.</w:t>
      </w:r>
    </w:p>
    <w:p>
      <w:pPr>
        <w:spacing w:after="0" w:line="197"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i w:val="1"/>
          <w:iCs w:val="1"/>
          <w:color w:val="auto"/>
        </w:rPr>
        <w:t xml:space="preserve">Investigation, proxy solicitation and restatement expenses, net of insurance recoveries. </w:t>
      </w:r>
      <w:r>
        <w:rPr>
          <w:rFonts w:ascii="Times New Roman" w:cs="Times New Roman" w:eastAsia="Times New Roman" w:hAnsi="Times New Roman"/>
          <w:sz w:val="18"/>
          <w:szCs w:val="18"/>
          <w:color w:val="auto"/>
        </w:rPr>
        <w:t>In April 2024, we agreed to a net settlement of approximately $1.5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million with a third-party insurance carrier related to the reimbursement of expenses associated with the 2019 Investigation. The settlement was recognized as a gain in our consolidated statement of operations for the year ended June 30, 2024. During fiscal year 2023, we reached a settlement with the SEC to resolve its 2019 Investigation, which included a civil monetary penalty payment of $1.5 million. The penalty payment was fully paid to the SEC as of June 30, 2023. During fiscal year 2023, we received a $2.0 million reimbursement from its directors and officers (D&amp;O) insurance policy for legal fees and expenses incurred in connection with the 2019 Investigation. The D&amp;O reimbursement proceeds were recorded as a reduction of “Investigation, proxy solicitation and restatement expenses, net of insurance recoveries” on our Consolidated Statement of Operations for the fiscal year ended June 30, 2023. For additional information, refer to </w:t>
      </w:r>
      <w:r>
        <w:rPr>
          <w:rFonts w:ascii="Times New Roman" w:cs="Times New Roman" w:eastAsia="Times New Roman" w:hAnsi="Times New Roman"/>
          <w:sz w:val="18"/>
          <w:szCs w:val="18"/>
          <w:i w:val="1"/>
          <w:iCs w:val="1"/>
          <w:color w:val="auto"/>
        </w:rPr>
        <w:t>Note 18</w:t>
      </w:r>
      <w:r>
        <w:rPr>
          <w:rFonts w:ascii="Times New Roman" w:cs="Times New Roman" w:eastAsia="Times New Roman" w:hAnsi="Times New Roman"/>
          <w:sz w:val="18"/>
          <w:szCs w:val="18"/>
          <w:color w:val="auto"/>
        </w:rPr>
        <w:t xml:space="preserve"> – Commitments and Contingencies to the consolidated financial statements in Part II, Item 8 of this Annual report.</w:t>
      </w:r>
    </w:p>
    <w:p>
      <w:pPr>
        <w:spacing w:after="0" w:line="2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Integration and acquisition. </w:t>
      </w:r>
      <w:r>
        <w:rPr>
          <w:rFonts w:ascii="Times New Roman" w:cs="Times New Roman" w:eastAsia="Times New Roman" w:hAnsi="Times New Roman"/>
          <w:sz w:val="18"/>
          <w:szCs w:val="18"/>
          <w:color w:val="auto"/>
        </w:rPr>
        <w:t>For the fiscal year ended June 30, 2024, the Company incurred professional service fees of $1.2 million from accounting,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legal, investing banking advisors and consulting services for the successful completion of the Cheq acquisition, as well as post-acquisition costs associated with the integration process. For the fiscal year ended June 30, 2023, the Company incurred professional service fees of $3.1 million from accounting, legal, investing banking advisors and consulting services for the successful completion of the 32M acquisition, as well as post-acquisition costs associated with the integration process.</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Depreciation and amortization expense increased $3.0 million for the year ended June 30, 2024 compared to the prior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due to a $2.2 million increase in depreciation on internal-use software and a $0.5 million increase in amortization of intangible assets as a result of 12 months of 32M acquisition compared to 7 months in year ended June 30, 2023 and as a result of the Cheq acquisition. Our increase in internal-use software is attributable to management's focus on developing innovative technologies to further strengthen our network environment and platform.</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(expense), Net</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0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240" w:type="dxa"/>
            <w:vAlign w:val="bottom"/>
          </w:tcPr>
          <w:p>
            <w:pPr>
              <w:spacing w:after="0"/>
              <w:rPr>
                <w:sz w:val="16"/>
                <w:szCs w:val="16"/>
                <w:color w:val="auto"/>
              </w:rPr>
            </w:pPr>
          </w:p>
        </w:tc>
        <w:tc>
          <w:tcPr>
            <w:tcW w:w="1040" w:type="dxa"/>
            <w:vAlign w:val="bottom"/>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00" w:type="dxa"/>
            <w:vAlign w:val="bottom"/>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Percent Change</w:t>
            </w:r>
          </w:p>
        </w:tc>
        <w:tc>
          <w:tcPr>
            <w:tcW w:w="0" w:type="dxa"/>
            <w:vAlign w:val="bottom"/>
          </w:tcPr>
          <w:p>
            <w:pPr>
              <w:spacing w:after="0"/>
              <w:rPr>
                <w:sz w:val="1"/>
                <w:szCs w:val="1"/>
                <w:color w:val="auto"/>
              </w:rPr>
            </w:pPr>
          </w:p>
        </w:tc>
      </w:tr>
      <w:tr>
        <w:trPr>
          <w:trHeight w:val="23"/>
        </w:trPr>
        <w:tc>
          <w:tcPr>
            <w:tcW w:w="556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 in thousands)</w:t>
            </w: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556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2"/>
          </w:tcPr>
          <w:p>
            <w:pPr>
              <w:jc w:val="right"/>
              <w:ind w:right="1001"/>
              <w:spacing w:after="0"/>
              <w:rPr>
                <w:sz w:val="20"/>
                <w:szCs w:val="20"/>
                <w:color w:val="auto"/>
              </w:rPr>
            </w:pPr>
            <w:r>
              <w:rPr>
                <w:rFonts w:ascii="Times New Roman" w:cs="Times New Roman" w:eastAsia="Times New Roman" w:hAnsi="Times New Roman"/>
                <w:sz w:val="14"/>
                <w:szCs w:val="14"/>
                <w:b w:val="1"/>
                <w:bCs w:val="1"/>
                <w:color w:val="auto"/>
              </w:rPr>
              <w:t>2024 v. 2023</w:t>
            </w:r>
          </w:p>
        </w:tc>
        <w:tc>
          <w:tcPr>
            <w:tcW w:w="0" w:type="dxa"/>
            <w:vAlign w:val="bottom"/>
          </w:tcPr>
          <w:p>
            <w:pPr>
              <w:spacing w:after="0"/>
              <w:rPr>
                <w:sz w:val="1"/>
                <w:szCs w:val="1"/>
                <w:color w:val="auto"/>
              </w:rPr>
            </w:pPr>
          </w:p>
        </w:tc>
      </w:tr>
      <w:tr>
        <w:trPr>
          <w:trHeight w:val="210"/>
        </w:trPr>
        <w:tc>
          <w:tcPr>
            <w:tcW w:w="5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income from cash and leases</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(21.7 %)</w:t>
            </w:r>
          </w:p>
        </w:tc>
        <w:tc>
          <w:tcPr>
            <w:tcW w:w="0" w:type="dxa"/>
            <w:vAlign w:val="bottom"/>
          </w:tcPr>
          <w:p>
            <w:pPr>
              <w:spacing w:after="0"/>
              <w:rPr>
                <w:sz w:val="1"/>
                <w:szCs w:val="1"/>
                <w:color w:val="auto"/>
              </w:rPr>
            </w:pPr>
          </w:p>
        </w:tc>
      </w:tr>
      <w:tr>
        <w:trPr>
          <w:trHeight w:val="213"/>
        </w:trPr>
        <w:tc>
          <w:tcPr>
            <w:tcW w:w="5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expense from debt and tax liabilities</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(608)</w:t>
            </w:r>
          </w:p>
        </w:tc>
        <w:tc>
          <w:tcPr>
            <w:tcW w:w="16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26.1 %</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income (expense)</w:t>
            </w: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67.4 %</w:t>
            </w:r>
          </w:p>
        </w:tc>
        <w:tc>
          <w:tcPr>
            <w:tcW w:w="0" w:type="dxa"/>
            <w:vAlign w:val="bottom"/>
          </w:tcPr>
          <w:p>
            <w:pPr>
              <w:spacing w:after="0"/>
              <w:rPr>
                <w:sz w:val="1"/>
                <w:szCs w:val="1"/>
                <w:color w:val="auto"/>
              </w:rPr>
            </w:pPr>
          </w:p>
        </w:tc>
      </w:tr>
      <w:tr>
        <w:trPr>
          <w:trHeight w:val="212"/>
        </w:trPr>
        <w:tc>
          <w:tcPr>
            <w:tcW w:w="5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other (expenses) income, net</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(1,191)</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(1,289)</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(2,305.6 %)</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other expense, net for the fiscal year ended June 30, 2024 was $1.2 million, compared to an income of $0.1 million for the year ended June 30, 2023. Our interest expense increased $0.6 million primarily due to 12 months of interest on our additional borrowing of $25 million to fund a portion of the 32M acquisition in December 2022 in fiscal 2024, compared to 7 months of interest in fiscal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income decreased $0.5 million due to a decrease in the finance receivables balance associated with our equipment financing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use non-GAAP financial measures for financial and operational decision-making purposes and as a means to evaluate period-to-period comparisons. We believe that these non-GAAP financial measures provide useful information about our operating results, enhance the overall understanding of past financial performance and future prospects and allow for greater transparency with respect to metrics used by our management in their financial and operational decision making. The presentation of these financial measures is not intended to be considered in isolation or as a substitute for the financial measures prepared and presented in accordance with GAAP. Management recognizes that non-GAAP financial measures have limitations in that they do not reflect all of the items associated with our net income as determined in accordance with GAAP, and are not a substitute for or a measure of our profitability or net earnings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Gross Profit and Margin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define Adjusted Gross Profit as revenue less cost of sales, exclusive of depreciation of internally-developed software and amortization of intangible assets related to technologies obtained through acquisitions. We believe this non-GAAP measure is useful to view the resulting figures excluding the aforementioned non-cash charges because the amount of such expenses in any specific period may not directly correlate to the underlying performance of our business operations and such amounts vary substantially from company to company depending on their financing and capital structures and the method by which their assets were acquired. We define Adjusted Gross Margin as Adjusted Gross Profit divided by revenue. We have provided below a reconciliation of U.S. GAAP gross profit to Adjusted Gross Profit and Adjusted Gross Margin for the fiscal years ended June 30, 2024 and 2023:</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0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60" w:type="dxa"/>
            <w:vAlign w:val="bottom"/>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Percent Change</w:t>
            </w:r>
          </w:p>
        </w:tc>
        <w:tc>
          <w:tcPr>
            <w:tcW w:w="0" w:type="dxa"/>
            <w:vAlign w:val="bottom"/>
          </w:tcPr>
          <w:p>
            <w:pPr>
              <w:spacing w:after="0"/>
              <w:rPr>
                <w:sz w:val="1"/>
                <w:szCs w:val="1"/>
                <w:color w:val="auto"/>
              </w:rPr>
            </w:pPr>
          </w:p>
        </w:tc>
      </w:tr>
      <w:tr>
        <w:trPr>
          <w:trHeight w:val="23"/>
        </w:trPr>
        <w:tc>
          <w:tcPr>
            <w:tcW w:w="4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40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2"/>
          </w:tcPr>
          <w:p>
            <w:pPr>
              <w:ind w:left="940"/>
              <w:spacing w:after="0"/>
              <w:rPr>
                <w:sz w:val="20"/>
                <w:szCs w:val="20"/>
                <w:color w:val="auto"/>
              </w:rPr>
            </w:pPr>
            <w:r>
              <w:rPr>
                <w:rFonts w:ascii="Times New Roman" w:cs="Times New Roman" w:eastAsia="Times New Roman" w:hAnsi="Times New Roman"/>
                <w:sz w:val="14"/>
                <w:szCs w:val="14"/>
                <w:b w:val="1"/>
                <w:bCs w:val="1"/>
                <w:color w:val="auto"/>
              </w:rPr>
              <w:t>2024 v. 2023</w:t>
            </w: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 subscription and transaction fees (GAAP)</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93,330</w:t>
            </w: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75,488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17,842</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23.6 %</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Amortization</w:t>
            </w:r>
            <w:r>
              <w:rPr>
                <w:rFonts w:ascii="Times New Roman" w:cs="Times New Roman" w:eastAsia="Times New Roman" w:hAnsi="Times New Roman"/>
                <w:sz w:val="23"/>
                <w:szCs w:val="23"/>
                <w:color w:val="auto"/>
                <w:vertAlign w:val="superscript"/>
              </w:rPr>
              <w:t>(1)</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6,767</w:t>
            </w:r>
          </w:p>
        </w:tc>
        <w:tc>
          <w:tcPr>
            <w:tcW w:w="22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5,020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1,747</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34.8 %</w:t>
            </w:r>
          </w:p>
        </w:tc>
        <w:tc>
          <w:tcPr>
            <w:tcW w:w="0" w:type="dxa"/>
            <w:vAlign w:val="bottom"/>
          </w:tcPr>
          <w:p>
            <w:pPr>
              <w:spacing w:after="0"/>
              <w:rPr>
                <w:sz w:val="1"/>
                <w:szCs w:val="1"/>
                <w:color w:val="auto"/>
              </w:rPr>
            </w:pPr>
          </w:p>
        </w:tc>
      </w:tr>
      <w:tr>
        <w:trPr>
          <w:trHeight w:val="196"/>
        </w:trPr>
        <w:tc>
          <w:tcPr>
            <w:tcW w:w="4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4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Adjusted Gross Profit, subscription and transaction fees</w:t>
            </w:r>
          </w:p>
        </w:tc>
        <w:tc>
          <w:tcPr>
            <w:tcW w:w="380" w:type="dxa"/>
            <w:vAlign w:val="bottom"/>
            <w:vMerge w:val="restart"/>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vMerge w:val="restart"/>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100,097</w:t>
            </w:r>
          </w:p>
        </w:tc>
        <w:tc>
          <w:tcPr>
            <w:tcW w:w="22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vMerge w:val="restart"/>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80,508</w:t>
            </w:r>
          </w:p>
        </w:tc>
        <w:tc>
          <w:tcPr>
            <w:tcW w:w="12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vMerge w:val="restart"/>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19,589</w:t>
            </w: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4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(non-GAAP)</w:t>
            </w:r>
          </w:p>
        </w:tc>
        <w:tc>
          <w:tcPr>
            <w:tcW w:w="38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320" w:type="dxa"/>
            <w:vAlign w:val="bottom"/>
            <w:tcBorders>
              <w:bottom w:val="single" w:sz="8" w:color="auto"/>
            </w:tcBorders>
            <w:vMerge w:val="continue"/>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24.3 %</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5"/>
        </w:trPr>
        <w:tc>
          <w:tcPr>
            <w:tcW w:w="4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 equipment (GAAP)</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2,554</w:t>
            </w:r>
          </w:p>
        </w:tc>
        <w:tc>
          <w:tcPr>
            <w:tcW w:w="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728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1,826</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250.8 %</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5"/>
        </w:trPr>
        <w:tc>
          <w:tcPr>
            <w:tcW w:w="4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Adjusted Gross Profit (non-GAAP)</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102,651</w:t>
            </w:r>
          </w:p>
        </w:tc>
        <w:tc>
          <w:tcPr>
            <w:tcW w:w="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81,236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21,415</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26.4 %</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Gross Margin (non-GAAP):</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Subscription and transaction fees (non-GAAP)</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43.2 %</w:t>
            </w: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40.2 %</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3.0 %</w:t>
            </w: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Equipment sales (GAAP)</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5.2 %</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4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Adjusted Gross Margin (non-GAAP)</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38.2 %</w:t>
            </w: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33.3 %</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4.9 %</w:t>
            </w: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140" w:hanging="132"/>
        <w:spacing w:after="0"/>
        <w:tabs>
          <w:tab w:leader="none" w:pos="140" w:val="left"/>
        </w:tabs>
        <w:numPr>
          <w:ilvl w:val="0"/>
          <w:numId w:val="24"/>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Amortization of internal-use software assets and developed technology assets.</w:t>
      </w:r>
    </w:p>
    <w:p>
      <w:pPr>
        <w:spacing w:after="0" w:line="2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Total Adjusted Gross Margin (non-GAAP) was 38.2% for the year ended June 30, 2024, from 33.3% for the year ended June 30, 2023. The increase in Adjusted Gross Margin was primarily driven by an increase in our subscription fees revenue which is inherently a higher margin revenue stream. Additionally, our equipment sales gross margins improved from the prior year primarily driven by the diversification of our equipment sales and higher margins on certain micro market equipment.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define Adjusted EBITDA as U.S. GAAP net income before (i) interest income on cash and leases, (ii) interest expense on debt and sales tax reserves,</w:t>
      </w:r>
    </w:p>
    <w:p>
      <w:pPr>
        <w:spacing w:after="0" w:line="27" w:lineRule="exact"/>
        <w:rPr>
          <w:sz w:val="20"/>
          <w:szCs w:val="20"/>
          <w:color w:val="auto"/>
        </w:rPr>
      </w:pPr>
    </w:p>
    <w:p>
      <w:pPr>
        <w:jc w:val="both"/>
        <w:ind w:firstLine="8"/>
        <w:spacing w:after="0" w:line="253" w:lineRule="auto"/>
        <w:tabs>
          <w:tab w:leader="none" w:pos="33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 provision, (iv) depreciation, (v) amortization, (vi) stock-based compensation expense, (vii) fees and charges, net of reimbursement from insurance proceeds, that were incurred in connection with the 2019 Investigation and financial statement restatement activities as well as proxy solicitation costs that are not indicative of our core operations, (viii) one-time project expense, one-time severance expenses, and infrequent integration and acquisition expense, and (ix) certain other significant infrequent or unusual losses and gains that are not indicative of our core operations including asset impairment charges, and gain on extinguishment of debt.</w:t>
      </w:r>
    </w:p>
    <w:p>
      <w:pPr>
        <w:spacing w:after="0" w:line="18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believe Adjusted EBITDA is useful for investors in comparing our financial performance to other companies and from period to period. Adjusted EBITDA is widely used by investors and securities analysts to measure a company’s operating</w:t>
      </w:r>
    </w:p>
    <w:p>
      <w:pPr>
        <w:sectPr>
          <w:pgSz w:w="11900" w:h="16838" w:orient="portrait"/>
          <w:cols w:equalWidth="0" w:num="1">
            <w:col w:w="11240"/>
          </w:cols>
          <w:pgMar w:left="320" w:top="1103"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type w:val="continuous"/>
        </w:sectPr>
      </w:pPr>
    </w:p>
    <w:bookmarkStart w:id="33" w:name="page34"/>
    <w:bookmarkEnd w:id="33"/>
    <w:p>
      <w:pPr>
        <w:jc w:val="both"/>
        <w:spacing w:after="0" w:line="261" w:lineRule="auto"/>
        <w:rPr>
          <w:sz w:val="20"/>
          <w:szCs w:val="20"/>
          <w:color w:val="auto"/>
        </w:rPr>
      </w:pPr>
      <w:r>
        <w:rPr>
          <w:rFonts w:ascii="Times New Roman" w:cs="Times New Roman" w:eastAsia="Times New Roman" w:hAnsi="Times New Roman"/>
          <w:sz w:val="18"/>
          <w:szCs w:val="18"/>
          <w:color w:val="auto"/>
        </w:rPr>
        <w:t>performance without regard to items such as depreciation and amortization, interest expense, and interest income, which can vary substantially from company to company depending on their financing and capital structures and the method by which their assets were acquired. In addition, Adjusted EBITDA eliminates the impact of certain items that may obscure trends in the underlying performance of our business. Additionally, we utilize Adjusted EBITDA as a metric in our executive officer and management incentive compensation plans.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Adjusted EBITDA has limitations as an analytical tool, and should not be considered in isolation or as a substitute for analysis of our results as reported under GAAP. For example, although depreciation expense is a non-cash charge, the assets being depreciated may have to be replaced in the future, and Adjusted EBITDA does not reflect cash capital expenditure requirements for such replacements or for new asset acquisitions. In addition, Adjusted EBITDA excludes stock-based compensation expense, which has been, and will continue to be for the foreseeable future, a significant recurring expense for our business and an important part of our compensation strategy. Adjusted EBITDA also does not reflect changes in, or cash requirements for, our working capital needs; interest expense, or the cash requirements necessary to service interest or principal payments on our debt, which reduces the cash available to us; or tax payments that may represent a reduction in cash available to us. The expenses and other items which are excluded from the calculation of Adjusted EBITDA may differ from the expenses and other items that other companies may exclude from Adjusted EBITDA when they report their financial results.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a reconciliation of U.S. GAAP net income to Adjusted EBITDA for the fiscal years ended June 30, 2024 and 2023:</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14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2"/>
        </w:trPr>
        <w:tc>
          <w:tcPr>
            <w:tcW w:w="8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0" w:type="dxa"/>
            <w:vAlign w:val="bottom"/>
          </w:tcPr>
          <w:p>
            <w:pPr>
              <w:spacing w:after="0"/>
              <w:rPr>
                <w:sz w:val="1"/>
                <w:szCs w:val="1"/>
                <w:color w:val="auto"/>
              </w:rPr>
            </w:pPr>
          </w:p>
        </w:tc>
      </w:tr>
      <w:tr>
        <w:trPr>
          <w:trHeight w:val="230"/>
        </w:trPr>
        <w:tc>
          <w:tcPr>
            <w:tcW w:w="8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Less: interest income</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(2,515)</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Plus: interest expense</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2,326</w:t>
            </w:r>
          </w:p>
        </w:tc>
        <w:tc>
          <w:tcPr>
            <w:tcW w:w="0" w:type="dxa"/>
            <w:vAlign w:val="bottom"/>
          </w:tcPr>
          <w:p>
            <w:pPr>
              <w:spacing w:after="0"/>
              <w:rPr>
                <w:sz w:val="1"/>
                <w:szCs w:val="1"/>
                <w:color w:val="auto"/>
              </w:rPr>
            </w:pPr>
          </w:p>
        </w:tc>
      </w:tr>
      <w:tr>
        <w:trPr>
          <w:trHeight w:val="229"/>
        </w:trPr>
        <w:tc>
          <w:tcPr>
            <w:tcW w:w="8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Plus: income tax provision</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Plus: depreciation expense included in cost of sales for rentals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w:t>
            </w:r>
          </w:p>
        </w:tc>
        <w:tc>
          <w:tcPr>
            <w:tcW w:w="0" w:type="dxa"/>
            <w:vAlign w:val="bottom"/>
          </w:tcPr>
          <w:p>
            <w:pPr>
              <w:spacing w:after="0"/>
              <w:rPr>
                <w:sz w:val="1"/>
                <w:szCs w:val="1"/>
                <w:color w:val="auto"/>
              </w:rPr>
            </w:pPr>
          </w:p>
        </w:tc>
      </w:tr>
      <w:tr>
        <w:trPr>
          <w:trHeight w:val="230"/>
        </w:trPr>
        <w:tc>
          <w:tcPr>
            <w:tcW w:w="81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Plus: depreciation and amortization expense in operating expenses</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10,570</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7,618</w:t>
            </w:r>
          </w:p>
        </w:tc>
        <w:tc>
          <w:tcPr>
            <w:tcW w:w="0" w:type="dxa"/>
            <w:vAlign w:val="bottom"/>
          </w:tcPr>
          <w:p>
            <w:pPr>
              <w:spacing w:after="0"/>
              <w:rPr>
                <w:sz w:val="1"/>
                <w:szCs w:val="1"/>
                <w:color w:val="auto"/>
              </w:rPr>
            </w:pPr>
          </w:p>
        </w:tc>
      </w:tr>
      <w:tr>
        <w:trPr>
          <w:trHeight w:val="223"/>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26,147</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9,432</w:t>
            </w:r>
          </w:p>
        </w:tc>
        <w:tc>
          <w:tcPr>
            <w:tcW w:w="0" w:type="dxa"/>
            <w:vAlign w:val="bottom"/>
          </w:tcPr>
          <w:p>
            <w:pPr>
              <w:spacing w:after="0"/>
              <w:rPr>
                <w:sz w:val="1"/>
                <w:szCs w:val="1"/>
                <w:color w:val="auto"/>
              </w:rPr>
            </w:pPr>
          </w:p>
        </w:tc>
      </w:tr>
      <w:tr>
        <w:trPr>
          <w:trHeight w:val="223"/>
        </w:trPr>
        <w:tc>
          <w:tcPr>
            <w:tcW w:w="8140" w:type="dxa"/>
            <w:vAlign w:val="bottom"/>
          </w:tcPr>
          <w:p>
            <w:pPr>
              <w:ind w:left="140"/>
              <w:spacing w:after="0" w:line="223" w:lineRule="exact"/>
              <w:rPr>
                <w:sz w:val="20"/>
                <w:szCs w:val="20"/>
                <w:color w:val="auto"/>
              </w:rPr>
            </w:pPr>
            <w:r>
              <w:rPr>
                <w:rFonts w:ascii="Times New Roman" w:cs="Times New Roman" w:eastAsia="Times New Roman" w:hAnsi="Times New Roman"/>
                <w:sz w:val="18"/>
                <w:szCs w:val="18"/>
                <w:color w:val="auto"/>
              </w:rPr>
              <w:t xml:space="preserve">Plus: stock-based compensation </w:t>
            </w:r>
            <w:r>
              <w:rPr>
                <w:rFonts w:ascii="Times New Roman" w:cs="Times New Roman" w:eastAsia="Times New Roman" w:hAnsi="Times New Roman"/>
                <w:sz w:val="23"/>
                <w:szCs w:val="23"/>
                <w:color w:val="auto"/>
                <w:vertAlign w:val="superscript"/>
              </w:rPr>
              <w:t>(a)</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4,737</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Plus: investigation, proxy solicitation and restatement expenses, net of insurance recoveries </w:t>
            </w:r>
            <w:r>
              <w:rPr>
                <w:rFonts w:ascii="Times New Roman" w:cs="Times New Roman" w:eastAsia="Times New Roman" w:hAnsi="Times New Roman"/>
                <w:sz w:val="23"/>
                <w:szCs w:val="23"/>
                <w:color w:val="auto"/>
                <w:vertAlign w:val="superscript"/>
              </w:rPr>
              <w:t>(b)</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0" w:type="dxa"/>
            <w:vAlign w:val="bottom"/>
          </w:tcPr>
          <w:p>
            <w:pPr>
              <w:spacing w:after="0"/>
              <w:rPr>
                <w:sz w:val="1"/>
                <w:szCs w:val="1"/>
                <w:color w:val="auto"/>
              </w:rPr>
            </w:pPr>
          </w:p>
        </w:tc>
      </w:tr>
      <w:tr>
        <w:trPr>
          <w:trHeight w:val="230"/>
        </w:trPr>
        <w:tc>
          <w:tcPr>
            <w:tcW w:w="814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Plus: integration and acquisition expenses </w:t>
            </w:r>
            <w:r>
              <w:rPr>
                <w:rFonts w:ascii="Times New Roman" w:cs="Times New Roman" w:eastAsia="Times New Roman" w:hAnsi="Times New Roman"/>
                <w:sz w:val="23"/>
                <w:szCs w:val="23"/>
                <w:color w:val="auto"/>
                <w:vertAlign w:val="superscript"/>
              </w:rPr>
              <w:t>(c)</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3,141</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Plus: severance expenses </w:t>
            </w:r>
            <w:r>
              <w:rPr>
                <w:rFonts w:ascii="Times New Roman" w:cs="Times New Roman" w:eastAsia="Times New Roman" w:hAnsi="Times New Roman"/>
                <w:sz w:val="23"/>
                <w:szCs w:val="23"/>
                <w:color w:val="auto"/>
                <w:vertAlign w:val="superscript"/>
              </w:rPr>
              <w:t>(d)</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230"/>
        </w:trPr>
        <w:tc>
          <w:tcPr>
            <w:tcW w:w="8140" w:type="dxa"/>
            <w:vAlign w:val="bottom"/>
            <w:tcBorders>
              <w:bottom w:val="single" w:sz="8" w:color="CCEEFF"/>
            </w:tcBorders>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Plus: remediation expenses </w:t>
            </w:r>
            <w:r>
              <w:rPr>
                <w:rFonts w:ascii="Times New Roman" w:cs="Times New Roman" w:eastAsia="Times New Roman" w:hAnsi="Times New Roman"/>
                <w:sz w:val="23"/>
                <w:szCs w:val="23"/>
                <w:color w:val="auto"/>
                <w:vertAlign w:val="superscript"/>
              </w:rPr>
              <w:t>(e)</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2,976</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0" w:type="dxa"/>
            <w:vAlign w:val="bottom"/>
          </w:tcPr>
          <w:p>
            <w:pPr>
              <w:spacing w:after="0"/>
              <w:rPr>
                <w:sz w:val="1"/>
                <w:szCs w:val="1"/>
                <w:color w:val="auto"/>
              </w:rPr>
            </w:pPr>
          </w:p>
        </w:tc>
      </w:tr>
      <w:tr>
        <w:trPr>
          <w:trHeight w:val="223"/>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Adjustments to EBITDA</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7,813</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8,362</w:t>
            </w:r>
          </w:p>
        </w:tc>
        <w:tc>
          <w:tcPr>
            <w:tcW w:w="0" w:type="dxa"/>
            <w:vAlign w:val="bottom"/>
          </w:tcPr>
          <w:p>
            <w:pPr>
              <w:spacing w:after="0"/>
              <w:rPr>
                <w:sz w:val="1"/>
                <w:szCs w:val="1"/>
                <w:color w:val="auto"/>
              </w:rPr>
            </w:pPr>
          </w:p>
        </w:tc>
      </w:tr>
      <w:tr>
        <w:trPr>
          <w:trHeight w:val="223"/>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33,960</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17,794</w:t>
            </w: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p>
      <w:pPr>
        <w:ind w:left="140" w:hanging="132"/>
        <w:spacing w:after="0"/>
        <w:tabs>
          <w:tab w:leader="none" w:pos="140" w:val="left"/>
        </w:tabs>
        <w:numPr>
          <w:ilvl w:val="0"/>
          <w:numId w:val="26"/>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We have excluded stock-based compensation, as it does not reflect our cash-based operations.</w:t>
      </w:r>
    </w:p>
    <w:p>
      <w:pPr>
        <w:spacing w:after="0" w:line="27" w:lineRule="exact"/>
        <w:rPr>
          <w:rFonts w:ascii="Times New Roman" w:cs="Times New Roman" w:eastAsia="Times New Roman" w:hAnsi="Times New Roman"/>
          <w:sz w:val="9"/>
          <w:szCs w:val="9"/>
          <w:color w:val="auto"/>
        </w:rPr>
      </w:pPr>
    </w:p>
    <w:p>
      <w:pPr>
        <w:jc w:val="both"/>
        <w:ind w:firstLine="8"/>
        <w:spacing w:after="0" w:line="233" w:lineRule="auto"/>
        <w:tabs>
          <w:tab w:leader="none" w:pos="157" w:val="left"/>
        </w:tabs>
        <w:numPr>
          <w:ilvl w:val="0"/>
          <w:numId w:val="2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We have excluded the costs and corresponding reimbursements related to the 2019 Investigation, because we believe that they represent charges that are not related to our core operations. During the year ended June 30, 2024, we received $1.5 million in insurance reimbursement for legal fees and expenses incurred in connection with the 2019 Investigation. Accordingly, Adjusted EBITDA contains a negative adjustment.</w:t>
      </w:r>
    </w:p>
    <w:p>
      <w:pPr>
        <w:spacing w:after="0" w:line="1" w:lineRule="exact"/>
        <w:rPr>
          <w:rFonts w:ascii="Times New Roman" w:cs="Times New Roman" w:eastAsia="Times New Roman" w:hAnsi="Times New Roman"/>
          <w:sz w:val="19"/>
          <w:szCs w:val="19"/>
          <w:color w:val="auto"/>
          <w:vertAlign w:val="superscript"/>
        </w:rPr>
      </w:pPr>
    </w:p>
    <w:p>
      <w:pPr>
        <w:ind w:left="140" w:hanging="132"/>
        <w:spacing w:after="0" w:line="202" w:lineRule="auto"/>
        <w:tabs>
          <w:tab w:leader="none" w:pos="140" w:val="left"/>
        </w:tabs>
        <w:numPr>
          <w:ilvl w:val="0"/>
          <w:numId w:val="2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We have excluded expenses incurred in connection with business acquisitions as it does not represent recurring costs or charges related to our core operations.</w:t>
      </w:r>
    </w:p>
    <w:p>
      <w:pPr>
        <w:ind w:left="160" w:hanging="152"/>
        <w:spacing w:after="0"/>
        <w:tabs>
          <w:tab w:leader="none" w:pos="160" w:val="left"/>
        </w:tabs>
        <w:numPr>
          <w:ilvl w:val="0"/>
          <w:numId w:val="26"/>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Consists of expenses incurred in connection with non-recurring severance charges related to work force reduction.</w:t>
      </w:r>
    </w:p>
    <w:p>
      <w:pPr>
        <w:spacing w:after="0" w:line="11" w:lineRule="exact"/>
        <w:rPr>
          <w:rFonts w:ascii="Times New Roman" w:cs="Times New Roman" w:eastAsia="Times New Roman" w:hAnsi="Times New Roman"/>
          <w:sz w:val="9"/>
          <w:szCs w:val="9"/>
          <w:color w:val="auto"/>
        </w:rPr>
      </w:pPr>
    </w:p>
    <w:p>
      <w:pPr>
        <w:ind w:firstLine="8"/>
        <w:spacing w:after="0" w:line="221" w:lineRule="auto"/>
        <w:tabs>
          <w:tab w:leader="none" w:pos="154" w:val="left"/>
        </w:tabs>
        <w:numPr>
          <w:ilvl w:val="0"/>
          <w:numId w:val="2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 xml:space="preserve">Consists of expenses incurred in connection with fully remediating previously identified material weaknesses in our internal control over financial reporting. See </w:t>
      </w:r>
      <w:r>
        <w:rPr>
          <w:rFonts w:ascii="Times New Roman" w:cs="Times New Roman" w:eastAsia="Times New Roman" w:hAnsi="Times New Roman"/>
          <w:sz w:val="14"/>
          <w:szCs w:val="14"/>
          <w:i w:val="1"/>
          <w:iCs w:val="1"/>
          <w:color w:val="auto"/>
        </w:rPr>
        <w:t>Item 9A Section e -</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Remediation of Prior Material Weaknesses .</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Cash</w:t>
      </w:r>
    </w:p>
    <w:p>
      <w:pPr>
        <w:spacing w:after="0" w:line="2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Historically, we have financed our operations primarily through cash from operating activities, debt financings, and equity issuances. Our primary sources of capital available are cash and cash equivalents on hand of $58.9 million as of June 30, 2024 and the cash that we expect to be provided by operating activities.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34" w:name="page35"/>
    <w:bookmarkEnd w:id="34"/>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our current financial resources will be sufficient to fund its current twelve-month operating budget from the date of issuance of these consolidated financial statements. Our primary focus as part of our core operations to increase cash flow from operating activities is to prioritize collection efforts to reduce outstanding accounts receivable, utilize existing inventory to support equipment sales over the next year, focusing on various operational efficiencies to improve overall profitability of the business and continued to grow our business both domestically and internationally.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operating activities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was $27.7 million for the year ended June 30, 2024 compared to $14.2 million for the year ended June 30, 2023. We recognized $12.0 million in net income and incurred $23.6 million in non-cash operating charges, partially offset by $7.8 million cash utilized in working capital accounts.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change in working capital balance was primarily driven by a $21.1 million increase in accounts payable and accrued expenses and a $9.4 million increase in inventory, offset by a $18.5 million increase in accounts receivable, a $4.0 million increase to our provision for credit losses and sales and a $3.7 million increase in finance receivables. The increase in inventory was a result of the Company expansion plans in Mexico and the UK. The increase in accounts payable and accrued expenses as well as accounts receivable is primarily due to merchant accounts in processing at year end.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investing activities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was $18.6 million for the year ended June 30, 2024 compared to $51.9 million in the prior year. We paid $3.7 million in cash for the Cheq acquisition and invested $14.9 million in capital expenditures as the Company focuses on investing in innovative technologies and products, and increasing rental devices enrolled in the Company's Cantaloupe One program. In fiscal year 2023, we paid $35.7 million in cash for the 32M acquisition and invested $16.2 million in property and equipment.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or provided by financing activities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used in financing activities was $1.1 million for the year ended June 30, 2024. In fiscal year 2023, net cash provided by financing activities was $20.5 million which was primarily contributed from an additional $25.0 million borrowed to fund a portion of the cash consideration of the 32M acquisition. We used $2.2 million cash to repurchase our Series A Convertible Stock and made a $1.0 million payment for contingent consideration relating to the 2022 Yoke acquisition.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2024, the Company had certain contractual obligations due over a period of time as summarized in the following table:</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160" w:type="dxa"/>
            <w:vAlign w:val="bottom"/>
            <w:gridSpan w:val="6"/>
          </w:tcPr>
          <w:p>
            <w:pPr>
              <w:jc w:val="center"/>
              <w:ind w:left="897"/>
              <w:spacing w:after="0"/>
              <w:rPr>
                <w:sz w:val="20"/>
                <w:szCs w:val="20"/>
                <w:color w:val="auto"/>
              </w:rPr>
            </w:pPr>
            <w:r>
              <w:rPr>
                <w:rFonts w:ascii="Times New Roman" w:cs="Times New Roman" w:eastAsia="Times New Roman" w:hAnsi="Times New Roman"/>
                <w:sz w:val="14"/>
                <w:szCs w:val="14"/>
                <w:b w:val="1"/>
                <w:bCs w:val="1"/>
                <w:color w:val="auto"/>
              </w:rPr>
              <w:t>Payments Due by Fiscal Year</w:t>
            </w: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7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6"/>
                <w:szCs w:val="16"/>
                <w:color w:val="auto"/>
              </w:rPr>
            </w:pP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Less than 1 year</w:t>
            </w:r>
          </w:p>
        </w:tc>
        <w:tc>
          <w:tcPr>
            <w:tcW w:w="280" w:type="dxa"/>
            <w:vAlign w:val="bottom"/>
          </w:tcPr>
          <w:p>
            <w:pPr>
              <w:spacing w:after="0"/>
              <w:rPr>
                <w:sz w:val="16"/>
                <w:szCs w:val="16"/>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1-3 years</w:t>
            </w:r>
          </w:p>
        </w:tc>
        <w:tc>
          <w:tcPr>
            <w:tcW w:w="280" w:type="dxa"/>
            <w:vAlign w:val="bottom"/>
          </w:tcPr>
          <w:p>
            <w:pPr>
              <w:spacing w:after="0"/>
              <w:rPr>
                <w:sz w:val="16"/>
                <w:szCs w:val="16"/>
                <w:color w:val="auto"/>
              </w:rPr>
            </w:pPr>
          </w:p>
        </w:tc>
        <w:tc>
          <w:tcPr>
            <w:tcW w:w="12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3-5 years</w:t>
            </w:r>
          </w:p>
        </w:tc>
        <w:tc>
          <w:tcPr>
            <w:tcW w:w="120" w:type="dxa"/>
            <w:vAlign w:val="bottom"/>
          </w:tcPr>
          <w:p>
            <w:pPr>
              <w:spacing w:after="0"/>
              <w:rPr>
                <w:sz w:val="16"/>
                <w:szCs w:val="16"/>
                <w:color w:val="auto"/>
              </w:rPr>
            </w:pPr>
          </w:p>
        </w:tc>
        <w:tc>
          <w:tcPr>
            <w:tcW w:w="130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More than 5 years</w:t>
            </w:r>
          </w:p>
        </w:tc>
        <w:tc>
          <w:tcPr>
            <w:tcW w:w="0" w:type="dxa"/>
            <w:vAlign w:val="bottom"/>
          </w:tcPr>
          <w:p>
            <w:pPr>
              <w:spacing w:after="0"/>
              <w:rPr>
                <w:sz w:val="1"/>
                <w:szCs w:val="1"/>
                <w:color w:val="auto"/>
              </w:rPr>
            </w:pPr>
          </w:p>
        </w:tc>
      </w:tr>
      <w:tr>
        <w:trPr>
          <w:trHeight w:val="23"/>
        </w:trPr>
        <w:tc>
          <w:tcPr>
            <w:tcW w:w="3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58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Debt and financing obligations </w:t>
            </w:r>
            <w:r>
              <w:rPr>
                <w:rFonts w:ascii="Times New Roman" w:cs="Times New Roman" w:eastAsia="Times New Roman" w:hAnsi="Times New Roman"/>
                <w:sz w:val="23"/>
                <w:szCs w:val="23"/>
                <w:color w:val="auto"/>
                <w:vertAlign w:val="superscript"/>
              </w:rPr>
              <w:t>(a)</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43,159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700" w:type="dxa"/>
            <w:vAlign w:val="bottom"/>
            <w:tcBorders>
              <w:bottom w:val="single" w:sz="8" w:color="CCEEFF"/>
            </w:tcBorders>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Operating lease obligations </w:t>
            </w:r>
            <w:r>
              <w:rPr>
                <w:rFonts w:ascii="Times New Roman" w:cs="Times New Roman" w:eastAsia="Times New Roman" w:hAnsi="Times New Roman"/>
                <w:sz w:val="23"/>
                <w:szCs w:val="23"/>
                <w:color w:val="auto"/>
                <w:vertAlign w:val="superscript"/>
              </w:rPr>
              <w:t>(b)</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13,951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2,740</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5,469</w:t>
            </w:r>
          </w:p>
        </w:tc>
        <w:tc>
          <w:tcPr>
            <w:tcW w:w="0" w:type="dxa"/>
            <w:vAlign w:val="bottom"/>
          </w:tcPr>
          <w:p>
            <w:pPr>
              <w:spacing w:after="0"/>
              <w:rPr>
                <w:sz w:val="1"/>
                <w:szCs w:val="1"/>
                <w:color w:val="auto"/>
              </w:rPr>
            </w:pPr>
          </w:p>
        </w:tc>
      </w:tr>
      <w:tr>
        <w:trPr>
          <w:trHeight w:val="248"/>
        </w:trPr>
        <w:tc>
          <w:tcPr>
            <w:tcW w:w="3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contractual obligations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58,563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47,264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5,469</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ind w:left="660" w:hanging="328"/>
        <w:spacing w:after="0" w:line="271" w:lineRule="auto"/>
        <w:tabs>
          <w:tab w:leader="none" w:pos="678"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debt and financing obligations include both principal and interest obligations. As of June 30, 2024, an interest rate of 9.0% was used to compute the amount of the contractual obligations for interest on the JPMorgan Credit Agreement. See </w:t>
      </w:r>
      <w:r>
        <w:rPr>
          <w:rFonts w:ascii="Times New Roman" w:cs="Times New Roman" w:eastAsia="Times New Roman" w:hAnsi="Times New Roman"/>
          <w:sz w:val="14"/>
          <w:szCs w:val="14"/>
          <w:i w:val="1"/>
          <w:iCs w:val="1"/>
          <w:color w:val="auto"/>
        </w:rPr>
        <w:t>Note 7 - Debt and Other Financing Arrangements</w:t>
      </w:r>
      <w:r>
        <w:rPr>
          <w:rFonts w:ascii="Times New Roman" w:cs="Times New Roman" w:eastAsia="Times New Roman" w:hAnsi="Times New Roman"/>
          <w:sz w:val="14"/>
          <w:szCs w:val="14"/>
          <w:color w:val="auto"/>
        </w:rPr>
        <w:t xml:space="preserve"> to the consolidated financial statements for further information.</w:t>
      </w:r>
    </w:p>
    <w:p>
      <w:pPr>
        <w:ind w:left="660" w:right="20" w:hanging="328"/>
        <w:spacing w:after="0" w:line="261" w:lineRule="auto"/>
        <w:tabs>
          <w:tab w:leader="none" w:pos="739"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Operating lease obligations represent our undiscounted operating lease liabilities as of June 30, 2024. See </w:t>
      </w:r>
      <w:r>
        <w:rPr>
          <w:rFonts w:ascii="Times New Roman" w:cs="Times New Roman" w:eastAsia="Times New Roman" w:hAnsi="Times New Roman"/>
          <w:sz w:val="14"/>
          <w:szCs w:val="14"/>
          <w:i w:val="1"/>
          <w:iCs w:val="1"/>
          <w:color w:val="auto"/>
        </w:rPr>
        <w:t>Note 6 - Leases</w:t>
      </w:r>
      <w:r>
        <w:rPr>
          <w:rFonts w:ascii="Times New Roman" w:cs="Times New Roman" w:eastAsia="Times New Roman" w:hAnsi="Times New Roman"/>
          <w:sz w:val="14"/>
          <w:szCs w:val="14"/>
          <w:color w:val="auto"/>
        </w:rPr>
        <w:t xml:space="preserve"> to the consolidated financial statements for further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consolidated financial statements are prepared in accordance with U.S. generally accepted accounting principles (“U.S. GAAP”, "GAAP"), and they conform to general practices in our industry. The preparation of financial statements and related disclosures in conformity with U.S. GAAP requires management to make judgments, assumptions, and estimates that affect the amounts reported in the consolidated financial statements and accompanying notes. These estimates and strategic or economic assumptions may prove inaccurate or subject to variations and may significantly affect our reported results and financial position for the period or in future periods. Changes in underlying factors, assumptions, or estimates in any of these areas could have a material impact on our future financial condition and results of operations. We apply critical accounting estimates consistently from period to period and intend that any change in methodology occur in an appropriate manner.</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Accounting estimates currently deemed critical to our business operations and the understanding of our results of operations are listed below. For a detailed discussion on the application of these and other accounting estimates, see </w:t>
      </w:r>
      <w:r>
        <w:rPr>
          <w:rFonts w:ascii="Times New Roman" w:cs="Times New Roman" w:eastAsia="Times New Roman" w:hAnsi="Times New Roman"/>
          <w:sz w:val="18"/>
          <w:szCs w:val="18"/>
          <w:i w:val="1"/>
          <w:iCs w:val="1"/>
          <w:color w:val="auto"/>
        </w:rPr>
        <w:t>Note 2 - Summary of Significant Accounting Policies</w:t>
      </w:r>
      <w:r>
        <w:rPr>
          <w:rFonts w:ascii="Times New Roman" w:cs="Times New Roman" w:eastAsia="Times New Roman" w:hAnsi="Times New Roman"/>
          <w:sz w:val="18"/>
          <w:szCs w:val="18"/>
          <w:color w:val="auto"/>
        </w:rPr>
        <w:t xml:space="preserve"> to our consolidated financial statements included in this Annual Report.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Revenue Recognition. </w:t>
      </w:r>
      <w:r>
        <w:rPr>
          <w:rFonts w:ascii="Times New Roman" w:cs="Times New Roman" w:eastAsia="Times New Roman" w:hAnsi="Times New Roman"/>
          <w:sz w:val="18"/>
          <w:szCs w:val="18"/>
          <w:color w:val="auto"/>
        </w:rPr>
        <w:t>The Company derives revenue primarily from the sale or lease of equipment and services to the small ticket, unattended POS market.</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application of the accounting principles in U.S. GAAP related to the measurement and recognition of revenue requires us to make judgments and estimates. Complex arrangements may require significant judgment in contract interpretation to determine the appropriate accounting.</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assesses the goods and/or services promised in each customer contract and separately identifies a performance obligation for each promise to transfer to the customer a distinct good or service. The Company then allocates the transaction price to those performance obligations in the contract using relative standalone selling prices where applicable. The Company determines standalone selling prices based on the price at which a good or service is sold separately. If the standalone selling price is not observable through historic data, the Company estimates the standalone selling price by considering all reasonably available information, including market data, trends, as well as other company- or customer-specific factors.</w:t>
      </w:r>
    </w:p>
    <w:p>
      <w:pPr>
        <w:spacing w:after="0" w:line="1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contracts require significant contract interpretation to determine appropriate accounting due to complex arrangements with nonstandard contract terms. In particular, the determination of whether the Company is principal (gross revenue) or agent (net revenue) in a transaction can require significant judgement. A change in this judgement could result in a significant reduction in the Company's revenues, but no impact to the Company's net income. Certain contracts also require significant judgement related to the relative standalone selling prices and the allocation to equipment and subscription services. A change in these judgements could result in a significant change in the timing of the Company's revenue recognition.</w:t>
      </w:r>
    </w:p>
    <w:p>
      <w:pPr>
        <w:spacing w:after="0" w:line="1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Capitalization of internal-use software and cloud computing arrangements. </w:t>
      </w:r>
      <w:r>
        <w:rPr>
          <w:rFonts w:ascii="Times New Roman" w:cs="Times New Roman" w:eastAsia="Times New Roman" w:hAnsi="Times New Roman"/>
          <w:sz w:val="18"/>
          <w:szCs w:val="18"/>
          <w:color w:val="auto"/>
        </w:rPr>
        <w:t>We have significant expenditures associated with the technological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maintenance and improvement of our network and technology offerings. These expenditures include both the cost of internal employees, who spend portions of their time on various technological projects, and the use of external temporary labor and consultants. Capitalization of internal-use software occurs when we have completed the preliminary project stage, management authorizes the project, management commits to funding the project, it is probable the project will be completed and the project will be used to perform the function intended. We are required to assess these expenditures and make a determination as to whether the costs should be expensed as incurred or are subject to capitalization. In making these determinations, we consider the stage of the development project, the probability of successful development and if the development is resulting in increased features and functionality. In addition, if we determine that a project qualifies for capitalization, the amount of capitalization is subject to various estimates, including the amount of time spent on the development work and the cost of internal employees and external consultants. Internal-use software is included within Property and equipment, net on our Consolidated Balance Sheets and is amortized over its estimated useful life, which is typically 3 to 7 years.</w:t>
      </w:r>
    </w:p>
    <w:p>
      <w:pPr>
        <w:spacing w:after="0" w:line="1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capitalize certain costs related to hosting arrangements that are service contracts (cloud computing arrangements) following the internal-use software capitalization criteria described above. Our cloud computing arrangements involve services we use to support internal corporate functions, our platforms and technology offerings. Capitalized costs relating to cloud computing arrangements are included within Prepaid expenses and other current assets or Other assets on our Consolidated Balance Sheets and are amortized on a straight-line basis over the estimated useful life, which is typically 3 to 5 years.</w:t>
      </w:r>
    </w:p>
    <w:p>
      <w:pPr>
        <w:spacing w:after="0" w:line="1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Significant judgements include whether a project qualifies for capitalization, whether costs incurred directly relate to a project, and the stage of the project's development. There have been no changes in the Company's capitalization judgements.</w:t>
      </w:r>
    </w:p>
    <w:p>
      <w:pPr>
        <w:spacing w:after="0" w:line="92"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Business Combinations. </w:t>
      </w:r>
      <w:r>
        <w:rPr>
          <w:rFonts w:ascii="Times New Roman" w:cs="Times New Roman" w:eastAsia="Times New Roman" w:hAnsi="Times New Roman"/>
          <w:sz w:val="18"/>
          <w:szCs w:val="18"/>
          <w:color w:val="auto"/>
        </w:rPr>
        <w:t>The Company allocates the acquisition purchase price to the tangible and intangible assets acquired and liabilities assumed 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their estimated fair values on the acquisition dates. The excess of total consideration over the fair</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36" w:name="page37"/>
    <w:bookmarkEnd w:id="36"/>
    <w:p>
      <w:pPr>
        <w:jc w:val="both"/>
        <w:spacing w:after="0" w:line="258" w:lineRule="auto"/>
        <w:rPr>
          <w:sz w:val="20"/>
          <w:szCs w:val="20"/>
          <w:color w:val="auto"/>
        </w:rPr>
      </w:pPr>
      <w:r>
        <w:rPr>
          <w:rFonts w:ascii="Times New Roman" w:cs="Times New Roman" w:eastAsia="Times New Roman" w:hAnsi="Times New Roman"/>
          <w:sz w:val="18"/>
          <w:szCs w:val="18"/>
          <w:color w:val="auto"/>
        </w:rPr>
        <w:t>values of the assets acquired and the liabilities assumed is recorded as goodwill. When determining the fair value of assets acquired and liabilities assumed, we make significant estimates and assumptions, especially with respect to intangible assets. We engage a third-party valuation firm to assist in establishing the fair value of the acquired intangible assets. We may adjust certain fair value estimates deemed provisional as of the acquisition date during the measurement period upon which we may obtain additional information needed to identify and more accurately measure the consideration transferred, assets acquired, and liabilities assumed.</w:t>
      </w:r>
    </w:p>
    <w:p>
      <w:pPr>
        <w:spacing w:after="0" w:line="1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The carrying values of deferred income tax assets and liabilities reflect the application of our income tax accounting policies in accordance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applicable accounting standards and are based on management’s assumptions and estimates regarding future operating results and levels of taxable income, as well as management’s judgment regarding the interpretation of the provisions of applicable accounting standards. The carrying values of liabilities for income taxes currently payable are based on management’s interpretations of applicable tax laws and incorporate management’s assumptions and judgments regarding the use of tax planning strategies in various taxing jurisdictions.</w:t>
      </w:r>
    </w:p>
    <w:p>
      <w:pPr>
        <w:spacing w:after="0" w:line="10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evaluate the recoverability of these deferred tax assets by assessing the adequacy of future expected taxable income from all sources, including reversal of taxable temporary differences, forecasted operating earnings and available tax planning strategies. These sources of income inherently rely heavily on estimates. We use our historical experience and our short and long-term business forecasts to provide insight. To the extent we do not consider it more likely than not that a deferred tax asset will be recovered, a valuation allowance is established.</w:t>
      </w:r>
    </w:p>
    <w:p>
      <w:pPr>
        <w:spacing w:after="0" w:line="1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the Company has recently been profitable, significant judgement is involved in determining if and when the Company's valuation allowance could be released as well as the amount of the release (full or partial). Federal and state net operating loss carryforwards are reserved with a full valuation allowance because, based on the available evidence, the Company believes it is more likely than not that we would not be able to utilize those deferred tax assets in the future. If the actual amounts of taxable income differ from our estimates, the amount of our valuation allowance could be materially impacted.</w:t>
      </w:r>
    </w:p>
    <w:p>
      <w:pPr>
        <w:spacing w:after="0" w:line="1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Sales tax reserve. </w:t>
      </w:r>
      <w:r>
        <w:rPr>
          <w:rFonts w:ascii="Times New Roman" w:cs="Times New Roman" w:eastAsia="Times New Roman" w:hAnsi="Times New Roman"/>
          <w:sz w:val="18"/>
          <w:szCs w:val="18"/>
          <w:color w:val="auto"/>
        </w:rPr>
        <w:t>The Company has recorded estimated liabilities for current and historical sales taxes, which are included in accrued expenses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Consolidated Balance Sheets. On a quarterly basis, the Company accrues interest on the unpaid balance. The estimated liability is adjusted upon the payment of sales tax related to the accrual, the changes in state tax laws that may impact the accrual and the expiration of the statute of limitations for open years under review.</w:t>
      </w:r>
    </w:p>
    <w:p>
      <w:pPr>
        <w:spacing w:after="0" w:line="10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Significant judgement is inherent in the methodology utilized to determine the historical sales tax reserve. The liability includes significant judgments and estimates that may change in the future, and the actual liability may be different from our current estimate.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June 30, 2024 we are exposed to market risk related to changes in interest rates on our outstanding borrowings. Our JPMorgan Credit Facility matures on March, 16 2026. Interest on the JPMorgan Credit Facility will be based, at the Company’s option, on a base rate or SOFR plus an applicable margin tied to the Company’s total leverage ratio and having ranges of between 2.50% and 3.00% for base rate loans and between 3.50% and 4.00% for SOFR loans. As of June 30, 2024, we have $37.6 million total outstanding borrowings under the JPMorgan Credit Facility, an increase of 100 basis points in SOFR Rate would result in a change in interest expense of $0.4 million on our consolidated financial statements.</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also exposed to market risk related to changes in interest rates on our cash investments. We invest our excess cash in money market funds that we believe are highly liquid and marketable in the short term. These investments earn a floating rate of interest and are not held for trading or other speculative purposes. Consequently, our exposure to market risks for interest rate changes related to our money market funds is not material. Market risks related to fluctuations of foreign currencies are not material and we have no freestanding derivative instruments as of June 30, 2024.</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CANTALOUPE, INC.</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378"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01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1040" w:type="dxa"/>
            <w:vAlign w:val="bottom"/>
          </w:tcPr>
          <w:p>
            <w:pPr>
              <w:spacing w:after="0"/>
              <w:rPr>
                <w:sz w:val="20"/>
                <w:szCs w:val="20"/>
                <w:color w:val="auto"/>
              </w:rPr>
            </w:pPr>
          </w:p>
        </w:tc>
      </w:tr>
      <w:tr>
        <w:trPr>
          <w:trHeight w:val="283"/>
        </w:trPr>
        <w:tc>
          <w:tcPr>
            <w:tcW w:w="101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(Deloitte &amp; Touche LLP, Atlanta, GA, PCAOB ID#34)</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0"/>
        </w:trPr>
        <w:tc>
          <w:tcPr>
            <w:tcW w:w="2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50"/>
        </w:trPr>
        <w:tc>
          <w:tcPr>
            <w:tcW w:w="101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(BDO US, P.C., Richmond, VA, PCAOB ID# 243)</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0"/>
        </w:trPr>
        <w:tc>
          <w:tcPr>
            <w:tcW w:w="2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50"/>
        </w:trPr>
        <w:tc>
          <w:tcPr>
            <w:tcW w:w="101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Report of Deloitte &amp; Touche LLP, Independent Registered Public Accounting Firm on Internal Control over Financial Reporting</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50"/>
        </w:trPr>
        <w:tc>
          <w:tcPr>
            <w:tcW w:w="21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Consolidated Balance Sheets</w:t>
            </w:r>
          </w:p>
        </w:tc>
        <w:tc>
          <w:tcPr>
            <w:tcW w:w="7180" w:type="dxa"/>
            <w:vAlign w:val="bottom"/>
            <w:tcBorders>
              <w:top w:val="single" w:sz="8" w:color="0000FF"/>
            </w:tcBorders>
            <w:gridSpan w:val="7"/>
          </w:tcPr>
          <w:p>
            <w:pPr>
              <w:spacing w:after="0"/>
              <w:rPr>
                <w:sz w:val="21"/>
                <w:szCs w:val="21"/>
                <w:color w:val="auto"/>
              </w:rPr>
            </w:pPr>
          </w:p>
        </w:tc>
        <w:tc>
          <w:tcPr>
            <w:tcW w:w="8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50"/>
        </w:trPr>
        <w:tc>
          <w:tcPr>
            <w:tcW w:w="28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Consolidated Statements of Operations</w:t>
            </w:r>
          </w:p>
        </w:tc>
        <w:tc>
          <w:tcPr>
            <w:tcW w:w="7320" w:type="dxa"/>
            <w:vAlign w:val="bottom"/>
            <w:gridSpan w:val="7"/>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50"/>
        </w:trPr>
        <w:tc>
          <w:tcPr>
            <w:tcW w:w="101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 (Loss)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0"/>
        </w:trPr>
        <w:tc>
          <w:tcPr>
            <w:tcW w:w="288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2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50"/>
        </w:trPr>
        <w:tc>
          <w:tcPr>
            <w:tcW w:w="101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Consolidated Statements of Convertible Preferred Stock and Shareholders’ Equity</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50"/>
        </w:trPr>
        <w:tc>
          <w:tcPr>
            <w:tcW w:w="288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3040" w:type="dxa"/>
            <w:vAlign w:val="bottom"/>
            <w:tcBorders>
              <w:top w:val="single" w:sz="8" w:color="0000FF"/>
            </w:tcBorders>
            <w:gridSpan w:val="4"/>
          </w:tcPr>
          <w:p>
            <w:pPr>
              <w:spacing w:after="0"/>
              <w:rPr>
                <w:sz w:val="21"/>
                <w:szCs w:val="21"/>
                <w:color w:val="auto"/>
              </w:rPr>
            </w:pPr>
          </w:p>
        </w:tc>
        <w:tc>
          <w:tcPr>
            <w:tcW w:w="4220" w:type="dxa"/>
            <w:vAlign w:val="bottom"/>
            <w:gridSpan w:val="2"/>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50"/>
        </w:trPr>
        <w:tc>
          <w:tcPr>
            <w:tcW w:w="31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6980" w:type="dxa"/>
            <w:vAlign w:val="bottom"/>
            <w:gridSpan w:val="5"/>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03" w:right="37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Cantaloupe, Inc.</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43"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Cantaloupe, Inc. and subsidiaries (the "Company") as of June 30, 2024, the related consolidated statements of operations, comprehensive income (loss), convertible preferred stock and shareholders’ equity, and cash flows, for the year ended June 30, 2024, and the related notes (collectively referred to as the "financial statements"). In our opinion, the financial statements present fairly, in all material respects, the financial position of the Company as of June 30, 2024, and the results of its operations and its cash flows for the year ended June 30, 2024, in conformity with accounting principles generally accepted in the United States of America.</w:t>
      </w:r>
    </w:p>
    <w:p>
      <w:pPr>
        <w:spacing w:after="0" w:line="20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(PCAOB), the Company's internal control over financial reporting as of June 30, 2024,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September 10, 2024, expressed an unqualified opinion on the Company's internal control over financial reporting.</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43"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7"/>
          <w:szCs w:val="17"/>
          <w:color w:val="auto"/>
        </w:rPr>
        <w:t>These financial statements are the responsibility of the Company's management. Our responsibility is to express an opinion on the Company's financial statements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29"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 – Refer to Notes 2 and 11 to the financial statements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22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Company recognized consolidated revenues of $269 million for the year ended June 30, 2024. The Company provides an end-to-end cashless payment solution which integrates hardware, software, and payment processing in self-service commerce. The Company has determined that the sale or sales-type lease of hardware represents a separate performance obligation, the majority of which is satisfied at a point in time as equipment is delivered to the customer. Software and other services represent a separate performance obligation which is generally satisfied over time as the services are delivered to the customer. Payment processing services (or “cashless services”) represent a single performance obligation, which is a combination of services provided to the customer for the ability to accept cashless payments. The single performance obligation is determined to be a stand-ready obligation to process payments on behalf of customers, which is satisfied over time in daily increments. The Company’s customers are generally contracting for integrated cashless services in connection with purchasing or leasing unattended POS devices.</w:t>
      </w:r>
    </w:p>
    <w:p>
      <w:pPr>
        <w:spacing w:after="0" w:line="21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We identified the determination of performance obligations within revenue contracts as a critical audit matter given the judgment required to determine whether any unusual and/or complex terms within contracts impact the identification of performance obligations and are evaluated appropriately. A high degree of auditor judgment was required to evaluate the Company's identification of performance obligations in revenue contracts.</w:t>
      </w:r>
    </w:p>
    <w:p>
      <w:pPr>
        <w:sectPr>
          <w:pgSz w:w="11900" w:h="16838" w:orient="portrait"/>
          <w:cols w:equalWidth="0" w:num="1">
            <w:col w:w="11240"/>
          </w:cols>
          <w:pgMar w:left="320" w:top="110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procedures related to the Company’s revenue recognition primarily included the following:</w:t>
      </w:r>
    </w:p>
    <w:p>
      <w:pPr>
        <w:spacing w:after="0" w:line="239" w:lineRule="exact"/>
        <w:rPr>
          <w:sz w:val="20"/>
          <w:szCs w:val="20"/>
          <w:color w:val="auto"/>
        </w:rPr>
      </w:pPr>
    </w:p>
    <w:p>
      <w:pPr>
        <w:ind w:left="660" w:hanging="328"/>
        <w:spacing w:after="0" w:line="215"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selected a sample of revenue contracts, and obtained and evaluated underlying source documents relevant to the identification of performance obligations.</w:t>
      </w: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whether the performance obligations were appropriately identified in each of the selected revenue contracts.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Atlanta, Georgia</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10, 2024</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2023.</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Cantaloupe,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Malvern, Pennsylvania</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Consolidated Financial Statements</w:t>
      </w:r>
    </w:p>
    <w:p>
      <w:pPr>
        <w:spacing w:after="0" w:line="24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Cantaloupe, Inc. (the “Company”) as of June 30, 2023, the related consolidated statements of operations, convertible preferred stock and shareholders’ equity, and cash flows for each of the two years in the period ended June 30, 2023, and the related notes (collectively referred to as the “consolidated financial statements”). In our opinion, the consolidated financial statements present fairly, in all material respects, the financial position of the Company at June 30, 2023, and the results of its operations and its cash flows for each of the two years in the period ended June 30, 2023, in conformity with accounting principles generally accepted in the United States of America.</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4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18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 P.C.</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from 2019 to 2023.</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Richmond, Virginia</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25, 2023</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Cantaloupe, Inc.</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4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Cantaloupe, Inc. and subsidiaries (the “Company”) as of June 30, 2024,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In our opinion, the Company maintained, in all material respects, effective internal control over financial reporting as of June 30, 2024,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COSO.</w:t>
      </w:r>
    </w:p>
    <w:p>
      <w:pPr>
        <w:spacing w:after="0" w:line="19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year ended June 30, 2024, of the Company and our report dated September 10, 2024, expressed an unqualified opinion on those financial statements.</w:t>
      </w:r>
    </w:p>
    <w:p>
      <w:pPr>
        <w:spacing w:after="0" w:line="19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As described in Management's Report on Internal Control over Financial Reporting, management excluded from its assessment the internal control over financial reporting at Cheq Lifestyle Technology, Inc. (“Cheq”), which was acquired on February 1, 2024, and whose financial statements constitute approximately 1% of total consolidated assets, excluding goodwill, as of June 30, 2024, and approximately 1% of total consolidated revenues for the year then ended. Accordingly, our audit did not include the internal control over financial reporting at Cheq.</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5"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29"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Atlanta, Georgia</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10, 2024</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2" w:name="page43"/>
    <w:bookmarkEnd w:id="4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Cantaloupe,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5"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in thousands, except share data)</w:t>
            </w: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44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40"/>
        </w:trPr>
        <w:tc>
          <w:tcPr>
            <w:tcW w:w="8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58,920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50,927</w:t>
            </w:r>
          </w:p>
        </w:tc>
        <w:tc>
          <w:tcPr>
            <w:tcW w:w="0" w:type="dxa"/>
            <w:vAlign w:val="bottom"/>
          </w:tcPr>
          <w:p>
            <w:pPr>
              <w:spacing w:after="0"/>
              <w:rPr>
                <w:sz w:val="1"/>
                <w:szCs w:val="1"/>
                <w:color w:val="auto"/>
              </w:rPr>
            </w:pPr>
          </w:p>
        </w:tc>
      </w:tr>
      <w:tr>
        <w:trPr>
          <w:trHeight w:val="229"/>
        </w:trPr>
        <w:tc>
          <w:tcPr>
            <w:tcW w:w="8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receivable, net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43,848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30,162</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Finance receivables, net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6,668</w:t>
            </w:r>
          </w:p>
        </w:tc>
        <w:tc>
          <w:tcPr>
            <w:tcW w:w="0" w:type="dxa"/>
            <w:vAlign w:val="bottom"/>
          </w:tcPr>
          <w:p>
            <w:pPr>
              <w:spacing w:after="0"/>
              <w:rPr>
                <w:sz w:val="1"/>
                <w:szCs w:val="1"/>
                <w:color w:val="auto"/>
              </w:rPr>
            </w:pPr>
          </w:p>
        </w:tc>
      </w:tr>
      <w:tr>
        <w:trPr>
          <w:trHeight w:val="229"/>
        </w:trPr>
        <w:tc>
          <w:tcPr>
            <w:tcW w:w="8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Inventory</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40,791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31,872</w:t>
            </w: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7,844</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3,754</w:t>
            </w:r>
          </w:p>
        </w:tc>
        <w:tc>
          <w:tcPr>
            <w:tcW w:w="0" w:type="dxa"/>
            <w:vAlign w:val="bottom"/>
          </w:tcPr>
          <w:p>
            <w:pPr>
              <w:spacing w:after="0"/>
              <w:rPr>
                <w:sz w:val="1"/>
                <w:szCs w:val="1"/>
                <w:color w:val="auto"/>
              </w:rPr>
            </w:pPr>
          </w:p>
        </w:tc>
      </w:tr>
      <w:tr>
        <w:trPr>
          <w:trHeight w:val="223"/>
        </w:trPr>
        <w:tc>
          <w:tcPr>
            <w:tcW w:w="8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157,794</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123,383</w:t>
            </w:r>
          </w:p>
        </w:tc>
        <w:tc>
          <w:tcPr>
            <w:tcW w:w="0" w:type="dxa"/>
            <w:vAlign w:val="bottom"/>
          </w:tcPr>
          <w:p>
            <w:pPr>
              <w:spacing w:after="0"/>
              <w:rPr>
                <w:sz w:val="1"/>
                <w:szCs w:val="1"/>
                <w:color w:val="auto"/>
              </w:rPr>
            </w:pPr>
          </w:p>
        </w:tc>
      </w:tr>
      <w:tr>
        <w:trPr>
          <w:trHeight w:val="142"/>
        </w:trPr>
        <w:tc>
          <w:tcPr>
            <w:tcW w:w="84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Finance receivables, net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13,307</w:t>
            </w:r>
          </w:p>
        </w:tc>
        <w:tc>
          <w:tcPr>
            <w:tcW w:w="0" w:type="dxa"/>
            <w:vAlign w:val="bottom"/>
          </w:tcPr>
          <w:p>
            <w:pPr>
              <w:spacing w:after="0"/>
              <w:rPr>
                <w:sz w:val="1"/>
                <w:szCs w:val="1"/>
                <w:color w:val="auto"/>
              </w:rPr>
            </w:pPr>
          </w:p>
        </w:tc>
      </w:tr>
      <w:tr>
        <w:trPr>
          <w:trHeight w:val="229"/>
        </w:trPr>
        <w:tc>
          <w:tcPr>
            <w:tcW w:w="8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34,029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25,281</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2,575</w:t>
            </w:r>
          </w:p>
        </w:tc>
        <w:tc>
          <w:tcPr>
            <w:tcW w:w="0" w:type="dxa"/>
            <w:vAlign w:val="bottom"/>
          </w:tcPr>
          <w:p>
            <w:pPr>
              <w:spacing w:after="0"/>
              <w:rPr>
                <w:sz w:val="1"/>
                <w:szCs w:val="1"/>
                <w:color w:val="auto"/>
              </w:rPr>
            </w:pPr>
          </w:p>
        </w:tc>
      </w:tr>
      <w:tr>
        <w:trPr>
          <w:trHeight w:val="229"/>
        </w:trPr>
        <w:tc>
          <w:tcPr>
            <w:tcW w:w="8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Intangibles, net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24,626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27,812</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Goodwill</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94,903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92,005</w:t>
            </w:r>
          </w:p>
        </w:tc>
        <w:tc>
          <w:tcPr>
            <w:tcW w:w="0" w:type="dxa"/>
            <w:vAlign w:val="bottom"/>
          </w:tcPr>
          <w:p>
            <w:pPr>
              <w:spacing w:after="0"/>
              <w:rPr>
                <w:sz w:val="1"/>
                <w:szCs w:val="1"/>
                <w:color w:val="auto"/>
              </w:rPr>
            </w:pPr>
          </w:p>
        </w:tc>
      </w:tr>
      <w:tr>
        <w:trPr>
          <w:trHeight w:val="229"/>
        </w:trPr>
        <w:tc>
          <w:tcPr>
            <w:tcW w:w="84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6,194</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5,249</w:t>
            </w:r>
          </w:p>
        </w:tc>
        <w:tc>
          <w:tcPr>
            <w:tcW w:w="0" w:type="dxa"/>
            <w:vAlign w:val="bottom"/>
          </w:tcPr>
          <w:p>
            <w:pPr>
              <w:spacing w:after="0"/>
              <w:rPr>
                <w:sz w:val="1"/>
                <w:szCs w:val="1"/>
                <w:color w:val="auto"/>
              </w:rPr>
            </w:pPr>
          </w:p>
        </w:tc>
      </w:tr>
      <w:tr>
        <w:trPr>
          <w:trHeight w:val="223"/>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non-current assets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177,774</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166,229</w:t>
            </w:r>
          </w:p>
        </w:tc>
        <w:tc>
          <w:tcPr>
            <w:tcW w:w="0" w:type="dxa"/>
            <w:vAlign w:val="bottom"/>
          </w:tcPr>
          <w:p>
            <w:pPr>
              <w:spacing w:after="0"/>
              <w:rPr>
                <w:sz w:val="1"/>
                <w:szCs w:val="1"/>
                <w:color w:val="auto"/>
              </w:rPr>
            </w:pPr>
          </w:p>
        </w:tc>
      </w:tr>
      <w:tr>
        <w:trPr>
          <w:trHeight w:val="142"/>
        </w:trPr>
        <w:tc>
          <w:tcPr>
            <w:tcW w:w="8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4"/>
        </w:trPr>
        <w:tc>
          <w:tcPr>
            <w:tcW w:w="8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335,568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289,612</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8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convertible preferred stock, and shareholders’ equity</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78,895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52,869</w:t>
            </w:r>
          </w:p>
        </w:tc>
        <w:tc>
          <w:tcPr>
            <w:tcW w:w="0" w:type="dxa"/>
            <w:vAlign w:val="bottom"/>
          </w:tcPr>
          <w:p>
            <w:pPr>
              <w:spacing w:after="0"/>
              <w:rPr>
                <w:sz w:val="1"/>
                <w:szCs w:val="1"/>
                <w:color w:val="auto"/>
              </w:rPr>
            </w:pPr>
          </w:p>
        </w:tc>
      </w:tr>
      <w:tr>
        <w:trPr>
          <w:trHeight w:val="230"/>
        </w:trPr>
        <w:tc>
          <w:tcPr>
            <w:tcW w:w="8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expenses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26,276</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Current obligations under long-term debt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0" w:type="dxa"/>
            <w:vAlign w:val="bottom"/>
          </w:tcPr>
          <w:p>
            <w:pPr>
              <w:spacing w:after="0"/>
              <w:rPr>
                <w:sz w:val="1"/>
                <w:szCs w:val="1"/>
                <w:color w:val="auto"/>
              </w:rPr>
            </w:pPr>
          </w:p>
        </w:tc>
      </w:tr>
      <w:tr>
        <w:trPr>
          <w:trHeight w:val="230"/>
        </w:trPr>
        <w:tc>
          <w:tcPr>
            <w:tcW w:w="84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Deferred revenue</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1,666</w:t>
            </w:r>
          </w:p>
        </w:tc>
        <w:tc>
          <w:tcPr>
            <w:tcW w:w="0" w:type="dxa"/>
            <w:vAlign w:val="bottom"/>
          </w:tcPr>
          <w:p>
            <w:pPr>
              <w:spacing w:after="0"/>
              <w:rPr>
                <w:sz w:val="1"/>
                <w:szCs w:val="1"/>
                <w:color w:val="auto"/>
              </w:rPr>
            </w:pPr>
          </w:p>
        </w:tc>
      </w:tr>
      <w:tr>
        <w:trPr>
          <w:trHeight w:val="223"/>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105,895</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81,693</w:t>
            </w:r>
          </w:p>
        </w:tc>
        <w:tc>
          <w:tcPr>
            <w:tcW w:w="0" w:type="dxa"/>
            <w:vAlign w:val="bottom"/>
          </w:tcPr>
          <w:p>
            <w:pPr>
              <w:spacing w:after="0"/>
              <w:rPr>
                <w:sz w:val="1"/>
                <w:szCs w:val="1"/>
                <w:color w:val="auto"/>
              </w:rPr>
            </w:pPr>
          </w:p>
        </w:tc>
      </w:tr>
      <w:tr>
        <w:trPr>
          <w:trHeight w:val="196"/>
        </w:trPr>
        <w:tc>
          <w:tcPr>
            <w:tcW w:w="8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income taxes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Long-term debt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36,284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37,548</w:t>
            </w:r>
          </w:p>
        </w:tc>
        <w:tc>
          <w:tcPr>
            <w:tcW w:w="0" w:type="dxa"/>
            <w:vAlign w:val="bottom"/>
          </w:tcPr>
          <w:p>
            <w:pPr>
              <w:spacing w:after="0"/>
              <w:rPr>
                <w:sz w:val="1"/>
                <w:szCs w:val="1"/>
                <w:color w:val="auto"/>
              </w:rPr>
            </w:pPr>
          </w:p>
        </w:tc>
      </w:tr>
      <w:tr>
        <w:trPr>
          <w:trHeight w:val="230"/>
        </w:trPr>
        <w:tc>
          <w:tcPr>
            <w:tcW w:w="84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8,457</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2,504</w:t>
            </w:r>
          </w:p>
        </w:tc>
        <w:tc>
          <w:tcPr>
            <w:tcW w:w="0" w:type="dxa"/>
            <w:vAlign w:val="bottom"/>
          </w:tcPr>
          <w:p>
            <w:pPr>
              <w:spacing w:after="0"/>
              <w:rPr>
                <w:sz w:val="1"/>
                <w:szCs w:val="1"/>
                <w:color w:val="auto"/>
              </w:rPr>
            </w:pPr>
          </w:p>
        </w:tc>
      </w:tr>
      <w:tr>
        <w:trPr>
          <w:trHeight w:val="223"/>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45,207</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40,327</w:t>
            </w:r>
          </w:p>
        </w:tc>
        <w:tc>
          <w:tcPr>
            <w:tcW w:w="0" w:type="dxa"/>
            <w:vAlign w:val="bottom"/>
          </w:tcPr>
          <w:p>
            <w:pPr>
              <w:spacing w:after="0"/>
              <w:rPr>
                <w:sz w:val="1"/>
                <w:szCs w:val="1"/>
                <w:color w:val="auto"/>
              </w:rPr>
            </w:pPr>
          </w:p>
        </w:tc>
      </w:tr>
      <w:tr>
        <w:trPr>
          <w:trHeight w:val="142"/>
        </w:trPr>
        <w:tc>
          <w:tcPr>
            <w:tcW w:w="8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151,102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122,020</w:t>
            </w:r>
          </w:p>
        </w:tc>
        <w:tc>
          <w:tcPr>
            <w:tcW w:w="0" w:type="dxa"/>
            <w:vAlign w:val="bottom"/>
          </w:tcPr>
          <w:p>
            <w:pPr>
              <w:spacing w:after="0"/>
              <w:rPr>
                <w:sz w:val="1"/>
                <w:szCs w:val="1"/>
                <w:color w:val="auto"/>
              </w:rPr>
            </w:pPr>
          </w:p>
        </w:tc>
      </w:tr>
      <w:tr>
        <w:trPr>
          <w:trHeight w:val="230"/>
        </w:trPr>
        <w:tc>
          <w:tcPr>
            <w:tcW w:w="8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18)</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Convertible preferred stock:</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44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Series A convertible preferred stock, 900,000 shares authorized, 385,782 and 385,782 issued and outstanding, with</w:t>
            </w: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liquidation preferences of $22,722 and $22,144 at June 30, 2024 and 2023, respectively</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2,720</w:t>
            </w: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44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Common stock, no par value, 640,000,000 shares authorized, 72,935,497 and 72,664,464 shares issued and</w:t>
            </w: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outstanding at June 30, 2024 and 2023, respectively</w:t>
            </w:r>
          </w:p>
        </w:tc>
        <w:tc>
          <w:tcPr>
            <w:tcW w:w="32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482,329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477,324</w:t>
            </w:r>
          </w:p>
        </w:tc>
        <w:tc>
          <w:tcPr>
            <w:tcW w:w="0" w:type="dxa"/>
            <w:vAlign w:val="bottom"/>
          </w:tcPr>
          <w:p>
            <w:pPr>
              <w:spacing w:after="0"/>
              <w:rPr>
                <w:sz w:val="1"/>
                <w:szCs w:val="1"/>
                <w:color w:val="auto"/>
              </w:rPr>
            </w:pPr>
          </w:p>
        </w:tc>
      </w:tr>
      <w:tr>
        <w:trPr>
          <w:trHeight w:val="229"/>
        </w:trPr>
        <w:tc>
          <w:tcPr>
            <w:tcW w:w="8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Accumulated deficit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(300,459)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(312,452)</w:t>
            </w: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181,746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164,872</w:t>
            </w:r>
          </w:p>
        </w:tc>
        <w:tc>
          <w:tcPr>
            <w:tcW w:w="0" w:type="dxa"/>
            <w:vAlign w:val="bottom"/>
          </w:tcPr>
          <w:p>
            <w:pPr>
              <w:spacing w:after="0"/>
              <w:rPr>
                <w:sz w:val="1"/>
                <w:szCs w:val="1"/>
                <w:color w:val="auto"/>
              </w:rPr>
            </w:pPr>
          </w:p>
        </w:tc>
      </w:tr>
      <w:tr>
        <w:trPr>
          <w:trHeight w:val="255"/>
        </w:trPr>
        <w:tc>
          <w:tcPr>
            <w:tcW w:w="8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convertible preferred stock, and shareholders’ equity</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335,568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289,612</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ectPr>
          <w:pgSz w:w="11900" w:h="16838" w:orient="portrait"/>
          <w:cols w:equalWidth="0" w:num="1">
            <w:col w:w="11220"/>
          </w:cols>
          <w:pgMar w:left="320" w:top="1103" w:right="35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3" w:right="359" w:bottom="1440" w:gutter="0" w:footer="0" w:header="0"/>
          <w:type w:val="continuous"/>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t>Cantaloupe,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 except shares and per share data)</w:t>
            </w: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06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2"/>
        </w:trPr>
        <w:tc>
          <w:tcPr>
            <w:tcW w:w="7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Subscription and transaction fees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231,497</w:t>
            </w:r>
          </w:p>
        </w:tc>
        <w:tc>
          <w:tcPr>
            <w:tcW w:w="80" w:type="dxa"/>
            <w:vAlign w:val="bottom"/>
          </w:tcPr>
          <w:p>
            <w:pPr>
              <w:spacing w:after="0"/>
              <w:rPr>
                <w:sz w:val="19"/>
                <w:szCs w:val="19"/>
                <w:color w:val="auto"/>
              </w:rPr>
            </w:pPr>
          </w:p>
        </w:tc>
        <w:tc>
          <w:tcPr>
            <w:tcW w:w="3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200,223</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168,850</w:t>
            </w: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Equipment sales</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37,099</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43,418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36,352</w:t>
            </w:r>
          </w:p>
        </w:tc>
        <w:tc>
          <w:tcPr>
            <w:tcW w:w="0" w:type="dxa"/>
            <w:vAlign w:val="bottom"/>
          </w:tcPr>
          <w:p>
            <w:pPr>
              <w:spacing w:after="0"/>
              <w:rPr>
                <w:sz w:val="1"/>
                <w:szCs w:val="1"/>
                <w:color w:val="auto"/>
              </w:rPr>
            </w:pPr>
          </w:p>
        </w:tc>
      </w:tr>
      <w:tr>
        <w:trPr>
          <w:trHeight w:val="223"/>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268,596</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243,641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205,202</w:t>
            </w:r>
          </w:p>
        </w:tc>
        <w:tc>
          <w:tcPr>
            <w:tcW w:w="0" w:type="dxa"/>
            <w:vAlign w:val="bottom"/>
          </w:tcPr>
          <w:p>
            <w:pPr>
              <w:spacing w:after="0"/>
              <w:rPr>
                <w:sz w:val="1"/>
                <w:szCs w:val="1"/>
                <w:color w:val="auto"/>
              </w:rPr>
            </w:pPr>
          </w:p>
        </w:tc>
      </w:tr>
      <w:tr>
        <w:trPr>
          <w:trHeight w:val="196"/>
        </w:trPr>
        <w:tc>
          <w:tcPr>
            <w:tcW w:w="70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Costs of sales (exclusive of certain depreciation and amortization):</w:t>
            </w: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subscription and transaction fees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131,400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119,715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103,392</w:t>
            </w:r>
          </w:p>
        </w:tc>
        <w:tc>
          <w:tcPr>
            <w:tcW w:w="0" w:type="dxa"/>
            <w:vAlign w:val="bottom"/>
          </w:tcPr>
          <w:p>
            <w:pPr>
              <w:spacing w:after="0"/>
              <w:rPr>
                <w:sz w:val="1"/>
                <w:szCs w:val="1"/>
                <w:color w:val="auto"/>
              </w:rPr>
            </w:pPr>
          </w:p>
        </w:tc>
      </w:tr>
      <w:tr>
        <w:trPr>
          <w:trHeight w:val="229"/>
        </w:trPr>
        <w:tc>
          <w:tcPr>
            <w:tcW w:w="70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Cost of equipment sales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34,545</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42,690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37,615</w:t>
            </w:r>
          </w:p>
        </w:tc>
        <w:tc>
          <w:tcPr>
            <w:tcW w:w="0" w:type="dxa"/>
            <w:vAlign w:val="bottom"/>
          </w:tcPr>
          <w:p>
            <w:pPr>
              <w:spacing w:after="0"/>
              <w:rPr>
                <w:sz w:val="1"/>
                <w:szCs w:val="1"/>
                <w:color w:val="auto"/>
              </w:rPr>
            </w:pPr>
          </w:p>
        </w:tc>
      </w:tr>
      <w:tr>
        <w:trPr>
          <w:trHeight w:val="223"/>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costs of sales</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165,945</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162,405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141,007</w:t>
            </w:r>
          </w:p>
        </w:tc>
        <w:tc>
          <w:tcPr>
            <w:tcW w:w="0" w:type="dxa"/>
            <w:vAlign w:val="bottom"/>
          </w:tcPr>
          <w:p>
            <w:pPr>
              <w:spacing w:after="0"/>
              <w:rPr>
                <w:sz w:val="1"/>
                <w:szCs w:val="1"/>
                <w:color w:val="auto"/>
              </w:rPr>
            </w:pPr>
          </w:p>
        </w:tc>
      </w:tr>
      <w:tr>
        <w:trPr>
          <w:trHeight w:val="183"/>
        </w:trPr>
        <w:tc>
          <w:tcPr>
            <w:tcW w:w="7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20,310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8,908</w:t>
            </w: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Technology and product development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20,726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21,877</w:t>
            </w:r>
          </w:p>
        </w:tc>
        <w:tc>
          <w:tcPr>
            <w:tcW w:w="0" w:type="dxa"/>
            <w:vAlign w:val="bottom"/>
          </w:tcPr>
          <w:p>
            <w:pPr>
              <w:spacing w:after="0"/>
              <w:rPr>
                <w:sz w:val="1"/>
                <w:szCs w:val="1"/>
                <w:color w:val="auto"/>
              </w:rPr>
            </w:pPr>
          </w:p>
        </w:tc>
      </w:tr>
      <w:tr>
        <w:trPr>
          <w:trHeight w:val="229"/>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41,395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36,926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30,519</w:t>
            </w: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Investigation, proxy solicitation and restatement expenses, net of insurance recoveries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0" w:type="dxa"/>
            <w:vAlign w:val="bottom"/>
          </w:tcPr>
          <w:p>
            <w:pPr>
              <w:spacing w:after="0"/>
              <w:rPr>
                <w:sz w:val="1"/>
                <w:szCs w:val="1"/>
                <w:color w:val="auto"/>
              </w:rPr>
            </w:pPr>
          </w:p>
        </w:tc>
      </w:tr>
      <w:tr>
        <w:trPr>
          <w:trHeight w:val="229"/>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Integration and acquisition expenses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10,570</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4,352</w:t>
            </w:r>
          </w:p>
        </w:tc>
        <w:tc>
          <w:tcPr>
            <w:tcW w:w="0" w:type="dxa"/>
            <w:vAlign w:val="bottom"/>
          </w:tcPr>
          <w:p>
            <w:pPr>
              <w:spacing w:after="0"/>
              <w:rPr>
                <w:sz w:val="1"/>
                <w:szCs w:val="1"/>
                <w:color w:val="auto"/>
              </w:rPr>
            </w:pPr>
          </w:p>
        </w:tc>
      </w:tr>
      <w:tr>
        <w:trPr>
          <w:trHeight w:val="22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88,482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80,476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66,852</w:t>
            </w:r>
          </w:p>
        </w:tc>
        <w:tc>
          <w:tcPr>
            <w:tcW w:w="0" w:type="dxa"/>
            <w:vAlign w:val="bottom"/>
          </w:tcPr>
          <w:p>
            <w:pPr>
              <w:spacing w:after="0"/>
              <w:rPr>
                <w:sz w:val="1"/>
                <w:szCs w:val="1"/>
                <w:color w:val="auto"/>
              </w:rPr>
            </w:pPr>
          </w:p>
        </w:tc>
      </w:tr>
      <w:tr>
        <w:trPr>
          <w:trHeight w:val="162"/>
        </w:trPr>
        <w:tc>
          <w:tcPr>
            <w:tcW w:w="70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14,169</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(2,657)</w:t>
            </w:r>
          </w:p>
        </w:tc>
        <w:tc>
          <w:tcPr>
            <w:tcW w:w="0" w:type="dxa"/>
            <w:vAlign w:val="bottom"/>
          </w:tcPr>
          <w:p>
            <w:pPr>
              <w:spacing w:after="0"/>
              <w:rPr>
                <w:sz w:val="1"/>
                <w:szCs w:val="1"/>
                <w:color w:val="auto"/>
              </w:rPr>
            </w:pPr>
          </w:p>
        </w:tc>
      </w:tr>
      <w:tr>
        <w:trPr>
          <w:trHeight w:val="196"/>
        </w:trPr>
        <w:tc>
          <w:tcPr>
            <w:tcW w:w="70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w:t>
            </w:r>
          </w:p>
        </w:tc>
        <w:tc>
          <w:tcPr>
            <w:tcW w:w="0" w:type="dxa"/>
            <w:vAlign w:val="bottom"/>
          </w:tcPr>
          <w:p>
            <w:pPr>
              <w:spacing w:after="0"/>
              <w:rPr>
                <w:sz w:val="1"/>
                <w:szCs w:val="1"/>
                <w:color w:val="auto"/>
              </w:rPr>
            </w:pPr>
          </w:p>
        </w:tc>
      </w:tr>
      <w:tr>
        <w:trPr>
          <w:trHeight w:val="230"/>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expense</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2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(1,517)</w:t>
            </w: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142"/>
        </w:trPr>
        <w:tc>
          <w:tcPr>
            <w:tcW w:w="70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w:t>
            </w:r>
          </w:p>
        </w:tc>
        <w:tc>
          <w:tcPr>
            <w:tcW w:w="0" w:type="dxa"/>
            <w:vAlign w:val="bottom"/>
          </w:tcPr>
          <w:p>
            <w:pPr>
              <w:spacing w:after="0"/>
              <w:rPr>
                <w:sz w:val="1"/>
                <w:szCs w:val="1"/>
                <w:color w:val="auto"/>
              </w:rPr>
            </w:pPr>
          </w:p>
        </w:tc>
      </w:tr>
      <w:tr>
        <w:trPr>
          <w:trHeight w:val="230"/>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Preferred dividends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0" w:type="dxa"/>
            <w:vAlign w:val="bottom"/>
          </w:tcPr>
          <w:p>
            <w:pPr>
              <w:spacing w:after="0"/>
              <w:rPr>
                <w:sz w:val="1"/>
                <w:szCs w:val="1"/>
                <w:color w:val="auto"/>
              </w:rPr>
            </w:pPr>
          </w:p>
        </w:tc>
      </w:tr>
      <w:tr>
        <w:trPr>
          <w:trHeight w:val="248"/>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applicable to common shares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11,415</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(2,371)</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70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 (loss) per common share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80" w:type="dxa"/>
            <w:vAlign w:val="bottom"/>
          </w:tcPr>
          <w:p>
            <w:pPr>
              <w:spacing w:after="0"/>
              <w:rPr>
                <w:sz w:val="19"/>
                <w:szCs w:val="19"/>
                <w:color w:val="auto"/>
              </w:rPr>
            </w:pPr>
          </w:p>
        </w:tc>
        <w:tc>
          <w:tcPr>
            <w:tcW w:w="3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175"/>
        </w:trPr>
        <w:tc>
          <w:tcPr>
            <w:tcW w:w="70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Weighted average number of common shares outstanding used to compute net earnings (loss) per</w:t>
            </w: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 applicable to common shares</w:t>
            </w: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72,819,220</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71,978,901</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71,091,790</w:t>
            </w:r>
          </w:p>
        </w:tc>
        <w:tc>
          <w:tcPr>
            <w:tcW w:w="0" w:type="dxa"/>
            <w:vAlign w:val="bottom"/>
          </w:tcPr>
          <w:p>
            <w:pPr>
              <w:spacing w:after="0"/>
              <w:rPr>
                <w:sz w:val="1"/>
                <w:szCs w:val="1"/>
                <w:color w:val="auto"/>
              </w:rPr>
            </w:pPr>
          </w:p>
        </w:tc>
      </w:tr>
      <w:tr>
        <w:trPr>
          <w:trHeight w:val="234"/>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74,172,098</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72,514,634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71,091,790</w:t>
            </w:r>
          </w:p>
        </w:tc>
        <w:tc>
          <w:tcPr>
            <w:tcW w:w="0" w:type="dxa"/>
            <w:vAlign w:val="bottom"/>
          </w:tcPr>
          <w:p>
            <w:pPr>
              <w:spacing w:after="0"/>
              <w:rPr>
                <w:sz w:val="1"/>
                <w:szCs w:val="1"/>
                <w:color w:val="auto"/>
              </w:rPr>
            </w:pPr>
          </w:p>
        </w:tc>
      </w:tr>
    </w:tbl>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Cantaloupe,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40" w:type="dxa"/>
            <w:vAlign w:val="bottom"/>
          </w:tcPr>
          <w:p>
            <w:pPr>
              <w:spacing w:after="0"/>
              <w:rPr>
                <w:sz w:val="2"/>
                <w:szCs w:val="2"/>
                <w:color w:val="auto"/>
              </w:rPr>
            </w:pPr>
          </w:p>
        </w:tc>
        <w:tc>
          <w:tcPr>
            <w:tcW w:w="4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5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40" w:type="dxa"/>
            <w:vAlign w:val="bottom"/>
          </w:tcPr>
          <w:p>
            <w:pPr>
              <w:spacing w:after="0"/>
              <w:rPr>
                <w:sz w:val="16"/>
                <w:szCs w:val="16"/>
                <w:color w:val="auto"/>
              </w:rPr>
            </w:pPr>
          </w:p>
        </w:tc>
        <w:tc>
          <w:tcPr>
            <w:tcW w:w="4300" w:type="dxa"/>
            <w:vAlign w:val="bottom"/>
            <w:gridSpan w:val="2"/>
            <w:vMerge w:val="continue"/>
          </w:tcPr>
          <w:p>
            <w:pPr>
              <w:spacing w:after="0"/>
              <w:rPr>
                <w:sz w:val="16"/>
                <w:szCs w:val="16"/>
                <w:color w:val="auto"/>
              </w:rPr>
            </w:pPr>
          </w:p>
        </w:tc>
        <w:tc>
          <w:tcPr>
            <w:tcW w:w="500" w:type="dxa"/>
            <w:vAlign w:val="bottom"/>
          </w:tcPr>
          <w:p>
            <w:pPr>
              <w:spacing w:after="0"/>
              <w:rPr>
                <w:sz w:val="16"/>
                <w:szCs w:val="16"/>
                <w:color w:val="auto"/>
              </w:rPr>
            </w:pPr>
          </w:p>
        </w:tc>
        <w:tc>
          <w:tcPr>
            <w:tcW w:w="1720" w:type="dxa"/>
            <w:vAlign w:val="bottom"/>
          </w:tcPr>
          <w:p>
            <w:pPr>
              <w:jc w:val="right"/>
              <w:ind w:right="8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60" w:type="dxa"/>
            <w:vAlign w:val="bottom"/>
          </w:tcPr>
          <w:p>
            <w:pPr>
              <w:jc w:val="right"/>
              <w:ind w:right="8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11,993</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340" w:type="dxa"/>
            <w:vAlign w:val="bottom"/>
          </w:tcPr>
          <w:p>
            <w:pPr>
              <w:spacing w:after="0"/>
              <w:rPr>
                <w:sz w:val="4"/>
                <w:szCs w:val="4"/>
                <w:color w:val="auto"/>
              </w:rPr>
            </w:pPr>
          </w:p>
        </w:tc>
        <w:tc>
          <w:tcPr>
            <w:tcW w:w="4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7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4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5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3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500" w:type="dxa"/>
            <w:vAlign w:val="bottom"/>
            <w:tcBorders>
              <w:top w:val="single" w:sz="8" w:color="auto"/>
              <w:bottom w:val="single" w:sz="8" w:color="auto"/>
            </w:tcBorders>
          </w:tcPr>
          <w:p>
            <w:pPr>
              <w:spacing w:after="0"/>
              <w:rPr>
                <w:sz w:val="19"/>
                <w:szCs w:val="19"/>
                <w:color w:val="auto"/>
              </w:rPr>
            </w:pP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8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2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40" w:type="dxa"/>
            <w:vAlign w:val="bottom"/>
          </w:tcPr>
          <w:p>
            <w:pPr>
              <w:spacing w:after="0"/>
              <w:rPr>
                <w:sz w:val="21"/>
                <w:szCs w:val="21"/>
                <w:color w:val="auto"/>
              </w:rPr>
            </w:pPr>
          </w:p>
        </w:tc>
        <w:tc>
          <w:tcPr>
            <w:tcW w:w="43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11,869</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34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720" w:type="dxa"/>
            <w:vAlign w:val="bottom"/>
          </w:tcPr>
          <w:p>
            <w:pPr>
              <w:jc w:val="right"/>
              <w:ind w:right="1053"/>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40" w:type="dxa"/>
            <w:vAlign w:val="bottom"/>
            <w:tcBorders>
              <w:bottom w:val="single" w:sz="8" w:color="9A9A9A"/>
            </w:tcBorders>
          </w:tcPr>
          <w:p>
            <w:pPr>
              <w:spacing w:after="0"/>
              <w:rPr>
                <w:sz w:val="10"/>
                <w:szCs w:val="10"/>
                <w:color w:val="auto"/>
              </w:rPr>
            </w:pPr>
          </w:p>
        </w:tc>
        <w:tc>
          <w:tcPr>
            <w:tcW w:w="4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Cantaloupe,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Convertible Preferred Stock and Shareholders’ Equity</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80" w:type="dxa"/>
            <w:vAlign w:val="bottom"/>
            <w:tcBorders>
              <w:right w:val="single" w:sz="8" w:color="auto"/>
            </w:tcBorders>
            <w:gridSpan w:val="4"/>
            <w:vMerge w:val="restart"/>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Convertible Preferred</w:t>
            </w:r>
          </w:p>
        </w:tc>
        <w:tc>
          <w:tcPr>
            <w:tcW w:w="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2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780" w:type="dxa"/>
            <w:vAlign w:val="bottom"/>
            <w:tcBorders>
              <w:right w:val="single" w:sz="8" w:color="auto"/>
            </w:tcBorders>
            <w:gridSpan w:val="4"/>
            <w:vMerge w:val="continue"/>
          </w:tcPr>
          <w:p>
            <w:pPr>
              <w:spacing w:after="0"/>
              <w:rPr>
                <w:sz w:val="8"/>
                <w:szCs w:val="8"/>
                <w:color w:val="auto"/>
              </w:rPr>
            </w:pPr>
          </w:p>
        </w:tc>
        <w:tc>
          <w:tcPr>
            <w:tcW w:w="6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gridSpan w:val="2"/>
            <w:vMerge w:val="restart"/>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Additional</w:t>
            </w: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20" w:type="dxa"/>
            <w:vAlign w:val="bottom"/>
            <w:gridSpan w:val="2"/>
            <w:vMerge w:val="restart"/>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w w:val="97"/>
              </w:rPr>
              <w:t>Other</w:t>
            </w:r>
          </w:p>
        </w:tc>
        <w:tc>
          <w:tcPr>
            <w:tcW w:w="100" w:type="dxa"/>
            <w:vAlign w:val="bottom"/>
          </w:tcPr>
          <w:p>
            <w:pPr>
              <w:spacing w:after="0"/>
              <w:rPr>
                <w:sz w:val="8"/>
                <w:szCs w:val="8"/>
                <w:color w:val="auto"/>
              </w:rPr>
            </w:pPr>
          </w:p>
        </w:tc>
        <w:tc>
          <w:tcPr>
            <w:tcW w:w="1120" w:type="dxa"/>
            <w:vAlign w:val="bottom"/>
            <w:vMerge w:val="restart"/>
          </w:tcPr>
          <w:p>
            <w:pPr>
              <w:jc w:val="center"/>
              <w:ind w:right="39"/>
              <w:spacing w:after="0" w:line="162" w:lineRule="exact"/>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68"/>
        </w:trPr>
        <w:tc>
          <w:tcPr>
            <w:tcW w:w="2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780" w:type="dxa"/>
            <w:vAlign w:val="bottom"/>
            <w:tcBorders>
              <w:right w:val="single" w:sz="8" w:color="auto"/>
            </w:tcBorders>
            <w:gridSpan w:val="4"/>
            <w:vMerge w:val="restart"/>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Stock</w:t>
            </w:r>
          </w:p>
        </w:tc>
        <w:tc>
          <w:tcPr>
            <w:tcW w:w="60" w:type="dxa"/>
            <w:vAlign w:val="bottom"/>
          </w:tcPr>
          <w:p>
            <w:pPr>
              <w:spacing w:after="0"/>
              <w:rPr>
                <w:sz w:val="5"/>
                <w:szCs w:val="5"/>
                <w:color w:val="auto"/>
              </w:rPr>
            </w:pPr>
          </w:p>
        </w:tc>
        <w:tc>
          <w:tcPr>
            <w:tcW w:w="1860" w:type="dxa"/>
            <w:vAlign w:val="bottom"/>
            <w:gridSpan w:val="4"/>
            <w:vMerge w:val="restart"/>
          </w:tcPr>
          <w:p>
            <w:pPr>
              <w:ind w:left="40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80" w:type="dxa"/>
            <w:vAlign w:val="bottom"/>
            <w:vMerge w:val="restart"/>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250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 in thousands, except share</w:t>
            </w:r>
          </w:p>
        </w:tc>
        <w:tc>
          <w:tcPr>
            <w:tcW w:w="1780" w:type="dxa"/>
            <w:vAlign w:val="bottom"/>
            <w:tcBorders>
              <w:bottom w:val="single" w:sz="8" w:color="auto"/>
              <w:right w:val="single" w:sz="8" w:color="auto"/>
            </w:tcBorders>
            <w:gridSpan w:val="4"/>
            <w:vMerge w:val="continue"/>
          </w:tcPr>
          <w:p>
            <w:pPr>
              <w:spacing w:after="0"/>
              <w:rPr>
                <w:sz w:val="12"/>
                <w:szCs w:val="12"/>
                <w:color w:val="auto"/>
              </w:rPr>
            </w:pPr>
          </w:p>
        </w:tc>
        <w:tc>
          <w:tcPr>
            <w:tcW w:w="60" w:type="dxa"/>
            <w:vAlign w:val="bottom"/>
          </w:tcPr>
          <w:p>
            <w:pPr>
              <w:spacing w:after="0"/>
              <w:rPr>
                <w:sz w:val="12"/>
                <w:szCs w:val="12"/>
                <w:color w:val="auto"/>
              </w:rPr>
            </w:pPr>
          </w:p>
        </w:tc>
        <w:tc>
          <w:tcPr>
            <w:tcW w:w="1860" w:type="dxa"/>
            <w:vAlign w:val="bottom"/>
            <w:tcBorders>
              <w:bottom w:val="single" w:sz="8" w:color="auto"/>
            </w:tcBorders>
            <w:gridSpan w:val="4"/>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6"/>
                <w:szCs w:val="16"/>
                <w:b w:val="1"/>
                <w:bCs w:val="1"/>
                <w:color w:val="auto"/>
              </w:rPr>
              <w:t>Paid-in</w:t>
            </w:r>
          </w:p>
        </w:tc>
        <w:tc>
          <w:tcPr>
            <w:tcW w:w="100" w:type="dxa"/>
            <w:vAlign w:val="bottom"/>
          </w:tcPr>
          <w:p>
            <w:pPr>
              <w:spacing w:after="0"/>
              <w:rPr>
                <w:sz w:val="12"/>
                <w:szCs w:val="12"/>
                <w:color w:val="auto"/>
              </w:rPr>
            </w:pPr>
          </w:p>
        </w:tc>
        <w:tc>
          <w:tcPr>
            <w:tcW w:w="116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00" w:type="dxa"/>
            <w:vAlign w:val="bottom"/>
          </w:tcPr>
          <w:p>
            <w:pPr>
              <w:spacing w:after="0"/>
              <w:rPr>
                <w:sz w:val="12"/>
                <w:szCs w:val="12"/>
                <w:color w:val="auto"/>
              </w:rPr>
            </w:pPr>
          </w:p>
        </w:tc>
        <w:tc>
          <w:tcPr>
            <w:tcW w:w="132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00" w:type="dxa"/>
            <w:vAlign w:val="bottom"/>
          </w:tcPr>
          <w:p>
            <w:pPr>
              <w:spacing w:after="0"/>
              <w:rPr>
                <w:sz w:val="12"/>
                <w:szCs w:val="12"/>
                <w:color w:val="auto"/>
              </w:rPr>
            </w:pPr>
          </w:p>
        </w:tc>
        <w:tc>
          <w:tcPr>
            <w:tcW w:w="1120" w:type="dxa"/>
            <w:vAlign w:val="bottom"/>
          </w:tcPr>
          <w:p>
            <w:pPr>
              <w:jc w:val="center"/>
              <w:ind w:right="39"/>
              <w:spacing w:after="0" w:line="142" w:lineRule="exact"/>
              <w:rPr>
                <w:sz w:val="20"/>
                <w:szCs w:val="20"/>
                <w:color w:val="auto"/>
              </w:rPr>
            </w:pPr>
            <w:r>
              <w:rPr>
                <w:rFonts w:ascii="Times New Roman" w:cs="Times New Roman" w:eastAsia="Times New Roman" w:hAnsi="Times New Roman"/>
                <w:sz w:val="16"/>
                <w:szCs w:val="16"/>
                <w:b w:val="1"/>
                <w:bCs w:val="1"/>
                <w:color w:val="auto"/>
              </w:rPr>
              <w:t>Shareholders'</w:t>
            </w:r>
          </w:p>
        </w:tc>
        <w:tc>
          <w:tcPr>
            <w:tcW w:w="0" w:type="dxa"/>
            <w:vAlign w:val="bottom"/>
          </w:tcPr>
          <w:p>
            <w:pPr>
              <w:spacing w:after="0"/>
              <w:rPr>
                <w:sz w:val="1"/>
                <w:szCs w:val="1"/>
                <w:color w:val="auto"/>
              </w:rPr>
            </w:pPr>
          </w:p>
        </w:tc>
      </w:tr>
      <w:tr>
        <w:trPr>
          <w:trHeight w:val="208"/>
        </w:trPr>
        <w:tc>
          <w:tcPr>
            <w:tcW w:w="2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data)</w:t>
            </w:r>
          </w:p>
        </w:tc>
        <w:tc>
          <w:tcPr>
            <w:tcW w:w="8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6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Loss</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225"/>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June 30, 2021</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445,063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right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3,138</w:t>
            </w:r>
          </w:p>
        </w:tc>
        <w:tc>
          <w:tcPr>
            <w:tcW w:w="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71,258,047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462,775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(311,382)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151,393</w:t>
            </w:r>
          </w:p>
        </w:tc>
        <w:tc>
          <w:tcPr>
            <w:tcW w:w="0" w:type="dxa"/>
            <w:vAlign w:val="bottom"/>
          </w:tcPr>
          <w:p>
            <w:pPr>
              <w:spacing w:after="0"/>
              <w:rPr>
                <w:sz w:val="1"/>
                <w:szCs w:val="1"/>
                <w:color w:val="auto"/>
              </w:rPr>
            </w:pPr>
          </w:p>
        </w:tc>
      </w:tr>
      <w:tr>
        <w:trPr>
          <w:trHeight w:val="230"/>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800" w:type="dxa"/>
            <w:vAlign w:val="bottom"/>
            <w:tcBorders>
              <w:right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6,249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320" w:type="dxa"/>
            <w:vAlign w:val="bottom"/>
            <w:gridSpan w:val="2"/>
          </w:tcPr>
          <w:p>
            <w:pPr>
              <w:ind w:left="10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6,249</w:t>
            </w:r>
          </w:p>
        </w:tc>
        <w:tc>
          <w:tcPr>
            <w:tcW w:w="0" w:type="dxa"/>
            <w:vAlign w:val="bottom"/>
          </w:tcPr>
          <w:p>
            <w:pPr>
              <w:spacing w:after="0"/>
              <w:rPr>
                <w:sz w:val="1"/>
                <w:szCs w:val="1"/>
                <w:color w:val="auto"/>
              </w:rPr>
            </w:pPr>
          </w:p>
        </w:tc>
      </w:tr>
      <w:tr>
        <w:trPr>
          <w:trHeight w:val="229"/>
        </w:trPr>
        <w:tc>
          <w:tcPr>
            <w:tcW w:w="2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Vesting of restricted stock</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800" w:type="dxa"/>
            <w:vAlign w:val="bottom"/>
            <w:tcBorders>
              <w:right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127,674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800" w:type="dxa"/>
            <w:vAlign w:val="bottom"/>
            <w:tcBorders>
              <w:right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122,155</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894</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320" w:type="dxa"/>
            <w:vAlign w:val="bottom"/>
            <w:gridSpan w:val="2"/>
          </w:tcPr>
          <w:p>
            <w:pPr>
              <w:ind w:left="10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894</w:t>
            </w:r>
          </w:p>
        </w:tc>
        <w:tc>
          <w:tcPr>
            <w:tcW w:w="0" w:type="dxa"/>
            <w:vAlign w:val="bottom"/>
          </w:tcPr>
          <w:p>
            <w:pPr>
              <w:spacing w:after="0"/>
              <w:rPr>
                <w:sz w:val="1"/>
                <w:szCs w:val="1"/>
                <w:color w:val="auto"/>
              </w:rPr>
            </w:pPr>
          </w:p>
        </w:tc>
      </w:tr>
      <w:tr>
        <w:trPr>
          <w:trHeight w:val="229"/>
        </w:trPr>
        <w:tc>
          <w:tcPr>
            <w:tcW w:w="2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Retirement of stock</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800" w:type="dxa"/>
            <w:vAlign w:val="bottom"/>
            <w:tcBorders>
              <w:right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(319,823)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9"/>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800" w:type="dxa"/>
            <w:vAlign w:val="bottom"/>
            <w:tcBorders>
              <w:right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ind w:left="10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(1,703)</w:t>
            </w:r>
          </w:p>
        </w:tc>
        <w:tc>
          <w:tcPr>
            <w:tcW w:w="0" w:type="dxa"/>
            <w:vAlign w:val="bottom"/>
          </w:tcPr>
          <w:p>
            <w:pPr>
              <w:spacing w:after="0"/>
              <w:rPr>
                <w:sz w:val="1"/>
                <w:szCs w:val="1"/>
                <w:color w:val="auto"/>
              </w:rPr>
            </w:pPr>
          </w:p>
        </w:tc>
      </w:tr>
      <w:tr>
        <w:trPr>
          <w:trHeight w:val="210"/>
        </w:trPr>
        <w:tc>
          <w:tcPr>
            <w:tcW w:w="25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June 30, 2022</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445,063</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right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3,138</w:t>
            </w:r>
          </w:p>
        </w:tc>
        <w:tc>
          <w:tcPr>
            <w:tcW w:w="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71,188,053</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469,918</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(313,085)</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156,833</w:t>
            </w:r>
          </w:p>
        </w:tc>
        <w:tc>
          <w:tcPr>
            <w:tcW w:w="0" w:type="dxa"/>
            <w:vAlign w:val="bottom"/>
          </w:tcPr>
          <w:p>
            <w:pPr>
              <w:spacing w:after="0"/>
              <w:rPr>
                <w:sz w:val="1"/>
                <w:szCs w:val="1"/>
                <w:color w:val="auto"/>
              </w:rPr>
            </w:pPr>
          </w:p>
        </w:tc>
      </w:tr>
      <w:tr>
        <w:trPr>
          <w:trHeight w:val="229"/>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800" w:type="dxa"/>
            <w:vAlign w:val="bottom"/>
            <w:tcBorders>
              <w:right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320" w:type="dxa"/>
            <w:vAlign w:val="bottom"/>
            <w:gridSpan w:val="2"/>
          </w:tcPr>
          <w:p>
            <w:pPr>
              <w:ind w:left="10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4,633</w:t>
            </w:r>
          </w:p>
        </w:tc>
        <w:tc>
          <w:tcPr>
            <w:tcW w:w="0" w:type="dxa"/>
            <w:vAlign w:val="bottom"/>
          </w:tcPr>
          <w:p>
            <w:pPr>
              <w:spacing w:after="0"/>
              <w:rPr>
                <w:sz w:val="1"/>
                <w:szCs w:val="1"/>
                <w:color w:val="auto"/>
              </w:rPr>
            </w:pPr>
          </w:p>
        </w:tc>
      </w:tr>
      <w:tr>
        <w:trPr>
          <w:trHeight w:val="230"/>
        </w:trPr>
        <w:tc>
          <w:tcPr>
            <w:tcW w:w="2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Vesting of restricted stock</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800" w:type="dxa"/>
            <w:vAlign w:val="bottom"/>
            <w:tcBorders>
              <w:right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235,491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5"/>
        </w:trPr>
        <w:tc>
          <w:tcPr>
            <w:tcW w:w="25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Repurchase of Series A</w:t>
            </w: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convertible preferred stock</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(59,281)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Borders>
              <w:right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(418)</w:t>
            </w:r>
          </w:p>
        </w:tc>
        <w:tc>
          <w:tcPr>
            <w:tcW w:w="6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320" w:type="dxa"/>
            <w:vAlign w:val="bottom"/>
            <w:gridSpan w:val="2"/>
          </w:tcPr>
          <w:p>
            <w:pPr>
              <w:ind w:left="10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(1,733)</w:t>
            </w:r>
          </w:p>
        </w:tc>
        <w:tc>
          <w:tcPr>
            <w:tcW w:w="0" w:type="dxa"/>
            <w:vAlign w:val="bottom"/>
          </w:tcPr>
          <w:p>
            <w:pPr>
              <w:spacing w:after="0"/>
              <w:rPr>
                <w:sz w:val="1"/>
                <w:szCs w:val="1"/>
                <w:color w:val="auto"/>
              </w:rPr>
            </w:pPr>
          </w:p>
        </w:tc>
      </w:tr>
      <w:tr>
        <w:trPr>
          <w:trHeight w:val="178"/>
        </w:trPr>
        <w:tc>
          <w:tcPr>
            <w:tcW w:w="2500" w:type="dxa"/>
            <w:vAlign w:val="bottom"/>
            <w:gridSpan w:val="2"/>
            <w:shd w:val="clear" w:color="auto" w:fill="CCEEFF"/>
          </w:tcPr>
          <w:p>
            <w:pPr>
              <w:ind w:left="20"/>
              <w:spacing w:after="0" w:line="178" w:lineRule="exact"/>
              <w:rPr>
                <w:sz w:val="20"/>
                <w:szCs w:val="20"/>
                <w:color w:val="auto"/>
              </w:rPr>
            </w:pPr>
            <w:r>
              <w:rPr>
                <w:rFonts w:ascii="Times New Roman" w:cs="Times New Roman" w:eastAsia="Times New Roman" w:hAnsi="Times New Roman"/>
                <w:sz w:val="18"/>
                <w:szCs w:val="18"/>
                <w:color w:val="auto"/>
              </w:rPr>
              <w:t>Common stock issued for</w:t>
            </w: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800" w:type="dxa"/>
            <w:vAlign w:val="bottom"/>
            <w:tcBorders>
              <w:right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1,240,920</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4,506</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4,506</w:t>
            </w:r>
          </w:p>
        </w:tc>
        <w:tc>
          <w:tcPr>
            <w:tcW w:w="0" w:type="dxa"/>
            <w:vAlign w:val="bottom"/>
          </w:tcPr>
          <w:p>
            <w:pPr>
              <w:spacing w:after="0"/>
              <w:rPr>
                <w:sz w:val="1"/>
                <w:szCs w:val="1"/>
                <w:color w:val="auto"/>
              </w:rPr>
            </w:pPr>
          </w:p>
        </w:tc>
      </w:tr>
      <w:tr>
        <w:trPr>
          <w:trHeight w:val="229"/>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800" w:type="dxa"/>
            <w:vAlign w:val="bottom"/>
            <w:tcBorders>
              <w:right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ind w:left="10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633</w:t>
            </w:r>
          </w:p>
        </w:tc>
        <w:tc>
          <w:tcPr>
            <w:tcW w:w="0" w:type="dxa"/>
            <w:vAlign w:val="bottom"/>
          </w:tcPr>
          <w:p>
            <w:pPr>
              <w:spacing w:after="0"/>
              <w:rPr>
                <w:sz w:val="1"/>
                <w:szCs w:val="1"/>
                <w:color w:val="auto"/>
              </w:rPr>
            </w:pPr>
          </w:p>
        </w:tc>
      </w:tr>
      <w:tr>
        <w:trPr>
          <w:trHeight w:val="210"/>
        </w:trPr>
        <w:tc>
          <w:tcPr>
            <w:tcW w:w="25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June 30, 2023</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385,782</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right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2,720</w:t>
            </w:r>
          </w:p>
        </w:tc>
        <w:tc>
          <w:tcPr>
            <w:tcW w:w="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72,664,464</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477,324</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(312,452)</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164,872</w:t>
            </w:r>
          </w:p>
        </w:tc>
        <w:tc>
          <w:tcPr>
            <w:tcW w:w="0" w:type="dxa"/>
            <w:vAlign w:val="bottom"/>
          </w:tcPr>
          <w:p>
            <w:pPr>
              <w:spacing w:after="0"/>
              <w:rPr>
                <w:sz w:val="1"/>
                <w:szCs w:val="1"/>
                <w:color w:val="auto"/>
              </w:rPr>
            </w:pPr>
          </w:p>
        </w:tc>
      </w:tr>
      <w:tr>
        <w:trPr>
          <w:trHeight w:val="229"/>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800" w:type="dxa"/>
            <w:vAlign w:val="bottom"/>
            <w:tcBorders>
              <w:right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320" w:type="dxa"/>
            <w:vAlign w:val="bottom"/>
            <w:gridSpan w:val="2"/>
          </w:tcPr>
          <w:p>
            <w:pPr>
              <w:ind w:left="10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4,890</w:t>
            </w:r>
          </w:p>
        </w:tc>
        <w:tc>
          <w:tcPr>
            <w:tcW w:w="0" w:type="dxa"/>
            <w:vAlign w:val="bottom"/>
          </w:tcPr>
          <w:p>
            <w:pPr>
              <w:spacing w:after="0"/>
              <w:rPr>
                <w:sz w:val="1"/>
                <w:szCs w:val="1"/>
                <w:color w:val="auto"/>
              </w:rPr>
            </w:pPr>
          </w:p>
        </w:tc>
      </w:tr>
      <w:tr>
        <w:trPr>
          <w:trHeight w:val="229"/>
        </w:trPr>
        <w:tc>
          <w:tcPr>
            <w:tcW w:w="2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Vesting of restricted stock</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800" w:type="dxa"/>
            <w:vAlign w:val="bottom"/>
            <w:tcBorders>
              <w:right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252,699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0"/>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800" w:type="dxa"/>
            <w:vAlign w:val="bottom"/>
            <w:tcBorders>
              <w:right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18,334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320" w:type="dxa"/>
            <w:vAlign w:val="bottom"/>
            <w:gridSpan w:val="2"/>
          </w:tcPr>
          <w:p>
            <w:pPr>
              <w:ind w:left="10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0" w:type="dxa"/>
            <w:vAlign w:val="bottom"/>
          </w:tcPr>
          <w:p>
            <w:pPr>
              <w:spacing w:after="0"/>
              <w:rPr>
                <w:sz w:val="1"/>
                <w:szCs w:val="1"/>
                <w:color w:val="auto"/>
              </w:rPr>
            </w:pPr>
          </w:p>
        </w:tc>
      </w:tr>
      <w:tr>
        <w:trPr>
          <w:trHeight w:val="229"/>
        </w:trPr>
        <w:tc>
          <w:tcPr>
            <w:tcW w:w="2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800" w:type="dxa"/>
            <w:vAlign w:val="bottom"/>
            <w:tcBorders>
              <w:right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(124)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0" w:type="dxa"/>
            <w:vAlign w:val="bottom"/>
          </w:tcPr>
          <w:p>
            <w:pPr>
              <w:spacing w:after="0"/>
              <w:rPr>
                <w:sz w:val="1"/>
                <w:szCs w:val="1"/>
                <w:color w:val="auto"/>
              </w:rPr>
            </w:pPr>
          </w:p>
        </w:tc>
      </w:tr>
      <w:tr>
        <w:trPr>
          <w:trHeight w:val="230"/>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800" w:type="dxa"/>
            <w:vAlign w:val="bottom"/>
            <w:tcBorders>
              <w:right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11,993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ind w:left="10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11,993</w:t>
            </w:r>
          </w:p>
        </w:tc>
        <w:tc>
          <w:tcPr>
            <w:tcW w:w="0" w:type="dxa"/>
            <w:vAlign w:val="bottom"/>
          </w:tcPr>
          <w:p>
            <w:pPr>
              <w:spacing w:after="0"/>
              <w:rPr>
                <w:sz w:val="1"/>
                <w:szCs w:val="1"/>
                <w:color w:val="auto"/>
              </w:rPr>
            </w:pPr>
          </w:p>
        </w:tc>
      </w:tr>
      <w:tr>
        <w:trPr>
          <w:trHeight w:val="235"/>
        </w:trPr>
        <w:tc>
          <w:tcPr>
            <w:tcW w:w="25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June 30, 2024</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385,782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right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2,720</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72,935,497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482,329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(300,459)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(124)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181,746</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See accompanying notes to consolidated financial statements.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46" w:name="page47"/>
    <w:bookmarkEnd w:id="4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Cantaloupe,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02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40"/>
        </w:trPr>
        <w:tc>
          <w:tcPr>
            <w:tcW w:w="70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7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11,993</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633</w:t>
            </w:r>
          </w:p>
        </w:tc>
        <w:tc>
          <w:tcPr>
            <w:tcW w:w="12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(1,703)</w:t>
            </w:r>
          </w:p>
        </w:tc>
        <w:tc>
          <w:tcPr>
            <w:tcW w:w="0" w:type="dxa"/>
            <w:vAlign w:val="bottom"/>
          </w:tcPr>
          <w:p>
            <w:pPr>
              <w:spacing w:after="0"/>
              <w:rPr>
                <w:sz w:val="1"/>
                <w:szCs w:val="1"/>
                <w:color w:val="auto"/>
              </w:rPr>
            </w:pPr>
          </w:p>
        </w:tc>
      </w:tr>
      <w:tr>
        <w:trPr>
          <w:trHeight w:val="21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income (loss) to net cash provided by (used in) operating activities: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0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Stock-based compensation</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5,109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4,737</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6,248</w:t>
            </w:r>
          </w:p>
        </w:tc>
        <w:tc>
          <w:tcPr>
            <w:tcW w:w="0" w:type="dxa"/>
            <w:vAlign w:val="bottom"/>
          </w:tcPr>
          <w:p>
            <w:pPr>
              <w:spacing w:after="0"/>
              <w:rPr>
                <w:sz w:val="1"/>
                <w:szCs w:val="1"/>
                <w:color w:val="auto"/>
              </w:rPr>
            </w:pPr>
          </w:p>
        </w:tc>
      </w:tr>
      <w:tr>
        <w:trPr>
          <w:trHeight w:val="210"/>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Amortization of debt issuance costs and discounts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0" w:type="dxa"/>
            <w:vAlign w:val="bottom"/>
          </w:tcPr>
          <w:p>
            <w:pPr>
              <w:spacing w:after="0"/>
              <w:rPr>
                <w:sz w:val="1"/>
                <w:szCs w:val="1"/>
                <w:color w:val="auto"/>
              </w:rPr>
            </w:pPr>
          </w:p>
        </w:tc>
      </w:tr>
      <w:tr>
        <w:trPr>
          <w:trHeight w:val="195"/>
        </w:trPr>
        <w:tc>
          <w:tcPr>
            <w:tcW w:w="70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Provision for expected losses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5,815</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3,471</w:t>
            </w:r>
          </w:p>
        </w:tc>
        <w:tc>
          <w:tcPr>
            <w:tcW w:w="0" w:type="dxa"/>
            <w:vAlign w:val="bottom"/>
          </w:tcPr>
          <w:p>
            <w:pPr>
              <w:spacing w:after="0"/>
              <w:rPr>
                <w:sz w:val="1"/>
                <w:szCs w:val="1"/>
                <w:color w:val="auto"/>
              </w:rPr>
            </w:pPr>
          </w:p>
        </w:tc>
      </w:tr>
      <w:tr>
        <w:trPr>
          <w:trHeight w:val="210"/>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Provision for inventory reserve</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w:t>
            </w:r>
          </w:p>
        </w:tc>
        <w:tc>
          <w:tcPr>
            <w:tcW w:w="0" w:type="dxa"/>
            <w:vAlign w:val="bottom"/>
          </w:tcPr>
          <w:p>
            <w:pPr>
              <w:spacing w:after="0"/>
              <w:rPr>
                <w:sz w:val="1"/>
                <w:szCs w:val="1"/>
                <w:color w:val="auto"/>
              </w:rPr>
            </w:pPr>
          </w:p>
        </w:tc>
      </w:tr>
      <w:tr>
        <w:trPr>
          <w:trHeight w:val="195"/>
        </w:trPr>
        <w:tc>
          <w:tcPr>
            <w:tcW w:w="70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12,204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8,807</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5,325</w:t>
            </w:r>
          </w:p>
        </w:tc>
        <w:tc>
          <w:tcPr>
            <w:tcW w:w="0" w:type="dxa"/>
            <w:vAlign w:val="bottom"/>
          </w:tcPr>
          <w:p>
            <w:pPr>
              <w:spacing w:after="0"/>
              <w:rPr>
                <w:sz w:val="1"/>
                <w:szCs w:val="1"/>
                <w:color w:val="auto"/>
              </w:rPr>
            </w:pPr>
          </w:p>
        </w:tc>
      </w:tr>
      <w:tr>
        <w:trPr>
          <w:trHeight w:val="210"/>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Property and equipment write-off</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70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Noncash lease expense</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Deferred income taxes and other</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686</w:t>
            </w:r>
          </w:p>
        </w:tc>
        <w:tc>
          <w:tcPr>
            <w:tcW w:w="0" w:type="dxa"/>
            <w:vAlign w:val="bottom"/>
          </w:tcPr>
          <w:p>
            <w:pPr>
              <w:spacing w:after="0"/>
              <w:rPr>
                <w:sz w:val="1"/>
                <w:szCs w:val="1"/>
                <w:color w:val="auto"/>
              </w:rPr>
            </w:pPr>
          </w:p>
        </w:tc>
      </w:tr>
      <w:tr>
        <w:trPr>
          <w:trHeight w:val="195"/>
        </w:trPr>
        <w:tc>
          <w:tcPr>
            <w:tcW w:w="7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Accounts receivable</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(18,542)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(13,649)</w:t>
            </w:r>
          </w:p>
        </w:tc>
        <w:tc>
          <w:tcPr>
            <w:tcW w:w="0" w:type="dxa"/>
            <w:vAlign w:val="bottom"/>
          </w:tcPr>
          <w:p>
            <w:pPr>
              <w:spacing w:after="0"/>
              <w:rPr>
                <w:sz w:val="1"/>
                <w:szCs w:val="1"/>
                <w:color w:val="auto"/>
              </w:rPr>
            </w:pPr>
          </w:p>
        </w:tc>
      </w:tr>
      <w:tr>
        <w:trPr>
          <w:trHeight w:val="195"/>
        </w:trPr>
        <w:tc>
          <w:tcPr>
            <w:tcW w:w="70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Finance receivables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(1,884)</w:t>
            </w:r>
          </w:p>
        </w:tc>
        <w:tc>
          <w:tcPr>
            <w:tcW w:w="0" w:type="dxa"/>
            <w:vAlign w:val="bottom"/>
          </w:tcPr>
          <w:p>
            <w:pPr>
              <w:spacing w:after="0"/>
              <w:rPr>
                <w:sz w:val="1"/>
                <w:szCs w:val="1"/>
                <w:color w:val="auto"/>
              </w:rPr>
            </w:pPr>
          </w:p>
        </w:tc>
      </w:tr>
      <w:tr>
        <w:trPr>
          <w:trHeight w:val="210"/>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Inventory</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(9,447)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(10,387)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(14,064)</w:t>
            </w:r>
          </w:p>
        </w:tc>
        <w:tc>
          <w:tcPr>
            <w:tcW w:w="0" w:type="dxa"/>
            <w:vAlign w:val="bottom"/>
          </w:tcPr>
          <w:p>
            <w:pPr>
              <w:spacing w:after="0"/>
              <w:rPr>
                <w:sz w:val="1"/>
                <w:szCs w:val="1"/>
                <w:color w:val="auto"/>
              </w:rPr>
            </w:pPr>
          </w:p>
        </w:tc>
      </w:tr>
      <w:tr>
        <w:trPr>
          <w:trHeight w:val="195"/>
        </w:trPr>
        <w:tc>
          <w:tcPr>
            <w:tcW w:w="70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(4,262)</w:t>
            </w:r>
          </w:p>
        </w:tc>
        <w:tc>
          <w:tcPr>
            <w:tcW w:w="0" w:type="dxa"/>
            <w:vAlign w:val="bottom"/>
          </w:tcPr>
          <w:p>
            <w:pPr>
              <w:spacing w:after="0"/>
              <w:rPr>
                <w:sz w:val="1"/>
                <w:szCs w:val="1"/>
                <w:color w:val="auto"/>
              </w:rPr>
            </w:pPr>
          </w:p>
        </w:tc>
      </w:tr>
      <w:tr>
        <w:trPr>
          <w:trHeight w:val="210"/>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Accounts payable and accrued expenses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21,131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12,153</w:t>
            </w:r>
          </w:p>
        </w:tc>
        <w:tc>
          <w:tcPr>
            <w:tcW w:w="0" w:type="dxa"/>
            <w:vAlign w:val="bottom"/>
          </w:tcPr>
          <w:p>
            <w:pPr>
              <w:spacing w:after="0"/>
              <w:rPr>
                <w:sz w:val="1"/>
                <w:szCs w:val="1"/>
                <w:color w:val="auto"/>
              </w:rPr>
            </w:pPr>
          </w:p>
        </w:tc>
      </w:tr>
      <w:tr>
        <w:trPr>
          <w:trHeight w:val="195"/>
        </w:trPr>
        <w:tc>
          <w:tcPr>
            <w:tcW w:w="70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(907)</w:t>
            </w:r>
          </w:p>
        </w:tc>
        <w:tc>
          <w:tcPr>
            <w:tcW w:w="0" w:type="dxa"/>
            <w:vAlign w:val="bottom"/>
          </w:tcPr>
          <w:p>
            <w:pPr>
              <w:spacing w:after="0"/>
              <w:rPr>
                <w:sz w:val="1"/>
                <w:szCs w:val="1"/>
                <w:color w:val="auto"/>
              </w:rPr>
            </w:pPr>
          </w:p>
        </w:tc>
      </w:tr>
      <w:tr>
        <w:trPr>
          <w:trHeight w:val="210"/>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Deferred revenue</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0" w:type="dxa"/>
            <w:vAlign w:val="bottom"/>
          </w:tcPr>
          <w:p>
            <w:pPr>
              <w:spacing w:after="0"/>
              <w:rPr>
                <w:sz w:val="1"/>
                <w:szCs w:val="1"/>
                <w:color w:val="auto"/>
              </w:rPr>
            </w:pPr>
          </w:p>
        </w:tc>
      </w:tr>
      <w:tr>
        <w:trPr>
          <w:trHeight w:val="190"/>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cash provided by (used in) operating activities</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27,745</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14,192</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(8,705)</w:t>
            </w:r>
          </w:p>
        </w:tc>
        <w:tc>
          <w:tcPr>
            <w:tcW w:w="0" w:type="dxa"/>
            <w:vAlign w:val="bottom"/>
          </w:tcPr>
          <w:p>
            <w:pPr>
              <w:spacing w:after="0"/>
              <w:rPr>
                <w:sz w:val="1"/>
                <w:szCs w:val="1"/>
                <w:color w:val="auto"/>
              </w:rPr>
            </w:pPr>
          </w:p>
        </w:tc>
      </w:tr>
      <w:tr>
        <w:trPr>
          <w:trHeight w:val="189"/>
        </w:trPr>
        <w:tc>
          <w:tcPr>
            <w:tcW w:w="70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Capital expenditures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(14,935)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(16,151)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(9,260)</w:t>
            </w:r>
          </w:p>
        </w:tc>
        <w:tc>
          <w:tcPr>
            <w:tcW w:w="0" w:type="dxa"/>
            <w:vAlign w:val="bottom"/>
          </w:tcPr>
          <w:p>
            <w:pPr>
              <w:spacing w:after="0"/>
              <w:rPr>
                <w:sz w:val="1"/>
                <w:szCs w:val="1"/>
                <w:color w:val="auto"/>
              </w:rPr>
            </w:pPr>
          </w:p>
        </w:tc>
      </w:tr>
      <w:tr>
        <w:trPr>
          <w:trHeight w:val="196"/>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Acquisition of business, net of cash acquired</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(3,701)</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(35,714)</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(2,966)</w:t>
            </w:r>
          </w:p>
        </w:tc>
        <w:tc>
          <w:tcPr>
            <w:tcW w:w="0" w:type="dxa"/>
            <w:vAlign w:val="bottom"/>
          </w:tcPr>
          <w:p>
            <w:pPr>
              <w:spacing w:after="0"/>
              <w:rPr>
                <w:sz w:val="1"/>
                <w:szCs w:val="1"/>
                <w:color w:val="auto"/>
              </w:rPr>
            </w:pPr>
          </w:p>
        </w:tc>
      </w:tr>
      <w:tr>
        <w:trPr>
          <w:trHeight w:val="196"/>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(18,636)</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(51,865)</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(12,226)</w:t>
            </w:r>
          </w:p>
        </w:tc>
        <w:tc>
          <w:tcPr>
            <w:tcW w:w="0" w:type="dxa"/>
            <w:vAlign w:val="bottom"/>
          </w:tcPr>
          <w:p>
            <w:pPr>
              <w:spacing w:after="0"/>
              <w:rPr>
                <w:sz w:val="1"/>
                <w:szCs w:val="1"/>
                <w:color w:val="auto"/>
              </w:rPr>
            </w:pPr>
          </w:p>
        </w:tc>
      </w:tr>
      <w:tr>
        <w:trPr>
          <w:trHeight w:val="189"/>
        </w:trPr>
        <w:tc>
          <w:tcPr>
            <w:tcW w:w="7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7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long-term debt</w:t>
            </w:r>
          </w:p>
        </w:tc>
        <w:tc>
          <w:tcPr>
            <w:tcW w:w="30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738</w:t>
            </w:r>
          </w:p>
        </w:tc>
        <w:tc>
          <w:tcPr>
            <w:tcW w:w="0" w:type="dxa"/>
            <w:vAlign w:val="bottom"/>
          </w:tcPr>
          <w:p>
            <w:pPr>
              <w:spacing w:after="0"/>
              <w:rPr>
                <w:sz w:val="1"/>
                <w:szCs w:val="1"/>
                <w:color w:val="auto"/>
              </w:rPr>
            </w:pPr>
          </w:p>
        </w:tc>
      </w:tr>
      <w:tr>
        <w:trPr>
          <w:trHeight w:val="21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Repayment of long-term debt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(606)</w:t>
            </w:r>
          </w:p>
        </w:tc>
        <w:tc>
          <w:tcPr>
            <w:tcW w:w="0" w:type="dxa"/>
            <w:vAlign w:val="bottom"/>
          </w:tcPr>
          <w:p>
            <w:pPr>
              <w:spacing w:after="0"/>
              <w:rPr>
                <w:sz w:val="1"/>
                <w:szCs w:val="1"/>
                <w:color w:val="auto"/>
              </w:rPr>
            </w:pPr>
          </w:p>
        </w:tc>
      </w:tr>
      <w:tr>
        <w:trPr>
          <w:trHeight w:val="195"/>
        </w:trPr>
        <w:tc>
          <w:tcPr>
            <w:tcW w:w="7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Contingent consideration paid for acquisition</w:t>
            </w:r>
          </w:p>
        </w:tc>
        <w:tc>
          <w:tcPr>
            <w:tcW w:w="30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Repurchase of Series A Convertible Preferred Stock</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7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Payment of employee taxes related to stock-based compensation</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exercise of common stock options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895</w:t>
            </w:r>
          </w:p>
        </w:tc>
        <w:tc>
          <w:tcPr>
            <w:tcW w:w="0" w:type="dxa"/>
            <w:vAlign w:val="bottom"/>
          </w:tcPr>
          <w:p>
            <w:pPr>
              <w:spacing w:after="0"/>
              <w:rPr>
                <w:sz w:val="1"/>
                <w:szCs w:val="1"/>
                <w:color w:val="auto"/>
              </w:rPr>
            </w:pPr>
          </w:p>
        </w:tc>
      </w:tr>
      <w:tr>
        <w:trPr>
          <w:trHeight w:val="196"/>
        </w:trPr>
        <w:tc>
          <w:tcPr>
            <w:tcW w:w="7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Payment of third-party debt issuance costs</w:t>
            </w:r>
          </w:p>
        </w:tc>
        <w:tc>
          <w:tcPr>
            <w:tcW w:w="30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0" w:type="dxa"/>
            <w:vAlign w:val="bottom"/>
          </w:tcPr>
          <w:p>
            <w:pPr>
              <w:spacing w:after="0"/>
              <w:rPr>
                <w:sz w:val="1"/>
                <w:szCs w:val="1"/>
                <w:color w:val="auto"/>
              </w:rPr>
            </w:pPr>
          </w:p>
        </w:tc>
      </w:tr>
      <w:tr>
        <w:trPr>
          <w:trHeight w:val="196"/>
        </w:trPr>
        <w:tc>
          <w:tcPr>
            <w:tcW w:w="7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provided by financing activities</w:t>
            </w: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(1,058)</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20,475</w:t>
            </w: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920</w:t>
            </w:r>
          </w:p>
        </w:tc>
        <w:tc>
          <w:tcPr>
            <w:tcW w:w="0" w:type="dxa"/>
            <w:vAlign w:val="bottom"/>
          </w:tcPr>
          <w:p>
            <w:pPr>
              <w:spacing w:after="0"/>
              <w:rPr>
                <w:sz w:val="1"/>
                <w:szCs w:val="1"/>
                <w:color w:val="auto"/>
              </w:rPr>
            </w:pPr>
          </w:p>
        </w:tc>
      </w:tr>
      <w:tr>
        <w:trPr>
          <w:trHeight w:val="148"/>
        </w:trPr>
        <w:tc>
          <w:tcPr>
            <w:tcW w:w="7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currency exchange rate changes on cash and cash equivalents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7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7,993</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(17,198)</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(20,011)</w:t>
            </w:r>
          </w:p>
        </w:tc>
        <w:tc>
          <w:tcPr>
            <w:tcW w:w="0" w:type="dxa"/>
            <w:vAlign w:val="bottom"/>
          </w:tcPr>
          <w:p>
            <w:pPr>
              <w:spacing w:after="0"/>
              <w:rPr>
                <w:sz w:val="1"/>
                <w:szCs w:val="1"/>
                <w:color w:val="auto"/>
              </w:rPr>
            </w:pPr>
          </w:p>
        </w:tc>
      </w:tr>
      <w:tr>
        <w:trPr>
          <w:trHeight w:val="196"/>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beginning of year</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50,927</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68,125</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88,136</w:t>
            </w:r>
          </w:p>
        </w:tc>
        <w:tc>
          <w:tcPr>
            <w:tcW w:w="0" w:type="dxa"/>
            <w:vAlign w:val="bottom"/>
          </w:tcPr>
          <w:p>
            <w:pPr>
              <w:spacing w:after="0"/>
              <w:rPr>
                <w:sz w:val="1"/>
                <w:szCs w:val="1"/>
                <w:color w:val="auto"/>
              </w:rPr>
            </w:pPr>
          </w:p>
        </w:tc>
      </w:tr>
      <w:tr>
        <w:trPr>
          <w:trHeight w:val="228"/>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end of year</w:t>
            </w: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58,920</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50,927</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68,125</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7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Supplemental disclosures of cash flow information</w:t>
            </w: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7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paid in cash</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3,656</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2,641</w:t>
            </w:r>
          </w:p>
        </w:tc>
        <w:tc>
          <w:tcPr>
            <w:tcW w:w="12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755</w:t>
            </w:r>
          </w:p>
        </w:tc>
        <w:tc>
          <w:tcPr>
            <w:tcW w:w="0" w:type="dxa"/>
            <w:vAlign w:val="bottom"/>
          </w:tcPr>
          <w:p>
            <w:pPr>
              <w:spacing w:after="0"/>
              <w:rPr>
                <w:sz w:val="1"/>
                <w:szCs w:val="1"/>
                <w:color w:val="auto"/>
              </w:rPr>
            </w:pPr>
          </w:p>
        </w:tc>
      </w:tr>
      <w:tr>
        <w:trPr>
          <w:trHeight w:val="21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taxes paid in cash</w:t>
            </w: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0" w:type="dxa"/>
            <w:vAlign w:val="bottom"/>
          </w:tcPr>
          <w:p>
            <w:pPr>
              <w:spacing w:after="0"/>
              <w:rPr>
                <w:sz w:val="1"/>
                <w:szCs w:val="1"/>
                <w:color w:val="auto"/>
              </w:rPr>
            </w:pPr>
          </w:p>
        </w:tc>
      </w:tr>
      <w:tr>
        <w:trPr>
          <w:trHeight w:val="195"/>
        </w:trPr>
        <w:tc>
          <w:tcPr>
            <w:tcW w:w="7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stock issued in business combination (non-cash financing activity)</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4,506</w:t>
            </w:r>
          </w:p>
        </w:tc>
        <w:tc>
          <w:tcPr>
            <w:tcW w:w="12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7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See accompanying notes to consolidated financial statements.</w:t>
      </w:r>
    </w:p>
    <w:p>
      <w:pPr>
        <w:spacing w:after="0" w:line="200" w:lineRule="exact"/>
        <w:rPr>
          <w:sz w:val="20"/>
          <w:szCs w:val="20"/>
          <w:color w:val="auto"/>
        </w:rPr>
      </w:pP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03" w:right="37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color w:val="auto"/>
        </w:rPr>
        <w:t>Cantaloupe,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BUSINESS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Cantaloupe, Inc., is organized under the laws of the Commonwealth of Pennsylvania. We are a digital payments and software services company that provides end-to-end technology solutions for self-service commerce. We offer a single platform for self-service commerce which includes integrated payments processing and software solutions that handle inventory management, pre-kitting, route logistics, warehouse and back-office management. Our enterprise-wide platform is designed to increase consumer engagement and sales revenue through digital payments, digital advertising and customer loyalty programs, while providing retailers with control and visibility over their operations and inventory. Our customers range from vending machine companies to operators of micro-markets and smart retail, laundromats, metered parking terminals, amusement and entertainment venues, IoT services and more.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 AND PREPARATION</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the Company and its wholly-owned subsidiaries. All intercompany accounts and transactions have been eliminated in consolidation.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have been prepared in accordance with generally accepted accounting principles in the United States of America ("U.S. GAAP") on a going concern basis. In the opinion of management, all adjustments considered necessary for a fair presentation, consisting of normal recurring adjustments, have been included.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operates as one operating segment because its chief operating decision maker, who is the Chief Executive Officer, reviews its financial information on a consolidated basis for purposes of making decisions regarding allocating resources and assessing performance.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operations in the United States, Mexico and the UK. The functional currencies of our foreign wholly-owned subsidiaries are the local currency. We translate the financial statements of these subsidiaries into U.S. dollars each reporting period for purposes of consolidation. Assets and liabilities are translated at the period-end currency exchange rates, certain equity accounts are translated at historical exchange rates and income and expense amounts are translated at average currency exchange rates in effect for the period. The effect of these translation adjustments are reported in Accumulated other comprehensive loss on the Consolidated Statements of Convertible Preferred Stock and Shareholders' Equity.</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Gains and losses on transactions denominated in currencies other than the functional currency are generally included in determining net income for the period. Foreign currency transaction gains and losses were not significant to the financial statements for the years ended June 30, 2024, 2023, and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Statements of Operations: Cost of Sales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a brief description of the various categories within cost of sales:</w:t>
      </w:r>
    </w:p>
    <w:p>
      <w:pPr>
        <w:spacing w:after="0" w:line="250" w:lineRule="exact"/>
        <w:rPr>
          <w:sz w:val="20"/>
          <w:szCs w:val="20"/>
          <w:color w:val="auto"/>
        </w:rPr>
      </w:pPr>
    </w:p>
    <w:p>
      <w:pPr>
        <w:jc w:val="both"/>
        <w:ind w:left="660" w:hanging="328"/>
        <w:spacing w:after="0" w:line="267"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Cost of subscription and transaction fees: </w:t>
      </w:r>
      <w:r>
        <w:rPr>
          <w:rFonts w:ascii="Times New Roman" w:cs="Times New Roman" w:eastAsia="Times New Roman" w:hAnsi="Times New Roman"/>
          <w:sz w:val="18"/>
          <w:szCs w:val="18"/>
          <w:color w:val="auto"/>
        </w:rPr>
        <w:t>Cost of subscription and transaction fees consist of third-party transaction processing fees, interchange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fees, and network service fees. Cost of subscription and transaction fees also includes depreciation expense associated with our Cantaloupe One rental equipment program.</w:t>
      </w:r>
    </w:p>
    <w:p>
      <w:pPr>
        <w:spacing w:after="0" w:line="200" w:lineRule="exact"/>
        <w:rPr>
          <w:rFonts w:ascii="Times New Roman" w:cs="Times New Roman" w:eastAsia="Times New Roman" w:hAnsi="Times New Roman"/>
          <w:sz w:val="18"/>
          <w:szCs w:val="18"/>
          <w:color w:val="auto"/>
        </w:rPr>
      </w:pPr>
    </w:p>
    <w:p>
      <w:pPr>
        <w:ind w:left="660" w:hanging="328"/>
        <w:spacing w:after="0" w:line="284"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Cost of equipment sales: </w:t>
      </w:r>
      <w:r>
        <w:rPr>
          <w:rFonts w:ascii="Times New Roman" w:cs="Times New Roman" w:eastAsia="Times New Roman" w:hAnsi="Times New Roman"/>
          <w:sz w:val="18"/>
          <w:szCs w:val="18"/>
          <w:color w:val="auto"/>
        </w:rPr>
        <w:t>Cost of equipment sales consist primarily of direct costs to acquire finished goods, or for certain products material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fabricate our equipment, as well as freight, taxes, and other inventory acquisition costs.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Statements of Operations: Operating expenses presentation</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Beginning in fiscal year 2023, the Company disaggregated General and administrative costs further by disclosing Integration and acquisition expenses separately. The updated presentation is intended to provide additional transparency to the readers of the financial statements and better align the Company’s financial performance with how management views and monitors business operations and makes strategic decisions. This presentation change did not impact total operating expenses, operating income (loss), net income (loss) or net income (loss) per common share.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color w:val="auto"/>
        </w:rPr>
        <w:t>Below is a brief description of the various categories within operating expenses:</w:t>
      </w:r>
    </w:p>
    <w:p>
      <w:pPr>
        <w:spacing w:after="0" w:line="250" w:lineRule="exact"/>
        <w:rPr>
          <w:sz w:val="20"/>
          <w:szCs w:val="20"/>
          <w:color w:val="auto"/>
        </w:rPr>
      </w:pPr>
    </w:p>
    <w:p>
      <w:pPr>
        <w:jc w:val="both"/>
        <w:ind w:left="660" w:hanging="328"/>
        <w:spacing w:after="0" w:line="267" w:lineRule="auto"/>
        <w:tabs>
          <w:tab w:leader="none" w:pos="655" w:val="left"/>
        </w:tabs>
        <w:numPr>
          <w:ilvl w:val="0"/>
          <w:numId w:val="3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expenses consist primarily of our sales and marketing team personnel costs. In addition, this category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includes fees paid for advertising, trade shows and external consultants who assist in outreach initiatives designed to build brand awareness and showcase the value of our products and services to our opportunity markets.</w:t>
      </w:r>
    </w:p>
    <w:p>
      <w:pPr>
        <w:spacing w:after="0" w:line="200" w:lineRule="exact"/>
        <w:rPr>
          <w:rFonts w:ascii="Times New Roman" w:cs="Times New Roman" w:eastAsia="Times New Roman" w:hAnsi="Times New Roman"/>
          <w:sz w:val="18"/>
          <w:szCs w:val="18"/>
          <w:i w:val="1"/>
          <w:iCs w:val="1"/>
          <w:color w:val="auto"/>
        </w:rPr>
      </w:pPr>
    </w:p>
    <w:p>
      <w:pPr>
        <w:jc w:val="both"/>
        <w:ind w:left="660" w:hanging="328"/>
        <w:spacing w:after="0" w:line="261" w:lineRule="auto"/>
        <w:tabs>
          <w:tab w:leader="none" w:pos="655" w:val="left"/>
        </w:tabs>
        <w:numPr>
          <w:ilvl w:val="0"/>
          <w:numId w:val="3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Technology and product development: </w:t>
      </w:r>
      <w:r>
        <w:rPr>
          <w:rFonts w:ascii="Times New Roman" w:cs="Times New Roman" w:eastAsia="Times New Roman" w:hAnsi="Times New Roman"/>
          <w:sz w:val="18"/>
          <w:szCs w:val="18"/>
          <w:color w:val="auto"/>
        </w:rPr>
        <w:t>Technology and product development expenses consist primarily of our technology and product team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personnel costs and fees paid to external consultants relating to innovating and maintaining our portfolio of products and services and strengthening our network environment and platform. These costs include but are not limited to engineering, platform and software development, fees for software licenses, contract labor and other technology and product related items that are not eligible for capitalization.</w:t>
      </w:r>
    </w:p>
    <w:p>
      <w:pPr>
        <w:spacing w:after="0" w:line="206" w:lineRule="exact"/>
        <w:rPr>
          <w:rFonts w:ascii="Times New Roman" w:cs="Times New Roman" w:eastAsia="Times New Roman" w:hAnsi="Times New Roman"/>
          <w:sz w:val="18"/>
          <w:szCs w:val="18"/>
          <w:i w:val="1"/>
          <w:iCs w:val="1"/>
          <w:color w:val="auto"/>
        </w:rPr>
      </w:pPr>
    </w:p>
    <w:p>
      <w:pPr>
        <w:jc w:val="both"/>
        <w:ind w:left="660" w:hanging="328"/>
        <w:spacing w:after="0" w:line="267" w:lineRule="auto"/>
        <w:tabs>
          <w:tab w:leader="none" w:pos="655" w:val="left"/>
        </w:tabs>
        <w:numPr>
          <w:ilvl w:val="0"/>
          <w:numId w:val="3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consist primarily of our customer support, business operations, finance, legal,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human resources and other administrative personnel costs and fees paid to external consultants for these respective departments. In addition, this category includes rent and occupancy costs and other miscellaneous costs incurred in the course of operating the business.</w:t>
      </w:r>
    </w:p>
    <w:p>
      <w:pPr>
        <w:spacing w:after="0" w:line="240" w:lineRule="exact"/>
        <w:rPr>
          <w:rFonts w:ascii="Times New Roman" w:cs="Times New Roman" w:eastAsia="Times New Roman" w:hAnsi="Times New Roman"/>
          <w:sz w:val="18"/>
          <w:szCs w:val="18"/>
          <w:i w:val="1"/>
          <w:iCs w:val="1"/>
          <w:color w:val="auto"/>
        </w:rPr>
      </w:pPr>
    </w:p>
    <w:p>
      <w:pPr>
        <w:jc w:val="both"/>
        <w:ind w:left="660" w:hanging="328"/>
        <w:spacing w:after="0" w:line="245" w:lineRule="auto"/>
        <w:tabs>
          <w:tab w:leader="none" w:pos="655" w:val="left"/>
        </w:tabs>
        <w:numPr>
          <w:ilvl w:val="0"/>
          <w:numId w:val="30"/>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18"/>
          <w:szCs w:val="18"/>
          <w:i w:val="1"/>
          <w:iCs w:val="1"/>
          <w:color w:val="auto"/>
        </w:rPr>
        <w:t xml:space="preserve">Investigation, proxy solicitation, and restatement expenses, net of insurance recoveries: </w:t>
      </w:r>
      <w:r>
        <w:rPr>
          <w:rFonts w:ascii="Times New Roman" w:cs="Times New Roman" w:eastAsia="Times New Roman" w:hAnsi="Times New Roman"/>
          <w:sz w:val="18"/>
          <w:szCs w:val="18"/>
          <w:color w:val="auto"/>
        </w:rPr>
        <w:t>In fiscal year 2019, the Audit Committee,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assistance of independent legal and forensic accounting advisors, conducted an internal investigation of then-current and prior period matters relating to certain of the Company’s contractual arrangements, including the accounting treatment, financial reporting and internal controls related to such arrangements (the “2019 Investigation”). The Company and former officers incurred additional legal expenses for these periods offset by certain recoveries from insurance policy claims.</w:t>
      </w:r>
    </w:p>
    <w:p>
      <w:pPr>
        <w:spacing w:after="0" w:line="260" w:lineRule="exact"/>
        <w:rPr>
          <w:rFonts w:ascii="Times New Roman" w:cs="Times New Roman" w:eastAsia="Times New Roman" w:hAnsi="Times New Roman"/>
          <w:sz w:val="22"/>
          <w:szCs w:val="22"/>
          <w:i w:val="1"/>
          <w:iCs w:val="1"/>
          <w:color w:val="auto"/>
        </w:rPr>
      </w:pPr>
    </w:p>
    <w:p>
      <w:pPr>
        <w:jc w:val="both"/>
        <w:ind w:left="660" w:hanging="328"/>
        <w:spacing w:after="0"/>
        <w:tabs>
          <w:tab w:leader="none" w:pos="655" w:val="left"/>
        </w:tabs>
        <w:numPr>
          <w:ilvl w:val="0"/>
          <w:numId w:val="30"/>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18"/>
          <w:szCs w:val="18"/>
          <w:i w:val="1"/>
          <w:iCs w:val="1"/>
          <w:color w:val="auto"/>
        </w:rPr>
        <w:t xml:space="preserve">Integration and acquisition: </w:t>
      </w:r>
      <w:r>
        <w:rPr>
          <w:rFonts w:ascii="Times New Roman" w:cs="Times New Roman" w:eastAsia="Times New Roman" w:hAnsi="Times New Roman"/>
          <w:sz w:val="18"/>
          <w:szCs w:val="18"/>
          <w:color w:val="auto"/>
        </w:rPr>
        <w:t>Integration and acquisition expenses consist primarily of professional services fees including accounting, legal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investing banking advisory fees incurred in connection with acquisitions and post-acquisition integrations. See </w:t>
      </w:r>
      <w:r>
        <w:rPr>
          <w:rFonts w:ascii="Times New Roman" w:cs="Times New Roman" w:eastAsia="Times New Roman" w:hAnsi="Times New Roman"/>
          <w:sz w:val="18"/>
          <w:szCs w:val="18"/>
          <w:i w:val="1"/>
          <w:iCs w:val="1"/>
          <w:color w:val="auto"/>
        </w:rPr>
        <w:t>Note 10 - Acquisitions</w:t>
      </w:r>
      <w:r>
        <w:rPr>
          <w:rFonts w:ascii="Times New Roman" w:cs="Times New Roman" w:eastAsia="Times New Roman" w:hAnsi="Times New Roman"/>
          <w:sz w:val="18"/>
          <w:szCs w:val="18"/>
          <w:color w:val="auto"/>
        </w:rPr>
        <w:t xml:space="preserve"> to the consolidated financial statements for further information.</w:t>
      </w:r>
    </w:p>
    <w:p>
      <w:pPr>
        <w:spacing w:after="0" w:line="224" w:lineRule="exact"/>
        <w:rPr>
          <w:rFonts w:ascii="Times New Roman" w:cs="Times New Roman" w:eastAsia="Times New Roman" w:hAnsi="Times New Roman"/>
          <w:sz w:val="22"/>
          <w:szCs w:val="22"/>
          <w:i w:val="1"/>
          <w:iCs w:val="1"/>
          <w:color w:val="auto"/>
        </w:rPr>
      </w:pPr>
    </w:p>
    <w:p>
      <w:pPr>
        <w:jc w:val="both"/>
        <w:ind w:left="660" w:hanging="328"/>
        <w:spacing w:after="0" w:line="261"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Depreciation expense on our property and equipment, amortization of capitalized internal-use software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costs, and amortization expense on our intangible assets are included within the Depreciation and amortization caption in the Consolidated Statements of Operations. Depreciation on property and equipment used for rentals is included in Cost of subscription and transaction fees as described above.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U.S. GAAP requires management to make estimates, assumptions and judgments that affect the amounts reported in the consolidated financial statements and accompanying notes. The Company evaluates these estimates on an ongoing basis.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Estimates, judgments, and assumptions in these consolidated financial statement include, but are not limited to, those related to revenue recognition, capitalization of internal-use software and cloud computing arrangements, fair value of acquired assets and liabilities including goodwill through purchase accounting, evaluation of goodwill and long-lived assets impairment, allowances for accounts and finance receivables, inventory reserves, loss contingencies, income taxes, and sales tax reserves.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equivalents represent all highly liquid investments with original maturities of three months or less from time of purchase. Cash equivalents are comprised of money market funds. The Company maintains its cash in bank deposit accounts where accounts may exceed federally insured limits at times. The Company deems this credit risk not to be significant as cash is held at well-capitalized financial institutions.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Accounts receivable include amounts due to the Company for sales of equipment, other amounts due from customers, merchant service receivables which are receivables due from credit card processors, and unbilled amounts due from customers, net of the allowance for uncollectible accounts. See "Allowance for Accounts and Finance Receivables" section below for details.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i w:val="1"/>
          <w:iCs w:val="1"/>
          <w:color w:val="auto"/>
        </w:rPr>
        <w:t>FINANCE RECEIVABLES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offers extended payment terms to certain customers for equipment sales primarily under its Quick Start Program. Agreements under the Quick Start Program are accounted for as sales-type leases. Accordingly, the discounted future minimum lease payments are classified as finance receivables current and non-current in the Company’s Consolidated Balance Sheets based on whether the balances due within the next 12 months. Finance receivables or Quick Start leases are generally for a sixty-month term. The Company recognizes a portion of the lease payments as Interest income on the Consolidated Statements of Operations based on the effective interest rate method.</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ACCOUNTS AND FINANCE RECEIVABLES</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maintains lifetime expected loss allowances for accounts and finance receivables based on historical experience of payment performance, current conditions of the customer, which is generally less than one year for accounts receivable and five years for finance receivables. We estimate our allowance using an aging analysis (days past due status) of the receivables balances that is primarily based on historical loss experience. Additionally, current conditions are analyzed to determine if the allowance calculation needs to be adjusted further for any qualitative factors impacting a customer’s ability to meet its financial obligations that is not already reflected through the historical loss analysis. The Company writes off finance receivable balances against the allowance for credit losses when management determines the balance is uncollectible and the Company ceases collection efforts. The provision for expected credit losses relating to accounts receivable and finance receivable balances is recorded within General and administrative expenses in the Consolidated Statements of Operations.</w:t>
      </w:r>
    </w:p>
    <w:p>
      <w:pPr>
        <w:spacing w:after="0" w:line="2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writes off accounts and finance receivables balances when management determines the balance is uncollectible and the Company ceases collection efforts.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INVENTORY</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Inventory consists primarily of finished goods. The company's inventories are valued at the lower of cost or net realizable value, using a weighted-average cost method.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establishes reserves for slow-moving inventory based upon quality considerations including potential changes in technological standards, historical usage and assumptions about future demand based on market conditions. The reserve is recorded within Cost of equipment sales in our Consolidated Statements of Operations. The inventory reserve was $2.2 million and $2.3 million as of June 30, 2024 and 2023,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AND EQUIPMENT, NET</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Property and equipment, which primarily consists of computer equipment and software and leased equipment, are recorded at either cost or, in the instance of an acquisition, the estimated fair value on the date of the acquisition, and are depreciated on a straight-line basis over the estimated useful lives of the related assets. Capitalized internal-use software is amortized on the straight-line basis over the estimated useful lives of the software. Leasehold improvements are amortized on the straight-line basis over the lesser of the estimated useful life of the asset or the respective lease term. Depreciation expense on our property and equipment, excluding property and equipment used for rentals, is included in Depreciation and amortization in the Consolidated Statements of Operations. Depreciation expense on our property and equipment used for rentals is included in Cost of subscription and transaction fees in the Consolidated Statements of Operations. Additions and improvements that extend the estimated lives of the assets are capitalized, while expenditures for repairs and maintenance are expensed as incurred.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goodwill represents the excess of cost over fair value of the net assets purchased in acquisitions. We test goodwill for impairment at least annually, or more frequently if events or changes in circumstances indicate that impairment may have occurred. Goodwill is reviewed for impairment utilizing either a qualitative or a quantitative goodwill impairment test. When we perform a qualitative assessment and determine the fair value more likely than not exceeds the carrying value, no further evaluation is necessary. When we perform the quantitative goodwill impairment test, we compare the fair value of our reporting unit to its carrying value. If the fair value of the reporting unit exceeds its carrying value, then goodwill is not considered impaired. An impairment charge is recognized for the amount by which, if any, the carrying value exceeds the reporting unit’s fair value. However, the loss recognized cannot exceed the reporting unit’s goodwill balance.</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50" w:name="page51"/>
    <w:bookmarkEnd w:id="50"/>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performs an annual goodwill impairment test on April 1 and more frequently if events and circumstances indicate that the asset may be impaired. The Company has determined there is a single reporting unit for purposes of testing goodwill for impairment. The Company has concluded there has been no impairment of goodwill during the year ended June 30, 2024 based on its qualitative assessment. There has been no impairment of goodwill for fiscal year 2023 or 2022. Subsequent to our annual impairment test, no indicators of impairment were identified.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INTANGIBLES, NET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intangible assets include trademarks, non-compete agreements, brand names, customer relationships, acquired trade names, acquired developed technology and acquired customer relationships in a business combination. The Company carries these intangibles at cost, less accumulated amortization. Amortization is recorded on a straight-line basis over the estimated useful lives of the respective assets, which span between three and eighteen years, and are included in Depreciation and amortization in the Consolidated Statements of Operations.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than goodwill, there were no indefinite-lived intangible assets at June 30, 2024 or 2023.</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assesses its finite-lived intangible and other long-lived assets for impairment whenever events or changes in circumstances indicate that the carrying amount of such assets may not be recoverable. The carrying amount of an asset is not recoverable if it exceeds the sum of the undiscounted cash flows expected to result from the use and eventual disposition of the asset. Fair value of finite-lived intangible assets and property and equipment is based on various valuation techniques. If the carrying amount of an asset or group of assets exceeds its net realizable value, the asset will be written down to its fair value.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concluded there has been no impairment of intangible and long-lived assets during the years ended June 30, 2024 or 2023.</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FINANCIAL INSTRUMENTS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in the sale of an asset or paid to transfer a liability (an exit price) in an orderly transaction between market participants at the reporting date. The accounting guidance establishes a three-tiered hierarchy, which prioritizes the inputs used in the valuation methodologies in measuring fair value as follows:</w:t>
      </w:r>
    </w:p>
    <w:p>
      <w:pPr>
        <w:spacing w:after="0" w:line="135" w:lineRule="exact"/>
        <w:rPr>
          <w:sz w:val="20"/>
          <w:szCs w:val="20"/>
          <w:color w:val="auto"/>
        </w:rPr>
      </w:pPr>
    </w:p>
    <w:p>
      <w:pPr>
        <w:jc w:val="both"/>
        <w:spacing w:after="0" w:line="245" w:lineRule="exact"/>
        <w:rPr>
          <w:sz w:val="20"/>
          <w:szCs w:val="20"/>
          <w:color w:val="auto"/>
        </w:rPr>
      </w:pPr>
      <w:r>
        <w:rPr>
          <w:rFonts w:ascii="Times New Roman" w:cs="Times New Roman" w:eastAsia="Times New Roman" w:hAnsi="Times New Roman"/>
          <w:sz w:val="18"/>
          <w:szCs w:val="18"/>
          <w:color w:val="auto"/>
        </w:rPr>
        <w:t>Level 1</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Inputs are unadjusted quoted prices in active markets for identical assets or liabilities that the Company has the ability to access at the measurement date.</w:t>
      </w:r>
    </w:p>
    <w:p>
      <w:pPr>
        <w:spacing w:after="0" w:line="158" w:lineRule="exact"/>
        <w:rPr>
          <w:sz w:val="20"/>
          <w:szCs w:val="20"/>
          <w:color w:val="auto"/>
        </w:rPr>
      </w:pPr>
    </w:p>
    <w:p>
      <w:pPr>
        <w:jc w:val="both"/>
        <w:spacing w:after="0" w:line="231" w:lineRule="exact"/>
        <w:rPr>
          <w:sz w:val="20"/>
          <w:szCs w:val="20"/>
          <w:color w:val="auto"/>
        </w:rPr>
      </w:pPr>
      <w:r>
        <w:rPr>
          <w:rFonts w:ascii="Times New Roman" w:cs="Times New Roman" w:eastAsia="Times New Roman" w:hAnsi="Times New Roman"/>
          <w:sz w:val="18"/>
          <w:szCs w:val="18"/>
          <w:color w:val="auto"/>
        </w:rPr>
        <w:t>Level 2</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Inputs are other than quoted prices included within Level 1 that are observable for the asset or liability, either directly or indirectly. Level 2 inputs include quoted prices for similar assets and liabilities in active markets, quoted prices for identical or similar assets or 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159" w:lineRule="exact"/>
        <w:rPr>
          <w:sz w:val="20"/>
          <w:szCs w:val="20"/>
          <w:color w:val="auto"/>
        </w:rPr>
      </w:pPr>
    </w:p>
    <w:p>
      <w:pPr>
        <w:jc w:val="both"/>
        <w:spacing w:after="0" w:line="245" w:lineRule="exact"/>
        <w:rPr>
          <w:sz w:val="20"/>
          <w:szCs w:val="20"/>
          <w:color w:val="auto"/>
        </w:rPr>
      </w:pPr>
      <w:r>
        <w:rPr>
          <w:rFonts w:ascii="Times New Roman" w:cs="Times New Roman" w:eastAsia="Times New Roman" w:hAnsi="Times New Roman"/>
          <w:sz w:val="18"/>
          <w:szCs w:val="18"/>
          <w:color w:val="auto"/>
        </w:rPr>
        <w:t>Level 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Inputs are unobservable and reflect the Company’s assumptions that market participants would use in pricing the asset or liability. The Company develops these inputs based on the best information available.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SIGNIFICANT CUSTOMERS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Concentration of revenue with customers subject the Company to operating risks. Approximately $24.6 million, $28.7 million, and $29.7 million of the Company’s revenue for the years ended June 30, 2024, 2023 and 2022, respectively, were concentrated with one customer, which represented 9%, 12% and 14% of the Company's revenues for each of the years. The Company’s customers are principally located in the United States.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revenue recognition guidance provides a single model to determine when and how revenue is recognized. The core principle of the guidance is that an entity should recognize revenue to depict the transfer of control of promised goods or services to customers in an amount that reflects the consideration to which the entity expects to be entitled in exchange for those goods or services. The Company recognizes revenue using a five-step model resulting in revenue being recognized as performance obligations within a contract have been satisfied. The steps within that model include: (i) identifying the existence of a contract with a customer; (ii) identifying the performance obligations within the contract; (iii) determining the contract’s transaction price;</w:t>
      </w:r>
    </w:p>
    <w:p>
      <w:pPr>
        <w:spacing w:after="0" w:line="3" w:lineRule="exact"/>
        <w:rPr>
          <w:sz w:val="20"/>
          <w:szCs w:val="20"/>
          <w:color w:val="auto"/>
        </w:rPr>
      </w:pPr>
    </w:p>
    <w:p>
      <w:pPr>
        <w:ind w:left="5540" w:right="3360" w:hanging="5532"/>
        <w:spacing w:after="0" w:line="902" w:lineRule="auto"/>
        <w:tabs>
          <w:tab w:leader="none" w:pos="31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allocating the transaction price to the contract’s performance obligations; and, (v) recognizing revenue as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-305435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51" w:name="page52"/>
    <w:bookmarkEnd w:id="51"/>
    <w:p>
      <w:pPr>
        <w:jc w:val="both"/>
        <w:spacing w:after="0" w:line="258" w:lineRule="auto"/>
        <w:rPr>
          <w:sz w:val="20"/>
          <w:szCs w:val="20"/>
          <w:color w:val="auto"/>
        </w:rPr>
      </w:pPr>
      <w:r>
        <w:rPr>
          <w:rFonts w:ascii="Times New Roman" w:cs="Times New Roman" w:eastAsia="Times New Roman" w:hAnsi="Times New Roman"/>
          <w:sz w:val="18"/>
          <w:szCs w:val="18"/>
          <w:color w:val="auto"/>
        </w:rPr>
        <w:t>the contract’s performance obligations are satisfied. Judgment is required to apply the principles-based, five-step model for revenue recognition. Management is required to make certain estimates and assumptions about the Company’s contracts with its customers, including, among others, the nature and extent of its performance obligations, its transaction price amounts and any allocations thereof, and the events which constitute satisfaction of its performance obligations. The standard also requires certain incremental costs incurred to obtain or fulfill a contract to be deferred and amortized on a systematic basis consistent with the transfer of goods or services to the customer.</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provides an end-to-end payment solution which integrates hardware, software, and payment processing in the self-service commerce industry. The Company has contractual agreements with customers that set forth the general terms and conditions of the relationship, including pricing of goods and services, payment terms and contract duration. Revenue is recognized when the obligation under the terms of the Company’s contract with its customer is satisfied and is measured as the amount of consideration the Company expects to receive in exchange for transferring goods or providing services.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provide cashless services in exchange for monthly service fees, in addition to collecting usage-based consideration for completed transactions. Certain contracts we enter into with third-party suppliers where we consider ourselves the principal provide us with the right to access and direct their services when processing a transaction. The Company combines the services provided by third-party suppliers to enable customers to accept cashless payment transactions, indicating that it controls all inputs in directing their use to create the combined service. Additionally, the Company sells cashless payment devices, which are either directly sold or leased through the Company's QuickStart, or Cantaloupe ONE programs.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recognizes fees charged to our customers primarily on a gross basis as transaction revenue when we are the principal in respect of completing a payment transaction. As a principal to the transaction, we control the service of completing payments for our customers through the payment ecosystem. The fees paid to payment processors and other financial institutions are recognized as transaction expenses in Cost of subscription and transaction fees in the Consolidated Statements of Operations. For certain transactions in which we act in the capacity as an agent, these transactions are recorded on a net basis. These are transactions in which the customer is entering into a separate arrangement with a third-party payment processor for the fulfillment of the payment service.</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Cashless services represent a single performance obligation as the combination of the services provided gives the customer the ability to accept cashless payments. The Company’s customers are contracting for integrated cashless services in connection with purchasing or leasing unattended POS devices. The integrated cashless services when combined together are so integral to the customer’s ability to derive benefit from the service, that the activities are effectively inputs to a single promise to the customer. Certain services are distinct, but are not accounted for separately as the rights are coterminous, they are transferred concurrently and the outcome is the same as accounting for the services as individual performance obligations. The single performance obligation is determined to be a stand-ready obligation to process payments whenever a consumer intends to make a purchase at a POS device. As the Company is unable to predict the timing and quantity of transactions to be processed, the assessment of the nature of the performance obligation is focused on each time increment rather than the underlying activity. Therefore, cashless payment processing services are viewed to comprise a series of distinct days of service that are substantially the same and have the same pattern of transfer to the customer. As a result, the promise to stand ready is accounted for as a single performance obligation.</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Revenue related to cashless services is recognized over the period in which services are provided, with usage-based revenue recognized as transactions occur. Consideration for this service includes fixed fees for standing ready to process transactions, and generally also includes usage-based fees, priced as a percentage of transaction value and/or a specified fee per transaction processed. The total transaction price of usage-based services is determined to be variable consideration as it is based on unknown quantities of services to be performed over the contract term. The underlying variability is satisfied each day the service is performed and provided to the customer. Clients are billed for cashless payment processing services on a monthly basis and for transaction processing as transactions occur. Payment is due based on the Company’s standard payment terms which is typically within 30 to 60 days of invoice issuance.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Equipment sales represent a separate performance obligation, the majority of which is satisfied at a point in time through outright sales, or sales-type leases in accordance with ASC 842, “Leases”, when the equipment is delivered to the customer.</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Software represents a separate performance obligation, which is satisfied when each distinct day, or for practical reasons, each distinct month of service is transferred to the customers. Customers are billed for software services on a monthly basis. Payment is due based on the Company’s standard payment terms which is typically within 30 to 60 days of invoice issuance. Revenues related to Cantaloupe ONE equipment are recognized over time as the customer obtains the right to use the equipment through an operating lease. Clients are billed for equipment sales on a monthly basis, with payment due based on the Company’s standard payment terms which is typically within 30 to 60 days of invoice issuance.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52" w:name="page53"/>
    <w:bookmarkEnd w:id="52"/>
    <w:p>
      <w:pPr>
        <w:jc w:val="both"/>
        <w:spacing w:after="0" w:line="261" w:lineRule="auto"/>
        <w:rPr>
          <w:sz w:val="20"/>
          <w:szCs w:val="20"/>
          <w:color w:val="auto"/>
        </w:rPr>
      </w:pPr>
      <w:r>
        <w:rPr>
          <w:rFonts w:ascii="Times New Roman" w:cs="Times New Roman" w:eastAsia="Times New Roman" w:hAnsi="Times New Roman"/>
          <w:sz w:val="18"/>
          <w:szCs w:val="18"/>
          <w:color w:val="auto"/>
        </w:rPr>
        <w:t>Revenue from QuickStart equipment leases are recognized as sales-type leases when equipment is shipped to the customer. Transaction processing revenue is recognized upon the usage of the Company’s cashless payment and control network. Subscription fees for access to the Company’s devices and network services are recognized on a monthly basis when the performance obligation is satisfied. The Company estimates an allowance for subscription and transaction fee refunds on a monthly basis.</w:t>
      </w:r>
    </w:p>
    <w:p>
      <w:pPr>
        <w:spacing w:after="0" w:line="19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Hardware is available to customers under the QuickStart program pursuant to which the customer would enter into a five-year non-cancelable lease with either the Company or a third-party leasing company for the devices. The Company then allocates the transaction price to equipment and software subscription performance obligations in the contract using relative standalone selling prices. The Company determines standalone selling prices based on the price at which a good or service is sold separately. If the standalone selling price is not observable through historic data, the Company estimates the standalone selling price by considering all reasonably available information, including market data, trends, as well as other company- or customer-specific factors. The QuickStart contracts qualify for sales type lease accounting. At lease inception, the Company recognizes revenue and creates a finance receivable in an amount that represents the present value of minimum lease payments. Accordingly, a portion of the lease payments are recognized as interest income. At the end of the lease period, the customer would have the option to purchase the device at its residual value. Any customer payments received in advance and prior to the Company satisfying any performance obligations are recorded as deferred revenue and amortized as revenue is recognized.</w:t>
      </w:r>
    </w:p>
    <w:p>
      <w:pPr>
        <w:spacing w:after="0" w:line="2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will occasionally offer volume discounts, rebates or credits on certain contracts, which is considered variable consideration. The Company uses either the most-likely or estimated value method to estimate the amount of the consideration, based on what the Company expects to better predict the amount of consideration to which it will be entitled to on a contract-by-contract basis. The Company will qualitatively assess if the variable consideration should be limited to prevent possible significant reversals of revenue in future reporting periods.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assesses the goods and/or services promised in each customer contract and separately identifies a performance obligation for each promise to transfer to the customer a distinct good or service. The Company then allocates the transaction price to equipment and software subscription performance obligations in the contract using relative standalone selling prices. The Company determines standalone selling prices based on the price at which a good or service is sold separately. If the standalone selling price is not observable through historic data, the Company estimates the standalone selling price by considering all reasonably available information, including market data, trends, as well as other company- or customer-specific factors.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standard payment terms are payment is due within 30 to 60 days of invoice issuance. The Company uses the practical expedient and does not recognize a significant financing component for payment considerations of less than one year.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Warranties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offers standard warranties that provide the customer with assurance that its equipment will function in accordance with contract specifications. The Company's standard warranties are not sold separately, but are included with each customer purchase. Warranties are not considered separate performance obligations and the related liability is estimated and recorded at the time of sale.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 and Contract Liabilities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contract with a customer creates legal rights and obligations. As the Company satisfies performance obligations under customer contracts, a right to unconditional consideration is recorded as an account receivable.</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Contract liabilities represent consideration received from customers in excess of revenues recognized (i.e., deferred revenue). Contract liabilities are classified as current or non-current based on the nature of the underlying contractual rights and obligations.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Costs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incurs costs to obtain contracts with customers, primarily in the form of commissions to sales employees. The Company recognizes as a contract asset for the incremental costs of obtaining a contract with a customer if it expects to recover these costs. The Company currently does not incur material costs to fulfill its obligations under a contract once it is obtained but before transferring goods or services to the customer. Contract costs are amortized on a systematic basis consistent with the transfer to the customer of the goods or services to which the asset relates. A straight-line or proportional amortization method</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53" w:name="page54"/>
    <w:bookmarkEnd w:id="53"/>
    <w:p>
      <w:pPr>
        <w:jc w:val="both"/>
        <w:spacing w:after="0" w:line="261" w:lineRule="auto"/>
        <w:rPr>
          <w:sz w:val="20"/>
          <w:szCs w:val="20"/>
          <w:color w:val="auto"/>
        </w:rPr>
      </w:pPr>
      <w:r>
        <w:rPr>
          <w:rFonts w:ascii="Times New Roman" w:cs="Times New Roman" w:eastAsia="Times New Roman" w:hAnsi="Times New Roman"/>
          <w:sz w:val="18"/>
          <w:szCs w:val="18"/>
          <w:color w:val="auto"/>
        </w:rPr>
        <w:t>is used depending upon which method best depicts the pattern of transfer of the goods or services to the customer. The Company’s contracts frequently contain performance obligations satisfied at a point in time and overtime. In these instances, the Company amortizes the contract costs proportionally with the timing and pattern of revenue recognition. In addition, these contract costs are evaluated for impairment by comparing, on a pooled basis, the expected future net cash flows from underlying customer relationships to the carrying amount of the capitalized contract costs.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order to determine the appropriate amortization period for contract costs, the Company considers a number of factors, including expected early terminations, estimated terms of customer relationships, the useful lives of technology Cantaloupe uses to provide goods and services to its customers, whether future contract renewals are expected and if there is any incremental commission to be paid on a contract renewal. The Company amortizes these assets over the expected period of benefit. Costs to obtain a contract with an expected period of benefit of one year or less are expensed when incurred.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Lessee Accounting</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The Company has operating and finance leases for office space, warehouses and office equipment. Cantaloupe’s leases have lease terms of one year to eight years and some include options to extend and/or terminate the lease. The exercise of lease renewal options is at the Company’s sole discretion. When deemed reasonably certain of exercise, the renewal options are included in the determination of the lease term. The Company’s lease agreements do not contain any material variable lease payments, material residual value guarantees or any material restrictive covenants.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Right-of-use assets represent the Company’s right to use an underlying asset for the lease term and lease liabilities represent the obligation to make lease payments arising from the operating lease. Operating lease Right-of-Use (“ROU”) assets and liabilities are recognized at commencement date of the lease based on the present value of lease payments over the lease term. The Company uses its incremental borrowing rate, which is the collateralized rate of interest that we would pay to borrow over a similar term an amount equal to the lease payments, to determine the present value of lease payments. The operating lease ROU asset also includes any lease payments made and excludes lease incentives. Cantaloupe has lease agreements with lease and non-lease components. The Company uses the practical expedient related to treating lease and non-lease components as a single lease component for all leases as well as electing a policy exclusion permitting leases with an original lease term of less than one year to be excluded from the ROU assets and lease liabilities. Lease expense for operating lease payments is recognized on a straight-line basis over the lease term.</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Variable lease payments that are not based on an index or that result from changes to an index subsequent to the initial measurement of the corresponding lease liability are not included in the measurement of lease ROU assets or liabilities and instead are recognized in earnings in the period in which the obligation for those payments is incurred.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reviews its ROU assets for events or changes in circumstances that may indicate that the carrying amount of such assets may not be recoverable. The carrying amount of an asset is not recoverable if it exceeds the sum of the undiscounted cash flows expected to result from the use and eventual disposition of the asset. If the carrying amount of an ROU exceeds its net realizable value, the asset will be written down to its fair value. The Company did not recognize an impairment charge related to the right-of-use assets for the years ended June 30, 2024 or 2023.</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Lessor Accounting</w:t>
      </w:r>
    </w:p>
    <w:p>
      <w:pPr>
        <w:spacing w:after="0" w:line="24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The Company offers its customers financing for the lease of our POS electronic payment devices primarily through our QuickStart program. We account for these transactions as sales-type leases under ASC 606, "Revenue from Contracts with Customers". Our sales-type leases generally have a non-cancellable term of 60 months. Certain leases contain an end-of-term purchase option that is generally insignificant and is reasonably certain to be exercised by the lessee. Leases that do not meet the criteria for sales-type lease accounting are accounted for as operating leases, and typically relate to our Cantaloupe ONE rental program. Cantaloupe ONE agreements are 36-month rental agreements that transition to month-to-month agreements after the initial subscription commitment period.</w:t>
      </w:r>
    </w:p>
    <w:p>
      <w:pPr>
        <w:spacing w:after="0" w:line="22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also uses the practical expedient related to treating lease and non-lease components as a single component for those leases where the timing and pattern of transfer for the non-lease component and associated lease component are the same and the stand-alone lease component would be classified as an operating lease if accounted for separately. The combined component is then accounted for under Topic 606 or Topic 842 depending on the predominant characteristic of the combined</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color w:val="auto"/>
        </w:rPr>
        <w:t>component, which was Topic 606 for the Company's operating leases. All QuickStart leases are sales-type and do not qualify for the election.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Lessor consideration is allocated between lease components and the non-lease components using the requirements under Topic 842. Revenue from sales-type leases is recognized upon shipment to the customer and the interest portion is deferred and recognized as earned. The revenues related to the sales-type leases are included in Equipment sales in the Consolidated Statements of Operations and a portion of the lease payments as Interest income. Revenue from operating leases is recognized ratably over the applicable service period in Subscription and transaction fees in the Consolidated Statements of Operations.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Equipment Rental</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offers its customers a rental program for its hardware devices, Cantaloupe ONE platform. In accordance with ASC 842, the Company classifies the rental agreements as operating leases, with service fee revenue related to the leases included in subscription and transaction fees in the Consolidated Statements of Operations. Costs for the Cantaloupe ONE revenue, which consist of depreciation expense on the Cantaloupe ONE equipment, are included in Cost of subscription and transaction fees in the Consolidated Statements of Operations. Equipment utilized by the Cantaloupe ONE program is included in Property and equipment, net on the Consolidated Balance Sheets.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SHIPPING AND HANDLING</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Shipping and handling fees billed to our customers in connection with sales are recorded as revenue. The costs incurred for shipping and handling of our product are recorded as cost of equipment.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ADVERTISING COSTS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Advertising costs are expensed as incurred and are included within the Sales and marketing expenses in the Consolidated Statements of Operations. For the fiscal years ended June 30, 2024, 2023, and 2022, we incurred advertising costs of approximately $1.9 million, $0.8 million and $0.7 million,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are expensed as incurred and primarily consist of personnel, contractors and product development costs. Research and development expenses, which are included within the technology and product development expenses and general and administrative expenses in the Consolidated Statements of Operations, were approximately $3.0 million, $3.5 million and $3.5 million, for the fiscal years ended June 30, 2024, 2023, and 2022, respectively. Our research and development initiatives focus on adding features and functionality to our system solutions through the development and utilization of our processing and reporting network and new technology.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CAPITALIZATION OF INTERNAL-USE SOFTWARE AND CLOUD COMPUTING ARRANGEMENTS</w:t>
      </w:r>
    </w:p>
    <w:p>
      <w:pPr>
        <w:spacing w:after="0" w:line="2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expenditures associated with the technological maintenance and improvement of our network and technology offerings. These expenditures include both the cost of internal employees, who spend portions of their time on various technological projects, and the use of external temporary labor and consultants. Capitalization of internal-use software occurs in the application development stage after the completion of the preliminary project stage, and management authorizes the project, management commits to funding the project, it is probable the project will be completed, and the project will be used to perform the function intended, and it ends at the implementation stage. We are required to assess these expenditures and make a determination as to whether the costs should be expensed as incurred or are subject to capitalization. In making these determinations, we consider the stage of the development project, the probability of successful development and if the development is resulting in increased features and functionality. In addition, if we determine that a project qualifies for capitalization, the amount of capitalization is subject to various estimates, including the amount of time spent on the development work and the cost of internal employees and external consultants. Internal-use software is included within Property and equipment, net on our Consolidated Balance Sheets and is amortized over its estimated useful life, which is typically 3 to 7 years.</w:t>
      </w:r>
    </w:p>
    <w:p>
      <w:pPr>
        <w:spacing w:after="0" w:line="2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capitalize certain costs related to hosting arrangements that are service contracts (cloud computing arrangements) following the internal-use software capitalization criteria described above. Our cloud computing arrangements involve services we use to support internal corporate functions, our platforms and technology offerings. Capitalized costs relating to cloud computing arrangements are included within Prepaid expenses and other current assets, or Other assets for costs that will be recognized in</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5" w:name="page56"/>
    <w:bookmarkEnd w:id="55"/>
    <w:p>
      <w:pPr>
        <w:jc w:val="both"/>
        <w:spacing w:after="0" w:line="282" w:lineRule="auto"/>
        <w:rPr>
          <w:sz w:val="20"/>
          <w:szCs w:val="20"/>
          <w:color w:val="auto"/>
        </w:rPr>
      </w:pPr>
      <w:r>
        <w:rPr>
          <w:rFonts w:ascii="Times New Roman" w:cs="Times New Roman" w:eastAsia="Times New Roman" w:hAnsi="Times New Roman"/>
          <w:sz w:val="18"/>
          <w:szCs w:val="18"/>
          <w:color w:val="auto"/>
        </w:rPr>
        <w:t>more than 12 months, on our Consolidated Balance Sheets and are amortized on a straight-line basis over the estimated useful life, which is typically 3 to 5 years.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cost of services received in exchange for an award of equity instruments related to employees and non-employees is based on the grant-date fair value of the award and allocated over the requisite service period of the award. When the requisite service period precedes the grant date, the Company begins recognizing compensation cost before a grant date is established, and the awards are marked to market until grant date occurs.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costs are recorded within operating expenses in the Consolidated Statements of Operations.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CONTINGENCIES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we are involved in litigation, claims, contingencies and other legal matters. The Company’s management and its legal counsel assess such contingent liabilities, and such assessment inherently involves an exercise of judgment. In assessing loss contingencies related to legal proceedings that are pending against the Company or unasserted claims that may result in such proceedings, the Company's management team evaluates the perceived merits of any legal proceedings or unasserted claims as well as the perceived merits of the amount of relief sought or expected to be sought therein.</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the assessment of a contingency indicates it is probable that a loss has been incurred and the amount of the liability can be estimated, the estimated liability would be accrued in the Company’s financial statements. If the assessment indicates a loss contingency is not probable, but is reasonably possible, or is probable but cannot be estimated, then the nature of the contingent liability, together with an estimate of the range of possible loss if determinable and material, would be disclosed. Loss contingencies considered remote are generally not disclosed unless they involve guarantees, in which case the nature of the guarantee would be disclosed. Expected legal costs associated with assessing or potentially settling a contingent liability are expensed as incurred.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TAX RESERVE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recorded a contingent liability for sales tax, included in Accrued expenses in the Consolidated Balance Sheets. On a quarterly basis, the Company accrues interest on the unpaid balance. The estimated liability is adjusted upon the payment of sales tax related to the accrual, the changes in state tax laws that may impact the accrual and the expiration of the statute of limitations for open years under review. The liability includes significant judgments and estimates that may change in the future, and the actual liability may be different from our current estimate. Changes to the sales tax reserve amount are recorded within General and administrative expenses and Interest expense in the Consolidated Statements of Operations.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Income taxes are computed using the asset and liability method of accounting. Under the asset and liability method, a deferred tax asset or liability is recognized for estimated future tax effects attributable to temporary differences and carryforwards. The measurement of deferred income tax assets is adjusted by a valuation allowance, if necessary, to recognize future tax benefits only to the extent, based on available evidence, it is more likely than not such benefits will be realized.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Tax positions must meet a more-likely-than-not recognition threshold to be recognized. The Company recognizes interest and penalties, if any, related to uncertain tax positions within General and administrative expenses in the Consolidated Statements of Operations. Interest and penalties related to uncertain tax positions incurred during the fiscal years ended June 30, 2024, 2023, and 2022 were immaterial.</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EARNINGS (LOSS) PER COMMON SHARE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Basic earnings (loss) per share are calculated by dividing net income (loss) applicable to common shares by the weighted average common shares outstanding for the period. Diluted earnings (loss) per share are calculated by dividing net income (loss) applicable to common shares by the weighted average common shares outstanding for the period plus the dilutive effects of common stock equivalents unless the effects of such common stock equivalents are anti-dilutive.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i w:val="1"/>
          <w:iCs w:val="1"/>
          <w:color w:val="auto"/>
        </w:rPr>
        <w:t>RECLASSIFICATIONS</w:t>
      </w:r>
    </w:p>
    <w:p>
      <w:pPr>
        <w:spacing w:after="0" w:line="254"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Certain reclassifications have been made to prior years’ reported amounts in order to conform to the current year presentation. These reclassifications did not impact our previously reported net income (loss), stockholders’ equity or cash flows.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pronouncements adopted</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On July 1, 2023, the Company adopted ASU 2021-08, Business Combinations (Topic 805): Accounting for Contract Assets and Contract Liabilities from Contracts with Customers. The standard requires an acquirer to recognize and measure contract assets and contract liabilities acquired in a business combination in accordance with ASC 606, as if it had originated the contracts, rather than at fair value on the acquisition date.le The amendments in ASU 2021-08 were applied to both the 2023 and 2024 acquisitions described in </w:t>
      </w:r>
      <w:r>
        <w:rPr>
          <w:rFonts w:ascii="Times New Roman" w:cs="Times New Roman" w:eastAsia="Times New Roman" w:hAnsi="Times New Roman"/>
          <w:sz w:val="18"/>
          <w:szCs w:val="18"/>
          <w:i w:val="1"/>
          <w:iCs w:val="1"/>
          <w:color w:val="auto"/>
        </w:rPr>
        <w:t>Note 10 - Acquisitions</w:t>
      </w:r>
      <w:r>
        <w:rPr>
          <w:rFonts w:ascii="Times New Roman" w:cs="Times New Roman" w:eastAsia="Times New Roman" w:hAnsi="Times New Roman"/>
          <w:sz w:val="18"/>
          <w:szCs w:val="18"/>
          <w:color w:val="auto"/>
        </w:rPr>
        <w: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pronouncements to be adopted</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evaluating whether the effects of the following recent accounting pronouncements, or any other recently issued but not yet effective accounting standards, will have a material effect on the Company’s consolidated financial position, results of operations or cash flows.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November 2023, the FASB issued ASU 2023-07, which expands reportable segment disclosure requirements, primarily through enhanced disclosures about significant segment expenses. The amendments in the ASU require that a public entity disclose, on an annual and interim basis, significant segment expenses that are regularly provided to an entity's chief operating decision maker (“CODM”), a description of other segment items by reportable segment, and permits disclosure of additional measures of a segment's profit or loss used by the CODM when deciding how to allocate resources. It also requires certain disclosures for companies who have determined only one segment exists. Annual disclosures are required for fiscal years beginning after December 15, 2023, which is the Company's fiscal year 2025 annual reporting period. Interim disclosures are required for periods within fiscal years beginning after December 15, 2024, which is the Company's fiscal year 2026 interim reporting periods. Retrospective application is required for all prior periods presented, and early adoption is permitted. We are currently assessing the impact of the requirements on our consolidated financial statements and disclosures.</w:t>
      </w:r>
    </w:p>
    <w:p>
      <w:pPr>
        <w:spacing w:after="0" w:line="2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This standard was issued to enhance the transparency and decision usefulness of income tax disclosures to provide information to better assess how an entity’s operations and related tax risks and tax planning and operational opportunities affect its tax rate and prospects for future cash flows. The amendments in this ASU address transparency about income tax information through disclosures primarily related to the rate reconciliation and income taxes paid information. The amendments in this ASU are effective for annual periods beginning after December 15, 2024. The ASU should be applied on a prospective basis. Retrospective application is permitted. We are currently evaluating the impact the adoption of the new accounting guidance will have on our income tax disclosures.</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ACCOUNTS RECEIVABLE</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Accounts receivable primarily include amounts due to the Company for sales of equipment and subscription fees to customers, settlement receivables for amounts due from third-party payment processors, receivables from contract manufacturers and unbilled amounts due from customers, net of the allowance for credit losses. Accounts receivable, net of the allowance for uncollectible accounts were $43.8 million as of June 30, 2024 and $30.2 million as of June 30, 2023.</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2024 and June 30, 2023, no customer represented more than 10% of the Company's accounts receivable, net of allowance.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i w:val="1"/>
          <w:iCs w:val="1"/>
          <w:color w:val="auto"/>
        </w:rPr>
        <w:t>Allowance for credit losses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a rollforward of the allowance for credit losses for the years ending June 30, 2024 and 2023:</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52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52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7"/>
        </w:trPr>
        <w:tc>
          <w:tcPr>
            <w:tcW w:w="8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beginning of year</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10,815</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9,328</w:t>
            </w:r>
          </w:p>
        </w:tc>
        <w:tc>
          <w:tcPr>
            <w:tcW w:w="0" w:type="dxa"/>
            <w:vAlign w:val="bottom"/>
          </w:tcPr>
          <w:p>
            <w:pPr>
              <w:spacing w:after="0"/>
              <w:rPr>
                <w:sz w:val="1"/>
                <w:szCs w:val="1"/>
                <w:color w:val="auto"/>
              </w:rPr>
            </w:pPr>
          </w:p>
        </w:tc>
      </w:tr>
      <w:tr>
        <w:trPr>
          <w:trHeight w:val="256"/>
        </w:trPr>
        <w:tc>
          <w:tcPr>
            <w:tcW w:w="85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Provision for expected losses</w:t>
            </w: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4,024</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242424"/>
              </w:rPr>
              <w:t>4,190</w:t>
            </w:r>
          </w:p>
        </w:tc>
        <w:tc>
          <w:tcPr>
            <w:tcW w:w="0" w:type="dxa"/>
            <w:vAlign w:val="bottom"/>
          </w:tcPr>
          <w:p>
            <w:pPr>
              <w:spacing w:after="0"/>
              <w:rPr>
                <w:sz w:val="1"/>
                <w:szCs w:val="1"/>
                <w:color w:val="auto"/>
              </w:rPr>
            </w:pPr>
          </w:p>
        </w:tc>
      </w:tr>
      <w:tr>
        <w:trPr>
          <w:trHeight w:val="257"/>
        </w:trPr>
        <w:tc>
          <w:tcPr>
            <w:tcW w:w="85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Write-offs</w:t>
            </w:r>
          </w:p>
        </w:tc>
        <w:tc>
          <w:tcPr>
            <w:tcW w:w="3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w:t>
            </w:r>
          </w:p>
        </w:tc>
        <w:tc>
          <w:tcPr>
            <w:tcW w:w="10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42424"/>
              </w:rPr>
              <w:t>(2,703)</w:t>
            </w:r>
          </w:p>
        </w:tc>
        <w:tc>
          <w:tcPr>
            <w:tcW w:w="0" w:type="dxa"/>
            <w:vAlign w:val="bottom"/>
          </w:tcPr>
          <w:p>
            <w:pPr>
              <w:spacing w:after="0"/>
              <w:rPr>
                <w:sz w:val="1"/>
                <w:szCs w:val="1"/>
                <w:color w:val="auto"/>
              </w:rPr>
            </w:pPr>
          </w:p>
        </w:tc>
      </w:tr>
      <w:tr>
        <w:trPr>
          <w:trHeight w:val="228"/>
        </w:trPr>
        <w:tc>
          <w:tcPr>
            <w:tcW w:w="85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Balance, end of year</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13,442</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10,815</w:t>
            </w:r>
          </w:p>
        </w:tc>
        <w:tc>
          <w:tcPr>
            <w:tcW w:w="0" w:type="dxa"/>
            <w:vAlign w:val="bottom"/>
          </w:tcPr>
          <w:p>
            <w:pPr>
              <w:spacing w:after="0"/>
              <w:rPr>
                <w:sz w:val="1"/>
                <w:szCs w:val="1"/>
                <w:color w:val="auto"/>
              </w:rPr>
            </w:pPr>
          </w:p>
        </w:tc>
      </w:tr>
      <w:tr>
        <w:trPr>
          <w:trHeight w:val="22"/>
        </w:trPr>
        <w:tc>
          <w:tcPr>
            <w:tcW w:w="8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8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FINANCE RECEIVABLES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finance receivables consist of financed devices under the QuickStart program and devices contractually associated with the Seed platform. Predominately all of the Company’s finance receivables agreements are classified as non-cancellable sixty-month sales-type leases. As of June 30, 2024 and 2023, finance receivables consist of the following:</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48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84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4"/>
        </w:trPr>
        <w:tc>
          <w:tcPr>
            <w:tcW w:w="8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finance receivables, net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6,668</w:t>
            </w:r>
          </w:p>
        </w:tc>
        <w:tc>
          <w:tcPr>
            <w:tcW w:w="0" w:type="dxa"/>
            <w:vAlign w:val="bottom"/>
          </w:tcPr>
          <w:p>
            <w:pPr>
              <w:spacing w:after="0"/>
              <w:rPr>
                <w:sz w:val="1"/>
                <w:szCs w:val="1"/>
                <w:color w:val="auto"/>
              </w:rPr>
            </w:pP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receivables due after one year, net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13,307</w:t>
            </w:r>
          </w:p>
        </w:tc>
        <w:tc>
          <w:tcPr>
            <w:tcW w:w="0" w:type="dxa"/>
            <w:vAlign w:val="bottom"/>
          </w:tcPr>
          <w:p>
            <w:pPr>
              <w:spacing w:after="0"/>
              <w:rPr>
                <w:sz w:val="1"/>
                <w:szCs w:val="1"/>
                <w:color w:val="auto"/>
              </w:rPr>
            </w:pPr>
          </w:p>
        </w:tc>
      </w:tr>
      <w:tr>
        <w:trPr>
          <w:trHeight w:val="27"/>
        </w:trPr>
        <w:tc>
          <w:tcPr>
            <w:tcW w:w="84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finance receivables, net of allowance of $1,934 and $2,098, respectively</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16,427</w:t>
            </w:r>
          </w:p>
        </w:tc>
        <w:tc>
          <w:tcPr>
            <w:tcW w:w="1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19,975</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collects lease payments from customers primarily as part of the flow of funds from our transaction processing service. Balances are considered past due if customers do not have sufficient transaction revenue to cover the monthly lease payment by the end of the monthly billing period.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June 30, 2024, the gross lease receivable by current payment performance on a contractual basis and year of origination consisted of the following:</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60" w:type="dxa"/>
            <w:vAlign w:val="bottom"/>
            <w:gridSpan w:val="5"/>
          </w:tcPr>
          <w:p>
            <w:pPr>
              <w:ind w:left="980"/>
              <w:spacing w:after="0"/>
              <w:rPr>
                <w:sz w:val="20"/>
                <w:szCs w:val="20"/>
                <w:color w:val="auto"/>
              </w:rPr>
            </w:pPr>
            <w:r>
              <w:rPr>
                <w:rFonts w:ascii="Times New Roman" w:cs="Times New Roman" w:eastAsia="Times New Roman" w:hAnsi="Times New Roman"/>
                <w:sz w:val="14"/>
                <w:szCs w:val="14"/>
                <w:b w:val="1"/>
                <w:bCs w:val="1"/>
                <w:color w:val="auto"/>
              </w:rPr>
              <w:t>Leases by Origination</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37"/>
        </w:trPr>
        <w:tc>
          <w:tcPr>
            <w:tcW w:w="216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gridSpan w:val="3"/>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158"/>
        </w:trPr>
        <w:tc>
          <w:tcPr>
            <w:tcW w:w="2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3"/>
          </w:tcPr>
          <w:p>
            <w:pPr>
              <w:jc w:val="center"/>
              <w:ind w:right="120"/>
              <w:spacing w:after="0" w:line="158" w:lineRule="exact"/>
              <w:rPr>
                <w:sz w:val="20"/>
                <w:szCs w:val="20"/>
                <w:color w:val="auto"/>
              </w:rPr>
            </w:pPr>
            <w:r>
              <w:rPr>
                <w:rFonts w:ascii="Times New Roman" w:cs="Times New Roman" w:eastAsia="Times New Roman" w:hAnsi="Times New Roman"/>
                <w:sz w:val="14"/>
                <w:szCs w:val="14"/>
                <w:b w:val="1"/>
                <w:bCs w:val="1"/>
                <w:color w:val="auto"/>
              </w:rPr>
              <w:t>Between 1 and 2</w:t>
            </w:r>
          </w:p>
        </w:tc>
        <w:tc>
          <w:tcPr>
            <w:tcW w:w="100" w:type="dxa"/>
            <w:vAlign w:val="bottom"/>
          </w:tcPr>
          <w:p>
            <w:pPr>
              <w:spacing w:after="0"/>
              <w:rPr>
                <w:sz w:val="13"/>
                <w:szCs w:val="13"/>
                <w:color w:val="auto"/>
              </w:rPr>
            </w:pPr>
          </w:p>
        </w:tc>
        <w:tc>
          <w:tcPr>
            <w:tcW w:w="1240" w:type="dxa"/>
            <w:vAlign w:val="bottom"/>
            <w:gridSpan w:val="2"/>
          </w:tcPr>
          <w:p>
            <w:pPr>
              <w:jc w:val="center"/>
              <w:ind w:right="200"/>
              <w:spacing w:after="0" w:line="158" w:lineRule="exact"/>
              <w:rPr>
                <w:sz w:val="20"/>
                <w:szCs w:val="20"/>
                <w:color w:val="auto"/>
              </w:rPr>
            </w:pPr>
            <w:r>
              <w:rPr>
                <w:rFonts w:ascii="Times New Roman" w:cs="Times New Roman" w:eastAsia="Times New Roman" w:hAnsi="Times New Roman"/>
                <w:sz w:val="14"/>
                <w:szCs w:val="14"/>
                <w:b w:val="1"/>
                <w:bCs w:val="1"/>
                <w:color w:val="auto"/>
              </w:rPr>
              <w:t>Between 2 and 3</w:t>
            </w:r>
          </w:p>
        </w:tc>
        <w:tc>
          <w:tcPr>
            <w:tcW w:w="120" w:type="dxa"/>
            <w:vAlign w:val="bottom"/>
          </w:tcPr>
          <w:p>
            <w:pPr>
              <w:spacing w:after="0"/>
              <w:rPr>
                <w:sz w:val="13"/>
                <w:szCs w:val="13"/>
                <w:color w:val="auto"/>
              </w:rPr>
            </w:pPr>
          </w:p>
        </w:tc>
        <w:tc>
          <w:tcPr>
            <w:tcW w:w="1200" w:type="dxa"/>
            <w:vAlign w:val="bottom"/>
            <w:gridSpan w:val="2"/>
          </w:tcPr>
          <w:p>
            <w:pPr>
              <w:jc w:val="center"/>
              <w:ind w:right="200"/>
              <w:spacing w:after="0" w:line="158" w:lineRule="exact"/>
              <w:rPr>
                <w:sz w:val="20"/>
                <w:szCs w:val="20"/>
                <w:color w:val="auto"/>
              </w:rPr>
            </w:pPr>
            <w:r>
              <w:rPr>
                <w:rFonts w:ascii="Times New Roman" w:cs="Times New Roman" w:eastAsia="Times New Roman" w:hAnsi="Times New Roman"/>
                <w:sz w:val="14"/>
                <w:szCs w:val="14"/>
                <w:b w:val="1"/>
                <w:bCs w:val="1"/>
                <w:color w:val="auto"/>
              </w:rPr>
              <w:t>Between 3 and 4</w:t>
            </w:r>
          </w:p>
        </w:tc>
        <w:tc>
          <w:tcPr>
            <w:tcW w:w="120" w:type="dxa"/>
            <w:vAlign w:val="bottom"/>
          </w:tcPr>
          <w:p>
            <w:pPr>
              <w:spacing w:after="0"/>
              <w:rPr>
                <w:sz w:val="13"/>
                <w:szCs w:val="13"/>
                <w:color w:val="auto"/>
              </w:rPr>
            </w:pPr>
          </w:p>
        </w:tc>
        <w:tc>
          <w:tcPr>
            <w:tcW w:w="122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4"/>
                <w:szCs w:val="14"/>
                <w:b w:val="1"/>
                <w:bCs w:val="1"/>
                <w:color w:val="auto"/>
              </w:rPr>
              <w:t>Between 4 and 5</w:t>
            </w:r>
          </w:p>
        </w:tc>
        <w:tc>
          <w:tcPr>
            <w:tcW w:w="140" w:type="dxa"/>
            <w:vAlign w:val="bottom"/>
          </w:tcPr>
          <w:p>
            <w:pPr>
              <w:spacing w:after="0"/>
              <w:rPr>
                <w:sz w:val="13"/>
                <w:szCs w:val="13"/>
                <w:color w:val="auto"/>
              </w:rPr>
            </w:pPr>
          </w:p>
        </w:tc>
        <w:tc>
          <w:tcPr>
            <w:tcW w:w="110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4"/>
                <w:szCs w:val="14"/>
                <w:b w:val="1"/>
                <w:bCs w:val="1"/>
                <w:color w:val="auto"/>
              </w:rPr>
              <w:t>More than 5</w:t>
            </w: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204"/>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3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Up to 1 Year Ago</w:t>
            </w:r>
          </w:p>
        </w:tc>
        <w:tc>
          <w:tcPr>
            <w:tcW w:w="200" w:type="dxa"/>
            <w:vAlign w:val="bottom"/>
          </w:tcPr>
          <w:p>
            <w:pPr>
              <w:spacing w:after="0"/>
              <w:rPr>
                <w:sz w:val="17"/>
                <w:szCs w:val="17"/>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Years Ago</w:t>
            </w:r>
          </w:p>
        </w:tc>
        <w:tc>
          <w:tcPr>
            <w:tcW w:w="10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Years Ago</w:t>
            </w:r>
          </w:p>
        </w:tc>
        <w:tc>
          <w:tcPr>
            <w:tcW w:w="120" w:type="dxa"/>
            <w:vAlign w:val="bottom"/>
          </w:tcPr>
          <w:p>
            <w:pPr>
              <w:spacing w:after="0"/>
              <w:rPr>
                <w:sz w:val="17"/>
                <w:szCs w:val="17"/>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Years Ago</w:t>
            </w:r>
          </w:p>
        </w:tc>
        <w:tc>
          <w:tcPr>
            <w:tcW w:w="120" w:type="dxa"/>
            <w:vAlign w:val="bottom"/>
          </w:tcPr>
          <w:p>
            <w:pPr>
              <w:spacing w:after="0"/>
              <w:rPr>
                <w:sz w:val="17"/>
                <w:szCs w:val="17"/>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Years Ago</w:t>
            </w:r>
          </w:p>
        </w:tc>
        <w:tc>
          <w:tcPr>
            <w:tcW w:w="14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Years Ago</w:t>
            </w:r>
          </w:p>
        </w:tc>
        <w:tc>
          <w:tcPr>
            <w:tcW w:w="240" w:type="dxa"/>
            <w:vAlign w:val="bottom"/>
          </w:tcPr>
          <w:p>
            <w:pPr>
              <w:spacing w:after="0"/>
              <w:rPr>
                <w:sz w:val="17"/>
                <w:szCs w:val="17"/>
                <w:color w:val="auto"/>
              </w:rPr>
            </w:pPr>
          </w:p>
        </w:tc>
        <w:tc>
          <w:tcPr>
            <w:tcW w:w="80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21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34"/>
        </w:trPr>
        <w:tc>
          <w:tcPr>
            <w:tcW w:w="2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2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440" w:type="dxa"/>
            <w:vAlign w:val="bottom"/>
            <w:tcBorders>
              <w:bottom w:val="single" w:sz="8" w:color="CCEEFF"/>
            </w:tcBorders>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14,743</w:t>
            </w:r>
          </w:p>
        </w:tc>
      </w:tr>
      <w:tr>
        <w:trPr>
          <w:trHeight w:val="243"/>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30 days and under</w:t>
            </w:r>
          </w:p>
        </w:tc>
        <w:tc>
          <w:tcPr>
            <w:tcW w:w="4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r>
      <w:tr>
        <w:trPr>
          <w:trHeight w:val="27"/>
        </w:trPr>
        <w:tc>
          <w:tcPr>
            <w:tcW w:w="2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2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31 - 60 days</w:t>
            </w:r>
          </w:p>
        </w:tc>
        <w:tc>
          <w:tcPr>
            <w:tcW w:w="4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r>
      <w:tr>
        <w:trPr>
          <w:trHeight w:val="243"/>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61 - 90 days</w:t>
            </w:r>
          </w:p>
        </w:tc>
        <w:tc>
          <w:tcPr>
            <w:tcW w:w="4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r>
      <w:tr>
        <w:trPr>
          <w:trHeight w:val="27"/>
        </w:trPr>
        <w:tc>
          <w:tcPr>
            <w:tcW w:w="2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2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Greater than 90 days</w:t>
            </w:r>
          </w:p>
        </w:tc>
        <w:tc>
          <w:tcPr>
            <w:tcW w:w="4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2,787</w:t>
            </w:r>
          </w:p>
        </w:tc>
      </w:tr>
      <w:tr>
        <w:trPr>
          <w:trHeight w:val="263"/>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finance receivables</w:t>
            </w:r>
          </w:p>
        </w:tc>
        <w:tc>
          <w:tcPr>
            <w:tcW w:w="440" w:type="dxa"/>
            <w:vAlign w:val="bottom"/>
            <w:tcBorders>
              <w:top w:val="single" w:sz="8" w:color="auto"/>
              <w:bottom w:val="single" w:sz="8" w:color="auto"/>
            </w:tcBorders>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2,263</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5,715</w:t>
            </w:r>
          </w:p>
        </w:tc>
        <w:tc>
          <w:tcPr>
            <w:tcW w:w="12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5,479</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2,335</w:t>
            </w:r>
          </w:p>
        </w:tc>
        <w:tc>
          <w:tcPr>
            <w:tcW w:w="8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1,677</w:t>
            </w:r>
          </w:p>
        </w:tc>
        <w:tc>
          <w:tcPr>
            <w:tcW w:w="8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18,361</w:t>
            </w:r>
          </w:p>
        </w:tc>
      </w:tr>
      <w:tr>
        <w:trPr>
          <w:trHeight w:val="21"/>
        </w:trPr>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58" w:name="page59"/>
    <w:bookmarkEnd w:id="58"/>
    <w:p>
      <w:pPr>
        <w:ind w:right="2400"/>
        <w:spacing w:after="0" w:line="278" w:lineRule="auto"/>
        <w:rPr>
          <w:sz w:val="20"/>
          <w:szCs w:val="20"/>
          <w:color w:val="auto"/>
        </w:rPr>
      </w:pPr>
      <w:r>
        <w:rPr>
          <w:rFonts w:ascii="Times New Roman" w:cs="Times New Roman" w:eastAsia="Times New Roman" w:hAnsi="Times New Roman"/>
          <w:sz w:val="18"/>
          <w:szCs w:val="18"/>
          <w:color w:val="auto"/>
        </w:rPr>
        <w:t>At June 30, 2023, the gross lease receivable by current payment performance on a contractual basis and year of origination consisted of the following:</w:t>
      </w:r>
    </w:p>
    <w:tbl>
      <w:tblPr>
        <w:tblLayout w:type="fixed"/>
        <w:tblInd w:w="0" w:type="dxa"/>
        <w:tblCellMar>
          <w:top w:w="0" w:type="dxa"/>
          <w:left w:w="0" w:type="dxa"/>
          <w:bottom w:w="0" w:type="dxa"/>
          <w:right w:w="0" w:type="dxa"/>
        </w:tblCellMar>
      </w:tblPr>
      <w:tr>
        <w:trPr>
          <w:trHeight w:val="190"/>
        </w:trPr>
        <w:tc>
          <w:tcPr>
            <w:tcW w:w="2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80" w:type="dxa"/>
            <w:vAlign w:val="bottom"/>
            <w:gridSpan w:val="5"/>
          </w:tcPr>
          <w:p>
            <w:pPr>
              <w:ind w:left="800"/>
              <w:spacing w:after="0"/>
              <w:rPr>
                <w:sz w:val="20"/>
                <w:szCs w:val="20"/>
                <w:color w:val="auto"/>
              </w:rPr>
            </w:pPr>
            <w:r>
              <w:rPr>
                <w:rFonts w:ascii="Times New Roman" w:cs="Times New Roman" w:eastAsia="Times New Roman" w:hAnsi="Times New Roman"/>
                <w:sz w:val="14"/>
                <w:szCs w:val="14"/>
                <w:b w:val="1"/>
                <w:bCs w:val="1"/>
                <w:color w:val="auto"/>
              </w:rPr>
              <w:t>Leases by Origination</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37"/>
        </w:trPr>
        <w:tc>
          <w:tcPr>
            <w:tcW w:w="214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gridSpan w:val="2"/>
          </w:tcPr>
          <w:p>
            <w:pPr>
              <w:spacing w:after="0"/>
              <w:rPr>
                <w:sz w:val="3"/>
                <w:szCs w:val="3"/>
                <w:color w:val="auto"/>
              </w:rPr>
            </w:pPr>
          </w:p>
        </w:tc>
        <w:tc>
          <w:tcPr>
            <w:tcW w:w="1360" w:type="dxa"/>
            <w:vAlign w:val="bottom"/>
            <w:tcBorders>
              <w:bottom w:val="single" w:sz="8" w:color="auto"/>
            </w:tcBorders>
            <w:gridSpan w:val="3"/>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gridSpan w:val="2"/>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r>
      <w:tr>
        <w:trPr>
          <w:trHeight w:val="158"/>
        </w:trPr>
        <w:tc>
          <w:tcPr>
            <w:tcW w:w="2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4"/>
                <w:szCs w:val="14"/>
                <w:b w:val="1"/>
                <w:bCs w:val="1"/>
                <w:color w:val="auto"/>
              </w:rPr>
              <w:t>Between 1 and 2</w:t>
            </w:r>
          </w:p>
        </w:tc>
        <w:tc>
          <w:tcPr>
            <w:tcW w:w="1360" w:type="dxa"/>
            <w:vAlign w:val="bottom"/>
            <w:gridSpan w:val="3"/>
          </w:tcPr>
          <w:p>
            <w:pPr>
              <w:jc w:val="center"/>
              <w:ind w:right="120"/>
              <w:spacing w:after="0" w:line="158" w:lineRule="exact"/>
              <w:rPr>
                <w:sz w:val="20"/>
                <w:szCs w:val="20"/>
                <w:color w:val="auto"/>
              </w:rPr>
            </w:pPr>
            <w:r>
              <w:rPr>
                <w:rFonts w:ascii="Times New Roman" w:cs="Times New Roman" w:eastAsia="Times New Roman" w:hAnsi="Times New Roman"/>
                <w:sz w:val="14"/>
                <w:szCs w:val="14"/>
                <w:b w:val="1"/>
                <w:bCs w:val="1"/>
                <w:color w:val="auto"/>
              </w:rPr>
              <w:t>Between 2 and 3</w:t>
            </w:r>
          </w:p>
        </w:tc>
        <w:tc>
          <w:tcPr>
            <w:tcW w:w="100" w:type="dxa"/>
            <w:vAlign w:val="bottom"/>
          </w:tcPr>
          <w:p>
            <w:pPr>
              <w:spacing w:after="0"/>
              <w:rPr>
                <w:sz w:val="13"/>
                <w:szCs w:val="13"/>
                <w:color w:val="auto"/>
              </w:rPr>
            </w:pPr>
          </w:p>
        </w:tc>
        <w:tc>
          <w:tcPr>
            <w:tcW w:w="122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4"/>
                <w:szCs w:val="14"/>
                <w:b w:val="1"/>
                <w:bCs w:val="1"/>
                <w:color w:val="auto"/>
              </w:rPr>
              <w:t>Between 3 and 4</w:t>
            </w:r>
          </w:p>
        </w:tc>
        <w:tc>
          <w:tcPr>
            <w:tcW w:w="80" w:type="dxa"/>
            <w:vAlign w:val="bottom"/>
          </w:tcPr>
          <w:p>
            <w:pPr>
              <w:spacing w:after="0"/>
              <w:rPr>
                <w:sz w:val="13"/>
                <w:szCs w:val="13"/>
                <w:color w:val="auto"/>
              </w:rPr>
            </w:pPr>
          </w:p>
        </w:tc>
        <w:tc>
          <w:tcPr>
            <w:tcW w:w="1140" w:type="dxa"/>
            <w:vAlign w:val="bottom"/>
            <w:gridSpan w:val="2"/>
          </w:tcPr>
          <w:p>
            <w:pPr>
              <w:ind w:left="20"/>
              <w:spacing w:after="0" w:line="158" w:lineRule="exact"/>
              <w:rPr>
                <w:sz w:val="20"/>
                <w:szCs w:val="20"/>
                <w:color w:val="auto"/>
              </w:rPr>
            </w:pPr>
            <w:r>
              <w:rPr>
                <w:rFonts w:ascii="Times New Roman" w:cs="Times New Roman" w:eastAsia="Times New Roman" w:hAnsi="Times New Roman"/>
                <w:sz w:val="14"/>
                <w:szCs w:val="14"/>
                <w:b w:val="1"/>
                <w:bCs w:val="1"/>
                <w:color w:val="auto"/>
              </w:rPr>
              <w:t>Between 4 and 5</w:t>
            </w:r>
          </w:p>
        </w:tc>
        <w:tc>
          <w:tcPr>
            <w:tcW w:w="100" w:type="dxa"/>
            <w:vAlign w:val="bottom"/>
          </w:tcPr>
          <w:p>
            <w:pPr>
              <w:spacing w:after="0"/>
              <w:rPr>
                <w:sz w:val="13"/>
                <w:szCs w:val="13"/>
                <w:color w:val="auto"/>
              </w:rPr>
            </w:pPr>
          </w:p>
        </w:tc>
        <w:tc>
          <w:tcPr>
            <w:tcW w:w="1260" w:type="dxa"/>
            <w:vAlign w:val="bottom"/>
            <w:gridSpan w:val="5"/>
          </w:tcPr>
          <w:p>
            <w:pPr>
              <w:jc w:val="center"/>
              <w:ind w:right="80"/>
              <w:spacing w:after="0" w:line="158" w:lineRule="exact"/>
              <w:rPr>
                <w:sz w:val="20"/>
                <w:szCs w:val="20"/>
                <w:color w:val="auto"/>
              </w:rPr>
            </w:pPr>
            <w:r>
              <w:rPr>
                <w:rFonts w:ascii="Times New Roman" w:cs="Times New Roman" w:eastAsia="Times New Roman" w:hAnsi="Times New Roman"/>
                <w:sz w:val="14"/>
                <w:szCs w:val="14"/>
                <w:b w:val="1"/>
                <w:bCs w:val="1"/>
                <w:color w:val="auto"/>
              </w:rPr>
              <w:t>More than 5 Years</w:t>
            </w: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04"/>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3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Up to 1 Year Ago</w:t>
            </w:r>
          </w:p>
        </w:tc>
        <w:tc>
          <w:tcPr>
            <w:tcW w:w="100" w:type="dxa"/>
            <w:vAlign w:val="bottom"/>
          </w:tcPr>
          <w:p>
            <w:pPr>
              <w:spacing w:after="0"/>
              <w:rPr>
                <w:sz w:val="17"/>
                <w:szCs w:val="17"/>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Years Ago</w:t>
            </w:r>
          </w:p>
        </w:tc>
        <w:tc>
          <w:tcPr>
            <w:tcW w:w="300" w:type="dxa"/>
            <w:vAlign w:val="bottom"/>
          </w:tcPr>
          <w:p>
            <w:pPr>
              <w:spacing w:after="0"/>
              <w:rPr>
                <w:sz w:val="17"/>
                <w:szCs w:val="17"/>
                <w:color w:val="auto"/>
              </w:rPr>
            </w:pPr>
          </w:p>
        </w:tc>
        <w:tc>
          <w:tcPr>
            <w:tcW w:w="10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Years Ago</w:t>
            </w:r>
          </w:p>
        </w:tc>
        <w:tc>
          <w:tcPr>
            <w:tcW w:w="100" w:type="dxa"/>
            <w:vAlign w:val="bottom"/>
          </w:tcPr>
          <w:p>
            <w:pPr>
              <w:spacing w:after="0"/>
              <w:rPr>
                <w:sz w:val="17"/>
                <w:szCs w:val="17"/>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Years Ago</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w w:val="98"/>
              </w:rPr>
              <w:t>Years Ago</w:t>
            </w:r>
          </w:p>
        </w:tc>
        <w:tc>
          <w:tcPr>
            <w:tcW w:w="100" w:type="dxa"/>
            <w:vAlign w:val="bottom"/>
          </w:tcPr>
          <w:p>
            <w:pPr>
              <w:spacing w:after="0"/>
              <w:rPr>
                <w:sz w:val="17"/>
                <w:szCs w:val="17"/>
                <w:color w:val="auto"/>
              </w:rPr>
            </w:pPr>
          </w:p>
        </w:tc>
        <w:tc>
          <w:tcPr>
            <w:tcW w:w="126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Ago</w:t>
            </w:r>
          </w:p>
        </w:tc>
        <w:tc>
          <w:tcPr>
            <w:tcW w:w="220" w:type="dxa"/>
            <w:vAlign w:val="bottom"/>
          </w:tcPr>
          <w:p>
            <w:pPr>
              <w:spacing w:after="0"/>
              <w:rPr>
                <w:sz w:val="17"/>
                <w:szCs w:val="17"/>
                <w:color w:val="auto"/>
              </w:rPr>
            </w:pPr>
          </w:p>
        </w:tc>
        <w:tc>
          <w:tcPr>
            <w:tcW w:w="8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21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r>
      <w:tr>
        <w:trPr>
          <w:trHeight w:val="34"/>
        </w:trPr>
        <w:tc>
          <w:tcPr>
            <w:tcW w:w="2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2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30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60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19,385</w:t>
            </w:r>
          </w:p>
        </w:tc>
        <w:tc>
          <w:tcPr>
            <w:tcW w:w="60" w:type="dxa"/>
            <w:vAlign w:val="bottom"/>
          </w:tcPr>
          <w:p>
            <w:pPr>
              <w:spacing w:after="0"/>
              <w:rPr>
                <w:sz w:val="21"/>
                <w:szCs w:val="21"/>
                <w:color w:val="auto"/>
              </w:rPr>
            </w:pPr>
          </w:p>
        </w:tc>
      </w:tr>
      <w:tr>
        <w:trPr>
          <w:trHeight w:val="243"/>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30 days and under</w:t>
            </w: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60" w:type="dxa"/>
            <w:vAlign w:val="bottom"/>
          </w:tcPr>
          <w:p>
            <w:pPr>
              <w:spacing w:after="0"/>
              <w:rPr>
                <w:sz w:val="21"/>
                <w:szCs w:val="21"/>
                <w:color w:val="auto"/>
              </w:rPr>
            </w:pPr>
          </w:p>
        </w:tc>
      </w:tr>
      <w:tr>
        <w:trPr>
          <w:trHeight w:val="27"/>
        </w:trPr>
        <w:tc>
          <w:tcPr>
            <w:tcW w:w="2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2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31 - 60 days</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60" w:type="dxa"/>
            <w:vAlign w:val="bottom"/>
          </w:tcPr>
          <w:p>
            <w:pPr>
              <w:spacing w:after="0"/>
              <w:rPr>
                <w:sz w:val="21"/>
                <w:szCs w:val="21"/>
                <w:color w:val="auto"/>
              </w:rPr>
            </w:pPr>
          </w:p>
        </w:tc>
      </w:tr>
      <w:tr>
        <w:trPr>
          <w:trHeight w:val="243"/>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61 - 90 days</w:t>
            </w: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60" w:type="dxa"/>
            <w:vAlign w:val="bottom"/>
          </w:tcPr>
          <w:p>
            <w:pPr>
              <w:spacing w:after="0"/>
              <w:rPr>
                <w:sz w:val="21"/>
                <w:szCs w:val="21"/>
                <w:color w:val="auto"/>
              </w:rPr>
            </w:pPr>
          </w:p>
        </w:tc>
      </w:tr>
      <w:tr>
        <w:trPr>
          <w:trHeight w:val="27"/>
        </w:trPr>
        <w:tc>
          <w:tcPr>
            <w:tcW w:w="2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70"/>
        </w:trPr>
        <w:tc>
          <w:tcPr>
            <w:tcW w:w="2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Greater than 90 days</w:t>
            </w: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w:t>
            </w:r>
          </w:p>
        </w:tc>
        <w:tc>
          <w:tcPr>
            <w:tcW w:w="60" w:type="dxa"/>
            <w:vAlign w:val="bottom"/>
          </w:tcPr>
          <w:p>
            <w:pPr>
              <w:spacing w:after="0"/>
              <w:rPr>
                <w:sz w:val="23"/>
                <w:szCs w:val="23"/>
                <w:color w:val="auto"/>
              </w:rPr>
            </w:pPr>
          </w:p>
        </w:tc>
      </w:tr>
      <w:tr>
        <w:trPr>
          <w:trHeight w:val="263"/>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finance receivables</w:t>
            </w:r>
          </w:p>
        </w:tc>
        <w:tc>
          <w:tcPr>
            <w:tcW w:w="30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6,929</w:t>
            </w:r>
          </w:p>
        </w:tc>
        <w:tc>
          <w:tcPr>
            <w:tcW w:w="10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6,802</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3,628</w:t>
            </w:r>
          </w:p>
        </w:tc>
        <w:tc>
          <w:tcPr>
            <w:tcW w:w="12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1,665</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gridSpan w:val="2"/>
          </w:tcPr>
          <w:p>
            <w:pPr>
              <w:jc w:val="right"/>
              <w:ind w:right="108"/>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bottom w:val="single" w:sz="8" w:color="auto"/>
            </w:tcBorders>
          </w:tcPr>
          <w:p>
            <w:pPr>
              <w:spacing w:after="0"/>
              <w:rPr>
                <w:sz w:val="22"/>
                <w:szCs w:val="22"/>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22,073</w:t>
            </w:r>
          </w:p>
        </w:tc>
        <w:tc>
          <w:tcPr>
            <w:tcW w:w="60" w:type="dxa"/>
            <w:vAlign w:val="bottom"/>
          </w:tcPr>
          <w:p>
            <w:pPr>
              <w:spacing w:after="0"/>
              <w:rPr>
                <w:sz w:val="22"/>
                <w:szCs w:val="22"/>
                <w:color w:val="auto"/>
              </w:rPr>
            </w:pPr>
          </w:p>
        </w:tc>
      </w:tr>
      <w:tr>
        <w:trPr>
          <w:trHeight w:val="20"/>
        </w:trPr>
        <w:tc>
          <w:tcPr>
            <w:tcW w:w="2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642"/>
        </w:trPr>
        <w:tc>
          <w:tcPr>
            <w:tcW w:w="2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table  represents</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a  rollforward</w:t>
            </w: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of  the  allowance</w:t>
            </w:r>
          </w:p>
        </w:tc>
        <w:tc>
          <w:tcPr>
            <w:tcW w:w="10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for  finance</w:t>
            </w: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receivables  for</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the</w:t>
            </w:r>
          </w:p>
        </w:tc>
        <w:tc>
          <w:tcPr>
            <w:tcW w:w="164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years  ending  June</w:t>
            </w: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30,  2024</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and  2023:</w:t>
            </w:r>
          </w:p>
        </w:tc>
      </w:tr>
      <w:tr>
        <w:trPr>
          <w:trHeight w:val="220"/>
        </w:trPr>
        <w:tc>
          <w:tcPr>
            <w:tcW w:w="2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36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9"/>
                <w:szCs w:val="19"/>
                <w:color w:val="auto"/>
              </w:rPr>
            </w:pPr>
          </w:p>
        </w:tc>
      </w:tr>
      <w:tr>
        <w:trPr>
          <w:trHeight w:val="37"/>
        </w:trPr>
        <w:tc>
          <w:tcPr>
            <w:tcW w:w="2240" w:type="dxa"/>
            <w:vAlign w:val="bottom"/>
            <w:tcBorders>
              <w:bottom w:val="single" w:sz="8" w:color="auto"/>
            </w:tcBorders>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r>
      <w:tr>
        <w:trPr>
          <w:trHeight w:val="34"/>
        </w:trPr>
        <w:tc>
          <w:tcPr>
            <w:tcW w:w="2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70"/>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year</w:t>
            </w:r>
          </w:p>
        </w:tc>
        <w:tc>
          <w:tcPr>
            <w:tcW w:w="3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spacing w:after="0"/>
              <w:rPr>
                <w:sz w:val="23"/>
                <w:szCs w:val="23"/>
                <w:color w:val="auto"/>
              </w:rPr>
            </w:pPr>
          </w:p>
        </w:tc>
        <w:tc>
          <w:tcPr>
            <w:tcW w:w="6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2,098</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60" w:type="dxa"/>
            <w:vAlign w:val="bottom"/>
            <w:tcBorders>
              <w:left w:val="single" w:sz="8" w:color="CCEEFF"/>
            </w:tcBorders>
            <w:shd w:val="clear" w:color="auto" w:fill="CCEEFF"/>
          </w:tcPr>
          <w:p>
            <w:pPr>
              <w:spacing w:after="0"/>
              <w:rPr>
                <w:sz w:val="23"/>
                <w:szCs w:val="23"/>
                <w:color w:val="auto"/>
              </w:rPr>
            </w:pPr>
          </w:p>
        </w:tc>
      </w:tr>
      <w:tr>
        <w:trPr>
          <w:trHeight w:val="270"/>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Provision for expected losses</w:t>
            </w:r>
          </w:p>
        </w:tc>
        <w:tc>
          <w:tcPr>
            <w:tcW w:w="3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1,626</w:t>
            </w:r>
          </w:p>
        </w:tc>
        <w:tc>
          <w:tcPr>
            <w:tcW w:w="60" w:type="dxa"/>
            <w:vAlign w:val="bottom"/>
          </w:tcPr>
          <w:p>
            <w:pPr>
              <w:spacing w:after="0"/>
              <w:rPr>
                <w:sz w:val="23"/>
                <w:szCs w:val="23"/>
                <w:color w:val="auto"/>
              </w:rPr>
            </w:pPr>
          </w:p>
        </w:tc>
      </w:tr>
      <w:tr>
        <w:trPr>
          <w:trHeight w:val="270"/>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Write-offs</w:t>
            </w:r>
          </w:p>
        </w:tc>
        <w:tc>
          <w:tcPr>
            <w:tcW w:w="3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(288)</w:t>
            </w:r>
          </w:p>
        </w:tc>
      </w:tr>
      <w:tr>
        <w:trPr>
          <w:trHeight w:val="263"/>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end of year</w:t>
            </w:r>
          </w:p>
        </w:tc>
        <w:tc>
          <w:tcPr>
            <w:tcW w:w="3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22"/>
                <w:szCs w:val="22"/>
                <w:color w:val="auto"/>
              </w:rPr>
            </w:pPr>
          </w:p>
        </w:tc>
        <w:tc>
          <w:tcPr>
            <w:tcW w:w="6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1,934</w:t>
            </w:r>
          </w:p>
        </w:tc>
        <w:tc>
          <w:tcPr>
            <w:tcW w:w="100" w:type="dxa"/>
            <w:vAlign w:val="bottom"/>
          </w:tcPr>
          <w:p>
            <w:pPr>
              <w:spacing w:after="0"/>
              <w:rPr>
                <w:sz w:val="22"/>
                <w:szCs w:val="22"/>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2,098</w:t>
            </w:r>
          </w:p>
        </w:tc>
        <w:tc>
          <w:tcPr>
            <w:tcW w:w="60" w:type="dxa"/>
            <w:vAlign w:val="bottom"/>
          </w:tcPr>
          <w:p>
            <w:pPr>
              <w:spacing w:after="0"/>
              <w:rPr>
                <w:sz w:val="22"/>
                <w:szCs w:val="22"/>
                <w:color w:val="auto"/>
              </w:rPr>
            </w:pPr>
          </w:p>
        </w:tc>
      </w:tr>
      <w:tr>
        <w:trPr>
          <w:trHeight w:val="21"/>
        </w:trPr>
        <w:tc>
          <w:tcPr>
            <w:tcW w:w="7640" w:type="dxa"/>
            <w:vAlign w:val="bottom"/>
            <w:gridSpan w:val="15"/>
          </w:tcPr>
          <w:p>
            <w:pPr>
              <w:spacing w:after="0" w:line="20" w:lineRule="exact"/>
              <w:rPr>
                <w:sz w:val="1"/>
                <w:szCs w:val="1"/>
                <w:color w:val="auto"/>
              </w:rPr>
            </w:pPr>
          </w:p>
        </w:tc>
        <w:tc>
          <w:tcPr>
            <w:tcW w:w="1740" w:type="dxa"/>
            <w:vAlign w:val="bottom"/>
            <w:tcBorders>
              <w:top w:val="single" w:sz="8" w:color="auto"/>
              <w:bottom w:val="single" w:sz="8" w:color="auto"/>
            </w:tcBorders>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r>
      <w:tr>
        <w:trPr>
          <w:trHeight w:val="588"/>
        </w:trPr>
        <w:tc>
          <w:tcPr>
            <w:tcW w:w="948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Cash to be collected on our performing finance receivables due for each of the fiscal years after June 30, 2024 are as follows:</w:t>
            </w: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08"/>
        </w:trPr>
        <w:tc>
          <w:tcPr>
            <w:tcW w:w="22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 in thousands)</w:t>
            </w:r>
          </w:p>
        </w:tc>
        <w:tc>
          <w:tcPr>
            <w:tcW w:w="3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7"/>
        </w:trPr>
        <w:tc>
          <w:tcPr>
            <w:tcW w:w="2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230"/>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7,274</w:t>
            </w:r>
          </w:p>
        </w:tc>
        <w:tc>
          <w:tcPr>
            <w:tcW w:w="60" w:type="dxa"/>
            <w:vAlign w:val="bottom"/>
            <w:tcBorders>
              <w:left w:val="single" w:sz="8" w:color="CCEEFF"/>
            </w:tcBorders>
          </w:tcPr>
          <w:p>
            <w:pPr>
              <w:spacing w:after="0"/>
              <w:rPr>
                <w:sz w:val="19"/>
                <w:szCs w:val="19"/>
                <w:color w:val="auto"/>
              </w:rPr>
            </w:pPr>
          </w:p>
        </w:tc>
      </w:tr>
      <w:tr>
        <w:trPr>
          <w:trHeight w:val="230"/>
        </w:trPr>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5,795</w:t>
            </w:r>
          </w:p>
        </w:tc>
        <w:tc>
          <w:tcPr>
            <w:tcW w:w="60" w:type="dxa"/>
            <w:vAlign w:val="bottom"/>
          </w:tcPr>
          <w:p>
            <w:pPr>
              <w:spacing w:after="0"/>
              <w:rPr>
                <w:sz w:val="19"/>
                <w:szCs w:val="19"/>
                <w:color w:val="auto"/>
              </w:rPr>
            </w:pPr>
          </w:p>
        </w:tc>
      </w:tr>
      <w:tr>
        <w:trPr>
          <w:trHeight w:val="229"/>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3,908</w:t>
            </w:r>
          </w:p>
        </w:tc>
        <w:tc>
          <w:tcPr>
            <w:tcW w:w="60" w:type="dxa"/>
            <w:vAlign w:val="bottom"/>
            <w:tcBorders>
              <w:left w:val="single" w:sz="8" w:color="CCEEFF"/>
            </w:tcBorders>
          </w:tcPr>
          <w:p>
            <w:pPr>
              <w:spacing w:after="0"/>
              <w:rPr>
                <w:sz w:val="19"/>
                <w:szCs w:val="19"/>
                <w:color w:val="auto"/>
              </w:rPr>
            </w:pPr>
          </w:p>
        </w:tc>
      </w:tr>
      <w:tr>
        <w:trPr>
          <w:trHeight w:val="230"/>
        </w:trPr>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1,871</w:t>
            </w:r>
          </w:p>
        </w:tc>
        <w:tc>
          <w:tcPr>
            <w:tcW w:w="60" w:type="dxa"/>
            <w:vAlign w:val="bottom"/>
          </w:tcPr>
          <w:p>
            <w:pPr>
              <w:spacing w:after="0"/>
              <w:rPr>
                <w:sz w:val="19"/>
                <w:szCs w:val="19"/>
                <w:color w:val="auto"/>
              </w:rPr>
            </w:pPr>
          </w:p>
        </w:tc>
      </w:tr>
      <w:tr>
        <w:trPr>
          <w:trHeight w:val="230"/>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60" w:type="dxa"/>
            <w:vAlign w:val="bottom"/>
            <w:tcBorders>
              <w:left w:val="single" w:sz="8" w:color="CCEEFF"/>
            </w:tcBorders>
          </w:tcPr>
          <w:p>
            <w:pPr>
              <w:spacing w:after="0"/>
              <w:rPr>
                <w:sz w:val="19"/>
                <w:szCs w:val="19"/>
                <w:color w:val="auto"/>
              </w:rPr>
            </w:pPr>
          </w:p>
        </w:tc>
      </w:tr>
      <w:tr>
        <w:trPr>
          <w:trHeight w:val="230"/>
        </w:trPr>
        <w:tc>
          <w:tcPr>
            <w:tcW w:w="22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0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60" w:type="dxa"/>
            <w:vAlign w:val="bottom"/>
          </w:tcPr>
          <w:p>
            <w:pPr>
              <w:spacing w:after="0"/>
              <w:rPr>
                <w:sz w:val="19"/>
                <w:szCs w:val="19"/>
                <w:color w:val="auto"/>
              </w:rPr>
            </w:pPr>
          </w:p>
        </w:tc>
      </w:tr>
      <w:tr>
        <w:trPr>
          <w:trHeight w:val="223"/>
        </w:trPr>
        <w:tc>
          <w:tcPr>
            <w:tcW w:w="25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amounts to be collected</w:t>
            </w: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19,474</w:t>
            </w:r>
          </w:p>
        </w:tc>
        <w:tc>
          <w:tcPr>
            <w:tcW w:w="60" w:type="dxa"/>
            <w:vAlign w:val="bottom"/>
            <w:tcBorders>
              <w:left w:val="single" w:sz="8" w:color="CCEEFF"/>
            </w:tcBorders>
          </w:tcPr>
          <w:p>
            <w:pPr>
              <w:spacing w:after="0"/>
              <w:rPr>
                <w:sz w:val="19"/>
                <w:szCs w:val="19"/>
                <w:color w:val="auto"/>
              </w:rPr>
            </w:pPr>
          </w:p>
        </w:tc>
      </w:tr>
      <w:tr>
        <w:trPr>
          <w:trHeight w:val="230"/>
        </w:trPr>
        <w:tc>
          <w:tcPr>
            <w:tcW w:w="22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Less: interest</w:t>
            </w: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60" w:type="dxa"/>
            <w:vAlign w:val="bottom"/>
          </w:tcPr>
          <w:p>
            <w:pPr>
              <w:spacing w:after="0"/>
              <w:rPr>
                <w:sz w:val="19"/>
                <w:szCs w:val="19"/>
                <w:color w:val="auto"/>
              </w:rPr>
            </w:pPr>
          </w:p>
        </w:tc>
      </w:tr>
      <w:tr>
        <w:trPr>
          <w:trHeight w:val="229"/>
        </w:trPr>
        <w:tc>
          <w:tcPr>
            <w:tcW w:w="3560" w:type="dxa"/>
            <w:vAlign w:val="bottom"/>
            <w:gridSpan w:val="5"/>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Less: allowance for expected credit losses</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(1,934)</w:t>
            </w:r>
          </w:p>
        </w:tc>
        <w:tc>
          <w:tcPr>
            <w:tcW w:w="60" w:type="dxa"/>
            <w:vAlign w:val="bottom"/>
            <w:tcBorders>
              <w:left w:val="single" w:sz="8" w:color="CCEEFF"/>
            </w:tcBorders>
          </w:tcPr>
          <w:p>
            <w:pPr>
              <w:spacing w:after="0"/>
              <w:rPr>
                <w:sz w:val="19"/>
                <w:szCs w:val="19"/>
                <w:color w:val="auto"/>
              </w:rPr>
            </w:pPr>
          </w:p>
        </w:tc>
      </w:tr>
      <w:tr>
        <w:trPr>
          <w:trHeight w:val="223"/>
        </w:trPr>
        <w:tc>
          <w:tcPr>
            <w:tcW w:w="22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finance receivables</w:t>
            </w: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16,427</w:t>
            </w:r>
          </w:p>
        </w:tc>
        <w:tc>
          <w:tcPr>
            <w:tcW w:w="60" w:type="dxa"/>
            <w:vAlign w:val="bottom"/>
          </w:tcPr>
          <w:p>
            <w:pPr>
              <w:spacing w:after="0"/>
              <w:rPr>
                <w:sz w:val="19"/>
                <w:szCs w:val="19"/>
                <w:color w:val="auto"/>
              </w:rPr>
            </w:pPr>
          </w:p>
        </w:tc>
      </w:tr>
      <w:tr>
        <w:trPr>
          <w:trHeight w:val="20"/>
        </w:trPr>
        <w:tc>
          <w:tcPr>
            <w:tcW w:w="2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Equipment sales, Cost of equipment sales, and Interest income, associated with equipment under sales type leases and are included in each respective line of the Consolidated Statement of Operations for the year ended June 30, 2024:</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66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37"/>
        </w:trPr>
        <w:tc>
          <w:tcPr>
            <w:tcW w:w="9540" w:type="dxa"/>
            <w:vAlign w:val="bottom"/>
            <w:tcBorders>
              <w:bottom w:val="single" w:sz="8" w:color="auto"/>
            </w:tcBorders>
          </w:tcPr>
          <w:p>
            <w:pPr>
              <w:spacing w:after="0"/>
              <w:rPr>
                <w:sz w:val="3"/>
                <w:szCs w:val="3"/>
                <w:color w:val="auto"/>
              </w:rPr>
            </w:pPr>
          </w:p>
        </w:tc>
        <w:tc>
          <w:tcPr>
            <w:tcW w:w="660" w:type="dxa"/>
            <w:vAlign w:val="bottom"/>
            <w:tcBorders>
              <w:bottom w:val="single" w:sz="8" w:color="CCEEFF"/>
            </w:tcBorders>
          </w:tcPr>
          <w:p>
            <w:pPr>
              <w:spacing w:after="0"/>
              <w:rPr>
                <w:sz w:val="3"/>
                <w:szCs w:val="3"/>
                <w:color w:val="auto"/>
              </w:rPr>
            </w:pPr>
          </w:p>
        </w:tc>
        <w:tc>
          <w:tcPr>
            <w:tcW w:w="1040" w:type="dxa"/>
            <w:vAlign w:val="bottom"/>
            <w:tcBorders>
              <w:bottom w:val="single" w:sz="8" w:color="CCEEFF"/>
            </w:tcBorders>
          </w:tcPr>
          <w:p>
            <w:pPr>
              <w:spacing w:after="0"/>
              <w:rPr>
                <w:sz w:val="3"/>
                <w:szCs w:val="3"/>
                <w:color w:val="auto"/>
              </w:rPr>
            </w:pPr>
          </w:p>
        </w:tc>
      </w:tr>
      <w:tr>
        <w:trPr>
          <w:trHeight w:val="264"/>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Equipment sales</w:t>
            </w:r>
          </w:p>
        </w:tc>
        <w:tc>
          <w:tcPr>
            <w:tcW w:w="6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2,882</w:t>
            </w:r>
          </w:p>
        </w:tc>
      </w:tr>
      <w:tr>
        <w:trPr>
          <w:trHeight w:val="270"/>
        </w:trPr>
        <w:tc>
          <w:tcPr>
            <w:tcW w:w="9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equipment sales</w:t>
            </w:r>
          </w:p>
        </w:tc>
        <w:tc>
          <w:tcPr>
            <w:tcW w:w="6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2,861</w:t>
            </w:r>
          </w:p>
        </w:tc>
      </w:tr>
      <w:tr>
        <w:trPr>
          <w:trHeight w:val="270"/>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66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color w:val="auto"/>
        </w:rPr>
        <w:t>5. PROPERTY AND EQUIPMENT,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consisted of the following:</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8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As of June 30, 2024</w:t>
            </w:r>
          </w:p>
        </w:tc>
        <w:tc>
          <w:tcPr>
            <w:tcW w:w="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580" w:type="dxa"/>
            <w:vAlign w:val="bottom"/>
          </w:tcPr>
          <w:p>
            <w:pPr>
              <w:spacing w:after="0"/>
              <w:rPr>
                <w:sz w:val="2"/>
                <w:szCs w:val="2"/>
                <w:color w:val="auto"/>
              </w:rPr>
            </w:pPr>
          </w:p>
        </w:tc>
        <w:tc>
          <w:tcPr>
            <w:tcW w:w="2200" w:type="dxa"/>
            <w:vAlign w:val="bottom"/>
            <w:gridSpan w:val="2"/>
            <w:vMerge w:val="restart"/>
          </w:tcPr>
          <w:p>
            <w:pPr>
              <w:jc w:val="center"/>
              <w:ind w:left="535"/>
              <w:spacing w:after="0"/>
              <w:rPr>
                <w:sz w:val="20"/>
                <w:szCs w:val="20"/>
                <w:color w:val="auto"/>
              </w:rPr>
            </w:pPr>
            <w:r>
              <w:rPr>
                <w:rFonts w:ascii="Times New Roman" w:cs="Times New Roman" w:eastAsia="Times New Roman" w:hAnsi="Times New Roman"/>
                <w:sz w:val="14"/>
                <w:szCs w:val="14"/>
                <w:b w:val="1"/>
                <w:bCs w:val="1"/>
                <w:color w:val="auto"/>
                <w:w w:val="99"/>
              </w:rPr>
              <w:t>Useful</w:t>
            </w: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5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20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80" w:type="dxa"/>
            <w:vAlign w:val="bottom"/>
          </w:tcPr>
          <w:p>
            <w:pPr>
              <w:spacing w:after="0"/>
              <w:rPr>
                <w:sz w:val="11"/>
                <w:szCs w:val="11"/>
                <w:color w:val="auto"/>
              </w:rPr>
            </w:pPr>
          </w:p>
        </w:tc>
        <w:tc>
          <w:tcPr>
            <w:tcW w:w="1280" w:type="dxa"/>
            <w:vAlign w:val="bottom"/>
            <w:gridSpan w:val="2"/>
          </w:tcPr>
          <w:p>
            <w:pPr>
              <w:jc w:val="center"/>
              <w:ind w:right="28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360" w:type="dxa"/>
            <w:vAlign w:val="bottom"/>
          </w:tcPr>
          <w:p>
            <w:pPr>
              <w:spacing w:after="0"/>
              <w:rPr>
                <w:sz w:val="11"/>
                <w:szCs w:val="11"/>
                <w:color w:val="auto"/>
              </w:rPr>
            </w:pPr>
          </w:p>
        </w:tc>
        <w:tc>
          <w:tcPr>
            <w:tcW w:w="1040" w:type="dxa"/>
            <w:vAlign w:val="bottom"/>
            <w:vMerge w:val="restart"/>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6"/>
        </w:trPr>
        <w:tc>
          <w:tcPr>
            <w:tcW w:w="4580" w:type="dxa"/>
            <w:vAlign w:val="bottom"/>
            <w:vMerge w:val="continue"/>
          </w:tcPr>
          <w:p>
            <w:pPr>
              <w:spacing w:after="0"/>
              <w:rPr>
                <w:sz w:val="17"/>
                <w:szCs w:val="17"/>
                <w:color w:val="auto"/>
              </w:rPr>
            </w:pPr>
          </w:p>
        </w:tc>
        <w:tc>
          <w:tcPr>
            <w:tcW w:w="2200" w:type="dxa"/>
            <w:vAlign w:val="bottom"/>
            <w:gridSpan w:val="2"/>
          </w:tcPr>
          <w:p>
            <w:pPr>
              <w:jc w:val="center"/>
              <w:ind w:left="535"/>
              <w:spacing w:after="0"/>
              <w:rPr>
                <w:sz w:val="20"/>
                <w:szCs w:val="20"/>
                <w:color w:val="auto"/>
              </w:rPr>
            </w:pPr>
            <w:r>
              <w:rPr>
                <w:rFonts w:ascii="Times New Roman" w:cs="Times New Roman" w:eastAsia="Times New Roman" w:hAnsi="Times New Roman"/>
                <w:sz w:val="14"/>
                <w:szCs w:val="14"/>
                <w:b w:val="1"/>
                <w:bCs w:val="1"/>
                <w:color w:val="auto"/>
              </w:rPr>
              <w:t>Lives</w:t>
            </w:r>
          </w:p>
        </w:tc>
        <w:tc>
          <w:tcPr>
            <w:tcW w:w="32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36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2100" w:type="dxa"/>
            <w:vAlign w:val="bottom"/>
            <w:tcBorders>
              <w:top w:val="single" w:sz="8" w:color="auto"/>
            </w:tcBorders>
            <w:shd w:val="clear" w:color="auto" w:fill="CCEEFF"/>
          </w:tcPr>
          <w:p>
            <w:pPr>
              <w:jc w:val="center"/>
              <w:ind w:left="635"/>
              <w:spacing w:after="0"/>
              <w:rPr>
                <w:sz w:val="20"/>
                <w:szCs w:val="20"/>
                <w:color w:val="auto"/>
              </w:rPr>
            </w:pPr>
            <w:r>
              <w:rPr>
                <w:rFonts w:ascii="Times New Roman" w:cs="Times New Roman" w:eastAsia="Times New Roman" w:hAnsi="Times New Roman"/>
                <w:sz w:val="18"/>
                <w:szCs w:val="18"/>
                <w:color w:val="auto"/>
                <w:w w:val="99"/>
              </w:rPr>
              <w:t>3-7 years</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7,588</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(6,994)</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0" w:type="dxa"/>
            <w:vAlign w:val="bottom"/>
          </w:tcPr>
          <w:p>
            <w:pPr>
              <w:spacing w:after="0"/>
              <w:rPr>
                <w:sz w:val="1"/>
                <w:szCs w:val="1"/>
                <w:color w:val="auto"/>
              </w:rPr>
            </w:pP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Internal-use software</w:t>
            </w:r>
          </w:p>
        </w:tc>
        <w:tc>
          <w:tcPr>
            <w:tcW w:w="2200" w:type="dxa"/>
            <w:vAlign w:val="bottom"/>
            <w:gridSpan w:val="2"/>
          </w:tcPr>
          <w:p>
            <w:pPr>
              <w:jc w:val="center"/>
              <w:ind w:left="535"/>
              <w:spacing w:after="0"/>
              <w:rPr>
                <w:sz w:val="20"/>
                <w:szCs w:val="20"/>
                <w:color w:val="auto"/>
              </w:rPr>
            </w:pPr>
            <w:r>
              <w:rPr>
                <w:rFonts w:ascii="Times New Roman" w:cs="Times New Roman" w:eastAsia="Times New Roman" w:hAnsi="Times New Roman"/>
                <w:sz w:val="18"/>
                <w:szCs w:val="18"/>
                <w:color w:val="auto"/>
                <w:w w:val="99"/>
              </w:rPr>
              <w:t>3-5 years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34,666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25,194</w:t>
            </w:r>
          </w:p>
        </w:tc>
        <w:tc>
          <w:tcPr>
            <w:tcW w:w="0" w:type="dxa"/>
            <w:vAlign w:val="bottom"/>
          </w:tcPr>
          <w:p>
            <w:pPr>
              <w:spacing w:after="0"/>
              <w:rPr>
                <w:sz w:val="1"/>
                <w:szCs w:val="1"/>
                <w:color w:val="auto"/>
              </w:rPr>
            </w:pPr>
          </w:p>
        </w:tc>
      </w:tr>
      <w:tr>
        <w:trPr>
          <w:trHeight w:val="22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used for rental program</w:t>
            </w:r>
          </w:p>
        </w:tc>
        <w:tc>
          <w:tcPr>
            <w:tcW w:w="2200" w:type="dxa"/>
            <w:vAlign w:val="bottom"/>
            <w:gridSpan w:val="2"/>
            <w:shd w:val="clear" w:color="auto" w:fill="CCEEFF"/>
          </w:tcPr>
          <w:p>
            <w:pPr>
              <w:jc w:val="center"/>
              <w:ind w:left="535"/>
              <w:spacing w:after="0"/>
              <w:rPr>
                <w:sz w:val="20"/>
                <w:szCs w:val="20"/>
                <w:color w:val="auto"/>
              </w:rPr>
            </w:pPr>
            <w:r>
              <w:rPr>
                <w:rFonts w:ascii="Times New Roman" w:cs="Times New Roman" w:eastAsia="Times New Roman" w:hAnsi="Times New Roman"/>
                <w:sz w:val="18"/>
                <w:szCs w:val="18"/>
                <w:color w:val="auto"/>
                <w:w w:val="97"/>
              </w:rPr>
              <w:t>5 years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32,513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7,771</w:t>
            </w:r>
          </w:p>
        </w:tc>
        <w:tc>
          <w:tcPr>
            <w:tcW w:w="0" w:type="dxa"/>
            <w:vAlign w:val="bottom"/>
          </w:tcPr>
          <w:p>
            <w:pPr>
              <w:spacing w:after="0"/>
              <w:rPr>
                <w:sz w:val="1"/>
                <w:szCs w:val="1"/>
                <w:color w:val="auto"/>
              </w:rPr>
            </w:pP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equipment</w:t>
            </w:r>
          </w:p>
        </w:tc>
        <w:tc>
          <w:tcPr>
            <w:tcW w:w="2200" w:type="dxa"/>
            <w:vAlign w:val="bottom"/>
            <w:gridSpan w:val="2"/>
          </w:tcPr>
          <w:p>
            <w:pPr>
              <w:jc w:val="center"/>
              <w:ind w:left="535"/>
              <w:spacing w:after="0"/>
              <w:rPr>
                <w:sz w:val="20"/>
                <w:szCs w:val="20"/>
                <w:color w:val="auto"/>
              </w:rPr>
            </w:pPr>
            <w:r>
              <w:rPr>
                <w:rFonts w:ascii="Times New Roman" w:cs="Times New Roman" w:eastAsia="Times New Roman" w:hAnsi="Times New Roman"/>
                <w:sz w:val="18"/>
                <w:szCs w:val="18"/>
                <w:color w:val="auto"/>
                <w:w w:val="99"/>
              </w:rPr>
              <w:t>3-7 years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0" w:type="dxa"/>
            <w:vAlign w:val="bottom"/>
          </w:tcPr>
          <w:p>
            <w:pPr>
              <w:spacing w:after="0"/>
              <w:rPr>
                <w:sz w:val="1"/>
                <w:szCs w:val="1"/>
                <w:color w:val="auto"/>
              </w:rPr>
            </w:pPr>
          </w:p>
        </w:tc>
      </w:tr>
      <w:tr>
        <w:trPr>
          <w:trHeight w:val="22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200" w:type="dxa"/>
            <w:vAlign w:val="bottom"/>
            <w:gridSpan w:val="2"/>
            <w:shd w:val="clear" w:color="auto" w:fill="CCEEFF"/>
          </w:tcPr>
          <w:p>
            <w:pPr>
              <w:jc w:val="center"/>
              <w:ind w:left="515"/>
              <w:spacing w:after="0"/>
              <w:rPr>
                <w:sz w:val="20"/>
                <w:szCs w:val="20"/>
                <w:color w:val="auto"/>
              </w:rPr>
            </w:pPr>
            <w:r>
              <w:rPr>
                <w:rFonts w:ascii="Times New Roman" w:cs="Times New Roman" w:eastAsia="Times New Roman" w:hAnsi="Times New Roman"/>
                <w:sz w:val="18"/>
                <w:szCs w:val="18"/>
                <w:color w:val="auto"/>
                <w:w w:val="99"/>
              </w:rPr>
              <w:t>(a)</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23"/>
        </w:trPr>
        <w:tc>
          <w:tcPr>
            <w:tcW w:w="45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77,063</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(43,034)</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34,029</w:t>
            </w:r>
          </w:p>
        </w:tc>
        <w:tc>
          <w:tcPr>
            <w:tcW w:w="0" w:type="dxa"/>
            <w:vAlign w:val="bottom"/>
          </w:tcPr>
          <w:p>
            <w:pPr>
              <w:spacing w:after="0"/>
              <w:rPr>
                <w:sz w:val="1"/>
                <w:szCs w:val="1"/>
                <w:color w:val="auto"/>
              </w:rPr>
            </w:pPr>
          </w:p>
        </w:tc>
      </w:tr>
      <w:tr>
        <w:trPr>
          <w:trHeight w:val="21"/>
        </w:trPr>
        <w:tc>
          <w:tcPr>
            <w:tcW w:w="45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8"/>
        </w:trPr>
        <w:tc>
          <w:tcPr>
            <w:tcW w:w="45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As of June 30, 2023</w:t>
            </w: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580" w:type="dxa"/>
            <w:vAlign w:val="bottom"/>
          </w:tcPr>
          <w:p>
            <w:pPr>
              <w:spacing w:after="0"/>
              <w:rPr>
                <w:sz w:val="2"/>
                <w:szCs w:val="2"/>
                <w:color w:val="auto"/>
              </w:rPr>
            </w:pPr>
          </w:p>
        </w:tc>
        <w:tc>
          <w:tcPr>
            <w:tcW w:w="2200" w:type="dxa"/>
            <w:vAlign w:val="bottom"/>
            <w:gridSpan w:val="2"/>
            <w:vMerge w:val="restart"/>
          </w:tcPr>
          <w:p>
            <w:pPr>
              <w:jc w:val="center"/>
              <w:ind w:left="535"/>
              <w:spacing w:after="0"/>
              <w:rPr>
                <w:sz w:val="20"/>
                <w:szCs w:val="20"/>
                <w:color w:val="auto"/>
              </w:rPr>
            </w:pPr>
            <w:r>
              <w:rPr>
                <w:rFonts w:ascii="Times New Roman" w:cs="Times New Roman" w:eastAsia="Times New Roman" w:hAnsi="Times New Roman"/>
                <w:sz w:val="14"/>
                <w:szCs w:val="14"/>
                <w:b w:val="1"/>
                <w:bCs w:val="1"/>
                <w:color w:val="auto"/>
                <w:w w:val="99"/>
              </w:rPr>
              <w:t>Useful</w:t>
            </w: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5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20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80" w:type="dxa"/>
            <w:vAlign w:val="bottom"/>
          </w:tcPr>
          <w:p>
            <w:pPr>
              <w:spacing w:after="0"/>
              <w:rPr>
                <w:sz w:val="11"/>
                <w:szCs w:val="11"/>
                <w:color w:val="auto"/>
              </w:rPr>
            </w:pPr>
          </w:p>
        </w:tc>
        <w:tc>
          <w:tcPr>
            <w:tcW w:w="128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360" w:type="dxa"/>
            <w:vAlign w:val="bottom"/>
          </w:tcPr>
          <w:p>
            <w:pPr>
              <w:spacing w:after="0"/>
              <w:rPr>
                <w:sz w:val="11"/>
                <w:szCs w:val="11"/>
                <w:color w:val="auto"/>
              </w:rPr>
            </w:pPr>
          </w:p>
        </w:tc>
        <w:tc>
          <w:tcPr>
            <w:tcW w:w="1040" w:type="dxa"/>
            <w:vAlign w:val="bottom"/>
            <w:vMerge w:val="restart"/>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5"/>
        </w:trPr>
        <w:tc>
          <w:tcPr>
            <w:tcW w:w="4580" w:type="dxa"/>
            <w:vAlign w:val="bottom"/>
            <w:vMerge w:val="continue"/>
          </w:tcPr>
          <w:p>
            <w:pPr>
              <w:spacing w:after="0"/>
              <w:rPr>
                <w:sz w:val="16"/>
                <w:szCs w:val="16"/>
                <w:color w:val="auto"/>
              </w:rPr>
            </w:pPr>
          </w:p>
        </w:tc>
        <w:tc>
          <w:tcPr>
            <w:tcW w:w="2200" w:type="dxa"/>
            <w:vAlign w:val="bottom"/>
            <w:gridSpan w:val="2"/>
          </w:tcPr>
          <w:p>
            <w:pPr>
              <w:jc w:val="center"/>
              <w:ind w:left="535"/>
              <w:spacing w:after="0"/>
              <w:rPr>
                <w:sz w:val="20"/>
                <w:szCs w:val="20"/>
                <w:color w:val="auto"/>
              </w:rPr>
            </w:pPr>
            <w:r>
              <w:rPr>
                <w:rFonts w:ascii="Times New Roman" w:cs="Times New Roman" w:eastAsia="Times New Roman" w:hAnsi="Times New Roman"/>
                <w:sz w:val="14"/>
                <w:szCs w:val="14"/>
                <w:b w:val="1"/>
                <w:bCs w:val="1"/>
                <w:color w:val="auto"/>
              </w:rPr>
              <w:t>Lives</w:t>
            </w:r>
          </w:p>
        </w:tc>
        <w:tc>
          <w:tcPr>
            <w:tcW w:w="3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36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2100" w:type="dxa"/>
            <w:vAlign w:val="bottom"/>
            <w:tcBorders>
              <w:top w:val="single" w:sz="8" w:color="auto"/>
            </w:tcBorders>
            <w:shd w:val="clear" w:color="auto" w:fill="CCEEFF"/>
          </w:tcPr>
          <w:p>
            <w:pPr>
              <w:jc w:val="center"/>
              <w:ind w:left="635"/>
              <w:spacing w:after="0"/>
              <w:rPr>
                <w:sz w:val="20"/>
                <w:szCs w:val="20"/>
                <w:color w:val="auto"/>
              </w:rPr>
            </w:pPr>
            <w:r>
              <w:rPr>
                <w:rFonts w:ascii="Times New Roman" w:cs="Times New Roman" w:eastAsia="Times New Roman" w:hAnsi="Times New Roman"/>
                <w:sz w:val="18"/>
                <w:szCs w:val="18"/>
                <w:color w:val="auto"/>
                <w:w w:val="99"/>
              </w:rPr>
              <w:t>3-7 years</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8,089</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(7,443)</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0" w:type="dxa"/>
            <w:vAlign w:val="bottom"/>
          </w:tcPr>
          <w:p>
            <w:pPr>
              <w:spacing w:after="0"/>
              <w:rPr>
                <w:sz w:val="1"/>
                <w:szCs w:val="1"/>
                <w:color w:val="auto"/>
              </w:rPr>
            </w:pPr>
          </w:p>
        </w:tc>
      </w:tr>
      <w:tr>
        <w:trPr>
          <w:trHeight w:val="22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Internal-use software</w:t>
            </w:r>
          </w:p>
        </w:tc>
        <w:tc>
          <w:tcPr>
            <w:tcW w:w="2200" w:type="dxa"/>
            <w:vAlign w:val="bottom"/>
            <w:gridSpan w:val="2"/>
          </w:tcPr>
          <w:p>
            <w:pPr>
              <w:jc w:val="center"/>
              <w:ind w:left="535"/>
              <w:spacing w:after="0"/>
              <w:rPr>
                <w:sz w:val="20"/>
                <w:szCs w:val="20"/>
                <w:color w:val="auto"/>
              </w:rPr>
            </w:pPr>
            <w:r>
              <w:rPr>
                <w:rFonts w:ascii="Times New Roman" w:cs="Times New Roman" w:eastAsia="Times New Roman" w:hAnsi="Times New Roman"/>
                <w:sz w:val="18"/>
                <w:szCs w:val="18"/>
                <w:color w:val="auto"/>
                <w:w w:val="99"/>
              </w:rPr>
              <w:t>3-5 years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24,294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19,187</w:t>
            </w:r>
          </w:p>
        </w:tc>
        <w:tc>
          <w:tcPr>
            <w:tcW w:w="0" w:type="dxa"/>
            <w:vAlign w:val="bottom"/>
          </w:tcPr>
          <w:p>
            <w:pPr>
              <w:spacing w:after="0"/>
              <w:rPr>
                <w:sz w:val="1"/>
                <w:szCs w:val="1"/>
                <w:color w:val="auto"/>
              </w:rPr>
            </w:pPr>
          </w:p>
        </w:tc>
      </w:tr>
      <w:tr>
        <w:trPr>
          <w:trHeight w:val="22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used for rental program</w:t>
            </w:r>
          </w:p>
        </w:tc>
        <w:tc>
          <w:tcPr>
            <w:tcW w:w="2200" w:type="dxa"/>
            <w:vAlign w:val="bottom"/>
            <w:gridSpan w:val="2"/>
            <w:shd w:val="clear" w:color="auto" w:fill="CCEEFF"/>
          </w:tcPr>
          <w:p>
            <w:pPr>
              <w:jc w:val="center"/>
              <w:ind w:left="535"/>
              <w:spacing w:after="0"/>
              <w:rPr>
                <w:sz w:val="20"/>
                <w:szCs w:val="20"/>
                <w:color w:val="auto"/>
              </w:rPr>
            </w:pPr>
            <w:r>
              <w:rPr>
                <w:rFonts w:ascii="Times New Roman" w:cs="Times New Roman" w:eastAsia="Times New Roman" w:hAnsi="Times New Roman"/>
                <w:sz w:val="18"/>
                <w:szCs w:val="18"/>
                <w:color w:val="auto"/>
                <w:w w:val="97"/>
              </w:rPr>
              <w:t>5 years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28,398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(23,221)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5,177</w:t>
            </w:r>
          </w:p>
        </w:tc>
        <w:tc>
          <w:tcPr>
            <w:tcW w:w="0" w:type="dxa"/>
            <w:vAlign w:val="bottom"/>
          </w:tcPr>
          <w:p>
            <w:pPr>
              <w:spacing w:after="0"/>
              <w:rPr>
                <w:sz w:val="1"/>
                <w:szCs w:val="1"/>
                <w:color w:val="auto"/>
              </w:rPr>
            </w:pP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equipment</w:t>
            </w:r>
          </w:p>
        </w:tc>
        <w:tc>
          <w:tcPr>
            <w:tcW w:w="2200" w:type="dxa"/>
            <w:vAlign w:val="bottom"/>
            <w:gridSpan w:val="2"/>
          </w:tcPr>
          <w:p>
            <w:pPr>
              <w:jc w:val="center"/>
              <w:ind w:left="535"/>
              <w:spacing w:after="0"/>
              <w:rPr>
                <w:sz w:val="20"/>
                <w:szCs w:val="20"/>
                <w:color w:val="auto"/>
              </w:rPr>
            </w:pPr>
            <w:r>
              <w:rPr>
                <w:rFonts w:ascii="Times New Roman" w:cs="Times New Roman" w:eastAsia="Times New Roman" w:hAnsi="Times New Roman"/>
                <w:sz w:val="18"/>
                <w:szCs w:val="18"/>
                <w:color w:val="auto"/>
                <w:w w:val="99"/>
              </w:rPr>
              <w:t>3-7 years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2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200" w:type="dxa"/>
            <w:vAlign w:val="bottom"/>
            <w:gridSpan w:val="2"/>
            <w:shd w:val="clear" w:color="auto" w:fill="CCEEFF"/>
          </w:tcPr>
          <w:p>
            <w:pPr>
              <w:jc w:val="center"/>
              <w:ind w:left="515"/>
              <w:spacing w:after="0"/>
              <w:rPr>
                <w:sz w:val="20"/>
                <w:szCs w:val="20"/>
                <w:color w:val="auto"/>
              </w:rPr>
            </w:pPr>
            <w:r>
              <w:rPr>
                <w:rFonts w:ascii="Times New Roman" w:cs="Times New Roman" w:eastAsia="Times New Roman" w:hAnsi="Times New Roman"/>
                <w:sz w:val="18"/>
                <w:szCs w:val="18"/>
                <w:color w:val="auto"/>
                <w:w w:val="99"/>
              </w:rPr>
              <w:t>(a)</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23"/>
        </w:trPr>
        <w:tc>
          <w:tcPr>
            <w:tcW w:w="45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63,130</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(37,849)</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25,281</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360" w:hanging="190"/>
        <w:spacing w:after="0"/>
        <w:tabs>
          <w:tab w:leader="none" w:pos="360" w:val="left"/>
        </w:tabs>
        <w:numPr>
          <w:ilvl w:val="0"/>
          <w:numId w:val="32"/>
        </w:numPr>
        <w:rPr>
          <w:rFonts w:ascii="Times New Roman" w:cs="Times New Roman" w:eastAsia="Times New Roman" w:hAnsi="Times New Roman"/>
          <w:sz w:val="23"/>
          <w:szCs w:val="23"/>
          <w:i w:val="1"/>
          <w:iCs w:val="1"/>
          <w:color w:val="auto"/>
          <w:vertAlign w:val="superscript"/>
        </w:rPr>
      </w:pPr>
      <w:r>
        <w:rPr>
          <w:rFonts w:ascii="Times New Roman" w:cs="Times New Roman" w:eastAsia="Times New Roman" w:hAnsi="Times New Roman"/>
          <w:sz w:val="14"/>
          <w:szCs w:val="14"/>
          <w:i w:val="1"/>
          <w:iCs w:val="1"/>
          <w:color w:val="auto"/>
        </w:rPr>
        <w:t>Lesser of lease term or estimated useful life</w:t>
      </w:r>
    </w:p>
    <w:p>
      <w:pPr>
        <w:spacing w:after="0" w:line="2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total depreciation expense is comprised of depreciation included in our Cost of subscription and transaction fees for rental equipment and depreciation included in our operating expenses. Depreciation expense included within Cost of subscription and transaction fees for rental equipment was $1.6 million, $1.2 million, and $1.0 million for the years ended June 30, 2024, 2023, and 2022, respectively. Depreciation expense included within operating expenses for the years ended June 30, 2024, 2023, and 2022 was $5.0 million, $2.6 million and $1.1 million, respectively.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Internal-use software above included $9.2 million and $6.9 million in projects not yet placed in service as of June 30, 2024 and 2023, respectively.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LEASES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Lessee accounting</w:t>
      </w:r>
    </w:p>
    <w:p>
      <w:pPr>
        <w:spacing w:after="0" w:line="2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operating leases which are primarily real estate leases used for corporate functions, product development, sales, and other purposes. The following table provides supplemental balance sheet information related to the Company's operating leases: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5240" w:type="dxa"/>
            <w:vAlign w:val="bottom"/>
            <w:gridSpan w:val="2"/>
          </w:tcPr>
          <w:p>
            <w:pPr>
              <w:ind w:left="1700"/>
              <w:spacing w:after="0"/>
              <w:rPr>
                <w:sz w:val="20"/>
                <w:szCs w:val="20"/>
                <w:color w:val="auto"/>
              </w:rPr>
            </w:pPr>
            <w:r>
              <w:rPr>
                <w:rFonts w:ascii="Times New Roman" w:cs="Times New Roman" w:eastAsia="Times New Roman" w:hAnsi="Times New Roman"/>
                <w:sz w:val="14"/>
                <w:szCs w:val="14"/>
                <w:b w:val="1"/>
                <w:bCs w:val="1"/>
                <w:color w:val="auto"/>
              </w:rPr>
              <w:t>Balance Sheet Classification</w:t>
            </w:r>
          </w:p>
        </w:tc>
        <w:tc>
          <w:tcPr>
            <w:tcW w:w="180" w:type="dxa"/>
            <w:vAlign w:val="bottom"/>
          </w:tcPr>
          <w:p>
            <w:pPr>
              <w:spacing w:after="0"/>
              <w:rPr>
                <w:sz w:val="17"/>
                <w:szCs w:val="17"/>
                <w:color w:val="auto"/>
              </w:rPr>
            </w:pPr>
          </w:p>
        </w:tc>
        <w:tc>
          <w:tcPr>
            <w:tcW w:w="16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As of June 30, 2024</w:t>
            </w:r>
          </w:p>
        </w:tc>
        <w:tc>
          <w:tcPr>
            <w:tcW w:w="180" w:type="dxa"/>
            <w:vAlign w:val="bottom"/>
          </w:tcPr>
          <w:p>
            <w:pPr>
              <w:spacing w:after="0"/>
              <w:rPr>
                <w:sz w:val="17"/>
                <w:szCs w:val="17"/>
                <w:color w:val="auto"/>
              </w:rPr>
            </w:pPr>
          </w:p>
        </w:tc>
        <w:tc>
          <w:tcPr>
            <w:tcW w:w="154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As of June 30, 2023</w:t>
            </w:r>
          </w:p>
        </w:tc>
      </w:tr>
      <w:tr>
        <w:trPr>
          <w:trHeight w:val="23"/>
        </w:trPr>
        <w:tc>
          <w:tcPr>
            <w:tcW w:w="2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34"/>
        </w:trPr>
        <w:tc>
          <w:tcPr>
            <w:tcW w:w="2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29"/>
        </w:trPr>
        <w:tc>
          <w:tcPr>
            <w:tcW w:w="2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5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70"/>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8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7,986</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2,575</w:t>
            </w:r>
          </w:p>
        </w:tc>
      </w:tr>
      <w:tr>
        <w:trPr>
          <w:trHeight w:val="270"/>
        </w:trPr>
        <w:tc>
          <w:tcPr>
            <w:tcW w:w="2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r>
      <w:tr>
        <w:trPr>
          <w:trHeight w:val="230"/>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5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70"/>
        </w:trPr>
        <w:tc>
          <w:tcPr>
            <w:tcW w:w="2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5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180" w:type="dxa"/>
            <w:vAlign w:val="bottom"/>
            <w:shd w:val="clear" w:color="auto" w:fill="CCEEFF"/>
          </w:tcPr>
          <w:p>
            <w:pPr>
              <w:spacing w:after="0"/>
              <w:rPr>
                <w:sz w:val="23"/>
                <w:szCs w:val="23"/>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w:t>
            </w:r>
          </w:p>
        </w:tc>
      </w:tr>
      <w:tr>
        <w:trPr>
          <w:trHeight w:val="270"/>
        </w:trPr>
        <w:tc>
          <w:tcPr>
            <w:tcW w:w="24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Long-term</w:t>
            </w:r>
          </w:p>
        </w:tc>
        <w:tc>
          <w:tcPr>
            <w:tcW w:w="52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18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8,457</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2,504</w:t>
            </w:r>
          </w:p>
        </w:tc>
      </w:tr>
      <w:tr>
        <w:trPr>
          <w:trHeight w:val="264"/>
        </w:trPr>
        <w:tc>
          <w:tcPr>
            <w:tcW w:w="2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5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9,777</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3,770</w:t>
            </w:r>
          </w:p>
        </w:tc>
      </w:tr>
      <w:tr>
        <w:trPr>
          <w:trHeight w:val="857"/>
        </w:trPr>
        <w:tc>
          <w:tcPr>
            <w:tcW w:w="2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140" w:type="dxa"/>
            <w:vAlign w:val="bottom"/>
          </w:tcPr>
          <w:p>
            <w:pPr>
              <w:ind w:left="3100"/>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15"/>
        </w:trPr>
        <w:tc>
          <w:tcPr>
            <w:tcW w:w="23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color w:val="auto"/>
        </w:rPr>
        <w:t>Components of lease cost are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04"/>
        </w:trPr>
        <w:tc>
          <w:tcPr>
            <w:tcW w:w="54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060" w:type="dxa"/>
            <w:vAlign w:val="bottom"/>
            <w:vMerge w:val="restart"/>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9"/>
                <w:szCs w:val="9"/>
                <w:color w:val="auto"/>
              </w:rPr>
            </w:pPr>
          </w:p>
        </w:tc>
        <w:tc>
          <w:tcPr>
            <w:tcW w:w="560" w:type="dxa"/>
            <w:vAlign w:val="bottom"/>
            <w:gridSpan w:val="2"/>
          </w:tcPr>
          <w:p>
            <w:pPr>
              <w:ind w:left="20"/>
              <w:spacing w:after="0" w:line="104" w:lineRule="exact"/>
              <w:rPr>
                <w:sz w:val="20"/>
                <w:szCs w:val="20"/>
                <w:color w:val="auto"/>
              </w:rPr>
            </w:pPr>
            <w:r>
              <w:rPr>
                <w:rFonts w:ascii="Times New Roman" w:cs="Times New Roman" w:eastAsia="Times New Roman" w:hAnsi="Times New Roman"/>
                <w:sz w:val="12"/>
                <w:szCs w:val="12"/>
                <w:b w:val="1"/>
                <w:bCs w:val="1"/>
                <w:color w:val="auto"/>
              </w:rPr>
              <w:t>Year</w:t>
            </w:r>
          </w:p>
        </w:tc>
        <w:tc>
          <w:tcPr>
            <w:tcW w:w="1500" w:type="dxa"/>
            <w:vAlign w:val="bottom"/>
            <w:vMerge w:val="restart"/>
          </w:tcPr>
          <w:p>
            <w:pPr>
              <w:jc w:val="right"/>
              <w:ind w:right="62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0" w:type="dxa"/>
            <w:vAlign w:val="bottom"/>
            <w:gridSpan w:val="2"/>
          </w:tcPr>
          <w:p>
            <w:pPr>
              <w:ind w:left="20"/>
              <w:spacing w:after="0" w:line="104" w:lineRule="exact"/>
              <w:rPr>
                <w:sz w:val="20"/>
                <w:szCs w:val="20"/>
                <w:color w:val="auto"/>
              </w:rPr>
            </w:pPr>
            <w:r>
              <w:rPr>
                <w:rFonts w:ascii="Times New Roman" w:cs="Times New Roman" w:eastAsia="Times New Roman" w:hAnsi="Times New Roman"/>
                <w:sz w:val="12"/>
                <w:szCs w:val="12"/>
                <w:b w:val="1"/>
                <w:bCs w:val="1"/>
                <w:color w:val="auto"/>
              </w:rPr>
              <w:t>Year</w:t>
            </w:r>
          </w:p>
        </w:tc>
        <w:tc>
          <w:tcPr>
            <w:tcW w:w="1280" w:type="dxa"/>
            <w:vAlign w:val="bottom"/>
            <w:vMerge w:val="restart"/>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73"/>
        </w:trPr>
        <w:tc>
          <w:tcPr>
            <w:tcW w:w="546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500" w:type="dxa"/>
            <w:vAlign w:val="bottom"/>
            <w:vMerge w:val="continue"/>
          </w:tcPr>
          <w:p>
            <w:pPr>
              <w:spacing w:after="0"/>
              <w:rPr>
                <w:sz w:val="15"/>
                <w:szCs w:val="15"/>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5460" w:type="dxa"/>
            <w:vAlign w:val="bottom"/>
            <w:tcBorders>
              <w:top w:val="single" w:sz="8" w:color="auto"/>
            </w:tcBorders>
          </w:tcPr>
          <w:p>
            <w:pPr>
              <w:spacing w:after="0"/>
              <w:rPr>
                <w:sz w:val="2"/>
                <w:szCs w:val="2"/>
                <w:color w:val="auto"/>
              </w:rPr>
            </w:pPr>
          </w:p>
        </w:tc>
        <w:tc>
          <w:tcPr>
            <w:tcW w:w="1060" w:type="dxa"/>
            <w:vAlign w:val="bottom"/>
            <w:tcBorders>
              <w:top w:val="single" w:sz="8" w:color="auto"/>
            </w:tcBorders>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5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128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costs*</w:t>
            </w:r>
          </w:p>
        </w:tc>
        <w:tc>
          <w:tcPr>
            <w:tcW w:w="106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2,520</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2,490</w:t>
            </w: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140" w:hanging="132"/>
        <w:spacing w:after="0"/>
        <w:tabs>
          <w:tab w:leader="none" w:pos="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4"/>
          <w:szCs w:val="14"/>
          <w:color w:val="auto"/>
        </w:rPr>
        <w:t>Includes variable lease costs of $0.4 million for the years ended June 30, 2024, 2023 and 2022.</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cash flow information and non-cash activity related to our leases are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6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78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70"/>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6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57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Cash paid for amounts included in the measurement of operating lease</w:t>
            </w:r>
          </w:p>
        </w:tc>
        <w:tc>
          <w:tcPr>
            <w:tcW w:w="6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2,278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2,522</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Non-cash activity:</w:t>
            </w: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lease obligations</w:t>
            </w:r>
          </w:p>
        </w:tc>
        <w:tc>
          <w:tcPr>
            <w:tcW w:w="6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w:t>
            </w: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6,657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1,607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0" w:type="dxa"/>
            <w:vAlign w:val="bottom"/>
          </w:tcPr>
          <w:p>
            <w:pPr>
              <w:spacing w:after="0"/>
              <w:rPr>
                <w:sz w:val="1"/>
                <w:szCs w:val="1"/>
                <w:color w:val="auto"/>
              </w:rPr>
            </w:pPr>
          </w:p>
        </w:tc>
      </w:tr>
      <w:tr>
        <w:trPr>
          <w:trHeight w:val="540"/>
        </w:trPr>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remaining lease term and discount rate for our leases are as follows:</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57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60" w:type="dxa"/>
            <w:vAlign w:val="bottom"/>
            <w:gridSpan w:val="5"/>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jc w:val="right"/>
              <w:ind w:right="6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ind w:right="7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578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remaining lease term (years)</w:t>
            </w:r>
          </w:p>
        </w:tc>
        <w:tc>
          <w:tcPr>
            <w:tcW w:w="6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6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discount rate</w:t>
            </w:r>
          </w:p>
        </w:tc>
        <w:tc>
          <w:tcPr>
            <w:tcW w:w="6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0" w:type="dxa"/>
            <w:vAlign w:val="bottom"/>
          </w:tcPr>
          <w:p>
            <w:pPr>
              <w:spacing w:after="0"/>
              <w:rPr>
                <w:sz w:val="1"/>
                <w:szCs w:val="1"/>
                <w:color w:val="auto"/>
              </w:rPr>
            </w:pPr>
          </w:p>
        </w:tc>
      </w:tr>
      <w:tr>
        <w:trPr>
          <w:trHeight w:val="621"/>
        </w:trPr>
        <w:tc>
          <w:tcPr>
            <w:tcW w:w="76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Maturities of operating lease liabilities by fiscal year for our leases as of June 30, 2024 are as follows:</w:t>
            </w: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5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6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3"/>
        </w:trPr>
        <w:tc>
          <w:tcPr>
            <w:tcW w:w="57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w:t>
            </w:r>
          </w:p>
        </w:tc>
        <w:tc>
          <w:tcPr>
            <w:tcW w:w="0" w:type="dxa"/>
            <w:vAlign w:val="bottom"/>
          </w:tcPr>
          <w:p>
            <w:pPr>
              <w:spacing w:after="0"/>
              <w:rPr>
                <w:sz w:val="1"/>
                <w:szCs w:val="1"/>
                <w:color w:val="auto"/>
              </w:rPr>
            </w:pPr>
          </w:p>
        </w:tc>
      </w:tr>
      <w:tr>
        <w:trPr>
          <w:trHeight w:val="230"/>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6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2,266</w:t>
            </w:r>
          </w:p>
        </w:tc>
        <w:tc>
          <w:tcPr>
            <w:tcW w:w="0" w:type="dxa"/>
            <w:vAlign w:val="bottom"/>
          </w:tcPr>
          <w:p>
            <w:pPr>
              <w:spacing w:after="0"/>
              <w:rPr>
                <w:sz w:val="1"/>
                <w:szCs w:val="1"/>
                <w:color w:val="auto"/>
              </w:rPr>
            </w:pPr>
          </w:p>
        </w:tc>
      </w:tr>
      <w:tr>
        <w:trPr>
          <w:trHeight w:val="230"/>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w:t>
            </w:r>
          </w:p>
        </w:tc>
        <w:tc>
          <w:tcPr>
            <w:tcW w:w="0" w:type="dxa"/>
            <w:vAlign w:val="bottom"/>
          </w:tcPr>
          <w:p>
            <w:pPr>
              <w:spacing w:after="0"/>
              <w:rPr>
                <w:sz w:val="1"/>
                <w:szCs w:val="1"/>
                <w:color w:val="auto"/>
              </w:rPr>
            </w:pPr>
          </w:p>
        </w:tc>
      </w:tr>
      <w:tr>
        <w:trPr>
          <w:trHeight w:val="230"/>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6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w:t>
            </w:r>
          </w:p>
        </w:tc>
        <w:tc>
          <w:tcPr>
            <w:tcW w:w="0" w:type="dxa"/>
            <w:vAlign w:val="bottom"/>
          </w:tcPr>
          <w:p>
            <w:pPr>
              <w:spacing w:after="0"/>
              <w:rPr>
                <w:sz w:val="1"/>
                <w:szCs w:val="1"/>
                <w:color w:val="auto"/>
              </w:rPr>
            </w:pPr>
          </w:p>
        </w:tc>
      </w:tr>
      <w:tr>
        <w:trPr>
          <w:trHeight w:val="229"/>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w:t>
            </w:r>
          </w:p>
        </w:tc>
        <w:tc>
          <w:tcPr>
            <w:tcW w:w="0" w:type="dxa"/>
            <w:vAlign w:val="bottom"/>
          </w:tcPr>
          <w:p>
            <w:pPr>
              <w:spacing w:after="0"/>
              <w:rPr>
                <w:sz w:val="1"/>
                <w:szCs w:val="1"/>
                <w:color w:val="auto"/>
              </w:rPr>
            </w:pPr>
          </w:p>
        </w:tc>
      </w:tr>
      <w:tr>
        <w:trPr>
          <w:trHeight w:val="230"/>
        </w:trPr>
        <w:tc>
          <w:tcPr>
            <w:tcW w:w="5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60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5,469</w:t>
            </w:r>
          </w:p>
        </w:tc>
        <w:tc>
          <w:tcPr>
            <w:tcW w:w="0" w:type="dxa"/>
            <w:vAlign w:val="bottom"/>
          </w:tcPr>
          <w:p>
            <w:pPr>
              <w:spacing w:after="0"/>
              <w:rPr>
                <w:sz w:val="1"/>
                <w:szCs w:val="1"/>
                <w:color w:val="auto"/>
              </w:rPr>
            </w:pPr>
          </w:p>
        </w:tc>
      </w:tr>
      <w:tr>
        <w:trPr>
          <w:trHeight w:val="223"/>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13,951</w:t>
            </w:r>
          </w:p>
        </w:tc>
        <w:tc>
          <w:tcPr>
            <w:tcW w:w="0" w:type="dxa"/>
            <w:vAlign w:val="bottom"/>
          </w:tcPr>
          <w:p>
            <w:pPr>
              <w:spacing w:after="0"/>
              <w:rPr>
                <w:sz w:val="1"/>
                <w:szCs w:val="1"/>
                <w:color w:val="auto"/>
              </w:rPr>
            </w:pPr>
          </w:p>
        </w:tc>
      </w:tr>
      <w:tr>
        <w:trPr>
          <w:trHeight w:val="230"/>
        </w:trPr>
        <w:tc>
          <w:tcPr>
            <w:tcW w:w="5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60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(4,174)</w:t>
            </w:r>
          </w:p>
        </w:tc>
        <w:tc>
          <w:tcPr>
            <w:tcW w:w="0" w:type="dxa"/>
            <w:vAlign w:val="bottom"/>
          </w:tcPr>
          <w:p>
            <w:pPr>
              <w:spacing w:after="0"/>
              <w:rPr>
                <w:sz w:val="1"/>
                <w:szCs w:val="1"/>
                <w:color w:val="auto"/>
              </w:rPr>
            </w:pPr>
          </w:p>
        </w:tc>
      </w:tr>
      <w:tr>
        <w:trPr>
          <w:trHeight w:val="248"/>
        </w:trPr>
        <w:tc>
          <w:tcPr>
            <w:tcW w:w="5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6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9,777</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In connection with the acquisition of 32M described in </w:t>
      </w:r>
      <w:r>
        <w:rPr>
          <w:rFonts w:ascii="Times New Roman" w:cs="Times New Roman" w:eastAsia="Times New Roman" w:hAnsi="Times New Roman"/>
          <w:sz w:val="18"/>
          <w:szCs w:val="18"/>
          <w:i w:val="1"/>
          <w:iCs w:val="1"/>
          <w:color w:val="auto"/>
        </w:rPr>
        <w:t>Note 10 - Acquisitions</w:t>
      </w:r>
      <w:r>
        <w:rPr>
          <w:rFonts w:ascii="Times New Roman" w:cs="Times New Roman" w:eastAsia="Times New Roman" w:hAnsi="Times New Roman"/>
          <w:sz w:val="18"/>
          <w:szCs w:val="18"/>
          <w:color w:val="auto"/>
        </w:rPr>
        <w:t>, the Company entered into additional operating leases for office space located in River Falls, Wisconsin and Birmingham, UK. These leases commenced on December 31, 2022 with a term of 48-months.</w:t>
      </w:r>
    </w:p>
    <w:p>
      <w:pPr>
        <w:spacing w:after="0" w:line="18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In connection with the acquisition of Cheq described in </w:t>
      </w:r>
      <w:r>
        <w:rPr>
          <w:rFonts w:ascii="Times New Roman" w:cs="Times New Roman" w:eastAsia="Times New Roman" w:hAnsi="Times New Roman"/>
          <w:sz w:val="18"/>
          <w:szCs w:val="18"/>
          <w:i w:val="1"/>
          <w:iCs w:val="1"/>
          <w:color w:val="auto"/>
        </w:rPr>
        <w:t>Note 10 - Acquisitions</w:t>
      </w:r>
      <w:r>
        <w:rPr>
          <w:rFonts w:ascii="Times New Roman" w:cs="Times New Roman" w:eastAsia="Times New Roman" w:hAnsi="Times New Roman"/>
          <w:sz w:val="18"/>
          <w:szCs w:val="18"/>
          <w:color w:val="auto"/>
        </w:rPr>
        <w:t>, the Company acquired an operating lease for office space located in Seattle, Washington. This lease commenced on February 1, 2024 with a term of 11-months.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February 2023, the Company extended its existing Atlanta, Georgia office operating lease for an additional 73-months period including rent free periods.</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May 2023, the Company signed a new lease for its corporate office in Malvern, Pennsylvania. The new lease commenced on February 15, 2024 with a term of 133-months.</w:t>
      </w:r>
    </w:p>
    <w:p>
      <w:pPr>
        <w:sectPr>
          <w:pgSz w:w="11900" w:h="16838" w:orient="portrait"/>
          <w:cols w:equalWidth="0" w:num="1">
            <w:col w:w="11240"/>
          </w:cols>
          <w:pgMar w:left="320" w:top="1107"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18"/>
          <w:szCs w:val="18"/>
          <w:i w:val="1"/>
          <w:iCs w:val="1"/>
          <w:color w:val="auto"/>
        </w:rPr>
        <w:t>Lessor accounting</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used for the Company's operating lease rental program consisted of the following:</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4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8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32,513</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28,398</w:t>
            </w:r>
          </w:p>
        </w:tc>
        <w:tc>
          <w:tcPr>
            <w:tcW w:w="0" w:type="dxa"/>
            <w:vAlign w:val="bottom"/>
          </w:tcPr>
          <w:p>
            <w:pPr>
              <w:spacing w:after="0"/>
              <w:rPr>
                <w:sz w:val="1"/>
                <w:szCs w:val="1"/>
                <w:color w:val="auto"/>
              </w:rPr>
            </w:pPr>
          </w:p>
        </w:tc>
      </w:tr>
      <w:tr>
        <w:trPr>
          <w:trHeight w:val="243"/>
        </w:trPr>
        <w:tc>
          <w:tcPr>
            <w:tcW w:w="8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(24,742)</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(23,221)</w:t>
            </w:r>
          </w:p>
        </w:tc>
        <w:tc>
          <w:tcPr>
            <w:tcW w:w="0" w:type="dxa"/>
            <w:vAlign w:val="bottom"/>
          </w:tcPr>
          <w:p>
            <w:pPr>
              <w:spacing w:after="0"/>
              <w:rPr>
                <w:sz w:val="1"/>
                <w:szCs w:val="1"/>
                <w:color w:val="auto"/>
              </w:rPr>
            </w:pPr>
          </w:p>
        </w:tc>
      </w:tr>
      <w:tr>
        <w:trPr>
          <w:trHeight w:val="27"/>
        </w:trPr>
        <w:tc>
          <w:tcPr>
            <w:tcW w:w="8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8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7,771</w:t>
            </w:r>
          </w:p>
        </w:tc>
        <w:tc>
          <w:tcPr>
            <w:tcW w:w="8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5,177</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The Company’s net investment in sales-type leases (carrying value of lease receivables) and the future minimum amounts to be collected on these lease receivables as of June 30, 2024 are disclosed within </w:t>
      </w:r>
      <w:r>
        <w:rPr>
          <w:rFonts w:ascii="Times New Roman" w:cs="Times New Roman" w:eastAsia="Times New Roman" w:hAnsi="Times New Roman"/>
          <w:sz w:val="18"/>
          <w:szCs w:val="18"/>
          <w:i w:val="1"/>
          <w:iCs w:val="1"/>
          <w:color w:val="auto"/>
        </w:rPr>
        <w:t>Note 4, Finance Rece</w:t>
      </w:r>
      <w:r>
        <w:rPr>
          <w:rFonts w:ascii="Times New Roman" w:cs="Times New Roman" w:eastAsia="Times New Roman" w:hAnsi="Times New Roman"/>
          <w:sz w:val="18"/>
          <w:szCs w:val="18"/>
          <w:color w:val="auto"/>
        </w:rPr>
        <w:t>ivables.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also is the sublessor for office space in Denver, Colorado and Metairie, Louisiana. Sublessor rental income was $0.8 million, $0.8 million, and $0.6 million for the years ended June 30, 2024, 2023, and 2022,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DEBT AND OTHER FINANCING ARRANGEMENTS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debt and other financing arrangements as of June 30, 2024 and 2023 consisted of the following:</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4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42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40"/>
        </w:trPr>
        <w:tc>
          <w:tcPr>
            <w:tcW w:w="8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84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JPMorgan Credit Facility </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37,625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38,563</w:t>
            </w:r>
          </w:p>
        </w:tc>
        <w:tc>
          <w:tcPr>
            <w:tcW w:w="0" w:type="dxa"/>
            <w:vAlign w:val="bottom"/>
          </w:tcPr>
          <w:p>
            <w:pPr>
              <w:spacing w:after="0"/>
              <w:rPr>
                <w:sz w:val="1"/>
                <w:szCs w:val="1"/>
                <w:color w:val="auto"/>
              </w:rPr>
            </w:pPr>
          </w:p>
        </w:tc>
      </w:tr>
      <w:tr>
        <w:trPr>
          <w:trHeight w:val="229"/>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obligations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30"/>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unamortized issuance costs and debt discount</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23"/>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37,550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38,430</w:t>
            </w:r>
          </w:p>
        </w:tc>
        <w:tc>
          <w:tcPr>
            <w:tcW w:w="0" w:type="dxa"/>
            <w:vAlign w:val="bottom"/>
          </w:tcPr>
          <w:p>
            <w:pPr>
              <w:spacing w:after="0"/>
              <w:rPr>
                <w:sz w:val="1"/>
                <w:szCs w:val="1"/>
                <w:color w:val="auto"/>
              </w:rPr>
            </w:pPr>
          </w:p>
        </w:tc>
      </w:tr>
      <w:tr>
        <w:trPr>
          <w:trHeight w:val="230"/>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debt and other financing arrangements, current</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0" w:type="dxa"/>
            <w:vAlign w:val="bottom"/>
          </w:tcPr>
          <w:p>
            <w:pPr>
              <w:spacing w:after="0"/>
              <w:rPr>
                <w:sz w:val="1"/>
                <w:szCs w:val="1"/>
                <w:color w:val="auto"/>
              </w:rPr>
            </w:pPr>
          </w:p>
        </w:tc>
      </w:tr>
      <w:tr>
        <w:trPr>
          <w:trHeight w:val="223"/>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and other financing arrangements, non-current</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36,284</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37,548</w:t>
            </w:r>
          </w:p>
        </w:tc>
        <w:tc>
          <w:tcPr>
            <w:tcW w:w="0" w:type="dxa"/>
            <w:vAlign w:val="bottom"/>
          </w:tcPr>
          <w:p>
            <w:pPr>
              <w:spacing w:after="0"/>
              <w:rPr>
                <w:sz w:val="1"/>
                <w:szCs w:val="1"/>
                <w:color w:val="auto"/>
              </w:rPr>
            </w:pPr>
          </w:p>
        </w:tc>
      </w:tr>
      <w:tr>
        <w:trPr>
          <w:trHeight w:val="20"/>
        </w:trPr>
        <w:tc>
          <w:tcPr>
            <w:tcW w:w="8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4"/>
          <w:szCs w:val="14"/>
          <w:color w:val="auto"/>
        </w:rPr>
        <w:t xml:space="preserve"> See discussion below on the JPMorgan Credit Facil</w:t>
      </w:r>
      <w:r>
        <w:rPr>
          <w:rFonts w:ascii="Times New Roman" w:cs="Times New Roman" w:eastAsia="Times New Roman" w:hAnsi="Times New Roman"/>
          <w:sz w:val="17"/>
          <w:szCs w:val="17"/>
          <w:color w:val="auto"/>
        </w:rPr>
        <w:t>ity.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JP Morgan Credit Facility amended and restated March 17, 2022 and December 1, 2022</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17, 2022, the Company entered into an amended and restated credit agreement with JPMorgan Chase Bank, N.A. which provides for a $15 million secured revolving credit facility (the “Amended Revolving Facility”) and a $25 million secured term facility (the “Amended Secured Term Facility” and together with the Amended Revolving Facility, the “JPMorgan Credit Facility”), and fully replaced the previous 2021 JPMorgan credit facility.</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On December 1, 2022, the Company entered into a first amendment (the “2022 Amendment”) to its Amended and Restated Credit Agreement, dated as of March 17, 2022, which, among other things, amended the definition of the Company’s EBITDA under the Credit Agreement. On December 1, 2022, the Company borrowed an additional $25 million under the JPMorgan Credit Facility, including $15 million from the revolving credit facility and $10 million from the term facility, to partially fund the cash consideration of the 32M acquisition as referenced in </w:t>
      </w:r>
      <w:r>
        <w:rPr>
          <w:rFonts w:ascii="Times New Roman" w:cs="Times New Roman" w:eastAsia="Times New Roman" w:hAnsi="Times New Roman"/>
          <w:sz w:val="18"/>
          <w:szCs w:val="18"/>
          <w:i w:val="1"/>
          <w:iCs w:val="1"/>
          <w:color w:val="auto"/>
        </w:rPr>
        <w:t>Note 10 - Acquisitions</w:t>
      </w:r>
      <w:r>
        <w:rPr>
          <w:rFonts w:ascii="Times New Roman" w:cs="Times New Roman" w:eastAsia="Times New Roman" w:hAnsi="Times New Roman"/>
          <w:sz w:val="18"/>
          <w:szCs w:val="18"/>
          <w:color w:val="auto"/>
        </w:rPr>
        <w:t>. No issuance costs were capitalized in connection with this amendment.</w:t>
      </w:r>
    </w:p>
    <w:p>
      <w:pPr>
        <w:spacing w:after="0" w:line="2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JPMorgan Credit Facility matures on March 16, 2026. Interest on the JPMorgan Credit Facility will be based, at the Company’s option, on a base rate or SOFR plus an applicable margin tied to the Company’s total leverage ratio and having ranges of between 2.50% and 3.00% for base rate loans and between 3.50% and 4.00% for SOFR loans; provided that until June 30, 2022 the applicable margin shall be 2.75% for base rate loans and 3.75% for SOFR loans. Subject to the occurrence of a material acquisition and the Company’s total leverage ratio exceeding 3.00 to 1.00, the interest rate on the loans may increase by 0.25%. In an event of default, the interest rate may be increased by 2.00%. The JPMorgan Credit Facility has a commitment fee of 0.50% per annum on the unused portion. As of June 30, 2024 and 2023, the total applicable interest rate for the Amended Secured Term Facility was 9.0% and 9.0%, respectively.</w:t>
      </w:r>
    </w:p>
    <w:p>
      <w:pPr>
        <w:sectPr>
          <w:pgSz w:w="11900" w:h="16838" w:orient="portrait"/>
          <w:cols w:equalWidth="0" w:num="1">
            <w:col w:w="11240"/>
          </w:cols>
          <w:pgMar w:left="320" w:top="113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2" w:right="339" w:bottom="1440" w:gutter="0" w:footer="0" w:header="0"/>
          <w:type w:val="continuous"/>
        </w:sectPr>
      </w:pPr>
    </w:p>
    <w:bookmarkStart w:id="62" w:name="page63"/>
    <w:bookmarkEnd w:id="62"/>
    <w:p>
      <w:pPr>
        <w:jc w:val="both"/>
        <w:spacing w:after="0" w:line="258" w:lineRule="auto"/>
        <w:rPr>
          <w:sz w:val="20"/>
          <w:szCs w:val="20"/>
          <w:color w:val="auto"/>
        </w:rPr>
      </w:pPr>
      <w:r>
        <w:rPr>
          <w:rFonts w:ascii="Times New Roman" w:cs="Times New Roman" w:eastAsia="Times New Roman" w:hAnsi="Times New Roman"/>
          <w:sz w:val="18"/>
          <w:szCs w:val="18"/>
          <w:color w:val="auto"/>
        </w:rPr>
        <w:t>The JPMorgan Credit Facility includes customary representations, warranties and covenants, and acceleration, indemnity and events of default provisions, including, among other things, two financial covenants. One financial covenant requires the Company to maintain, at all times, a total leverage ratio of not more than 3.00 to 1.00 on the last day of any fiscal quarter. The other financial covenant is conditional on a material acquisition occurring: if a material acquisition occurs, the Company is required to maintain a total leverage ratio not greater than 4.00 to 1.00 for the next four fiscal quarters following the material acquisition.</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Amended Secured Term Facility was accounted for as a modification of the 2021 term facility. The previously unamortized debt issuance costs remain capitalized, the new fees paid to the creditor were capitalized, and allocated third-party costs incurred allocated to the term facility were charged to expense during fiscal 2023. We also evaluated that the borrowing capacity of the Amended Revolving Facility is greater than the borrowing capacity of the 2021 JPMorgan Revolving Facility. The previously unamortized debt issuance costs remain capitalized, the new fees paid to the creditor and allocated third-party costs were capitalized.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was in compliance with its financial covenants as of June 30, 2024.</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expected maturities associated with the Company’s outstanding debt and other financing arrangements as of June 30, 2024, were as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 w:type="dxa"/>
            <w:vAlign w:val="bottom"/>
          </w:tcPr>
          <w:p>
            <w:pPr>
              <w:spacing w:after="0"/>
              <w:rPr>
                <w:sz w:val="16"/>
                <w:szCs w:val="16"/>
                <w:color w:val="auto"/>
              </w:rPr>
            </w:pPr>
          </w:p>
        </w:tc>
        <w:tc>
          <w:tcPr>
            <w:tcW w:w="8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3"/>
        </w:trPr>
        <w:tc>
          <w:tcPr>
            <w:tcW w:w="844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4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36,326</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amounts payable</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Unamortized issuance costs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outstanding debt</w:t>
            </w: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37,550</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4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8. ACCRUED EXPENSES</w:t>
            </w: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844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expenses consisted of the following as of June 30, 2024 and 2023:</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40" w:type="dxa"/>
            <w:vAlign w:val="bottom"/>
          </w:tcPr>
          <w:p>
            <w:pPr>
              <w:spacing w:after="0"/>
              <w:rPr>
                <w:sz w:val="24"/>
                <w:szCs w:val="24"/>
                <w:color w:val="auto"/>
              </w:rPr>
            </w:pPr>
          </w:p>
        </w:tc>
        <w:tc>
          <w:tcPr>
            <w:tcW w:w="8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8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440" w:type="dxa"/>
            <w:vAlign w:val="bottom"/>
            <w:tcBorders>
              <w:bottom w:val="single" w:sz="8" w:color="auto"/>
            </w:tcBorders>
            <w:gridSpan w:val="2"/>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8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sales tax</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compensation and related sales commissions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 current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professional fees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other taxes and filing fees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other</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Consideration withheld for the 32M acquisition</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tcBorders>
              <w:bottom w:val="single" w:sz="8" w:color="CCEEFF"/>
            </w:tcBorders>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Consideration withheld for the Cheq acquisition</w:t>
            </w:r>
            <w:r>
              <w:rPr>
                <w:rFonts w:ascii="Times New Roman" w:cs="Times New Roman" w:eastAsia="Times New Roman" w:hAnsi="Times New Roman"/>
                <w:sz w:val="23"/>
                <w:szCs w:val="23"/>
                <w:color w:val="auto"/>
                <w:vertAlign w:val="superscript"/>
              </w:rPr>
              <w:t>(1)</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8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accrued expenses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26,276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4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8" w:lineRule="exact"/>
        <w:rPr>
          <w:sz w:val="20"/>
          <w:szCs w:val="20"/>
          <w:color w:val="auto"/>
        </w:rPr>
      </w:pPr>
    </w:p>
    <w:p>
      <w:pPr>
        <w:ind w:left="180" w:hanging="172"/>
        <w:spacing w:after="0"/>
        <w:tabs>
          <w:tab w:leader="none" w:pos="180" w:val="left"/>
        </w:tabs>
        <w:numPr>
          <w:ilvl w:val="0"/>
          <w:numId w:val="34"/>
        </w:numPr>
        <w:rPr>
          <w:rFonts w:ascii="Times New Roman" w:cs="Times New Roman" w:eastAsia="Times New Roman" w:hAnsi="Times New Roman"/>
          <w:sz w:val="22"/>
          <w:szCs w:val="22"/>
          <w:i w:val="1"/>
          <w:iCs w:val="1"/>
          <w:color w:val="auto"/>
          <w:vertAlign w:val="superscript"/>
        </w:rPr>
      </w:pPr>
      <w:r>
        <w:rPr>
          <w:rFonts w:ascii="Times New Roman" w:cs="Times New Roman" w:eastAsia="Times New Roman" w:hAnsi="Times New Roman"/>
          <w:sz w:val="14"/>
          <w:szCs w:val="14"/>
          <w:i w:val="1"/>
          <w:iCs w:val="1"/>
          <w:color w:val="auto"/>
        </w:rPr>
        <w:t>See Note 10 - Acquisitions for details.</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color w:val="auto"/>
        </w:rPr>
        <w:t>9. GOODWILL AND INTANGIBLE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 and intangible asset balances consisted of the following:</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As of June 30, 2024</w:t>
            </w: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6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5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80" w:type="dxa"/>
            <w:vAlign w:val="bottom"/>
          </w:tcPr>
          <w:p>
            <w:pPr>
              <w:spacing w:after="0"/>
              <w:rPr>
                <w:sz w:val="13"/>
                <w:szCs w:val="13"/>
                <w:color w:val="auto"/>
              </w:rPr>
            </w:pPr>
          </w:p>
        </w:tc>
        <w:tc>
          <w:tcPr>
            <w:tcW w:w="11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13"/>
                <w:szCs w:val="13"/>
                <w:color w:val="auto"/>
              </w:rPr>
            </w:pPr>
          </w:p>
        </w:tc>
        <w:tc>
          <w:tcPr>
            <w:tcW w:w="1240" w:type="dxa"/>
            <w:vAlign w:val="bottom"/>
            <w:gridSpan w:val="2"/>
          </w:tcPr>
          <w:p>
            <w:pPr>
              <w:jc w:val="center"/>
              <w:ind w:right="300"/>
              <w:spacing w:after="0" w:line="15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340" w:type="dxa"/>
            <w:vAlign w:val="bottom"/>
          </w:tcPr>
          <w:p>
            <w:pPr>
              <w:spacing w:after="0"/>
              <w:rPr>
                <w:sz w:val="13"/>
                <w:szCs w:val="13"/>
                <w:color w:val="auto"/>
              </w:rPr>
            </w:pPr>
          </w:p>
        </w:tc>
        <w:tc>
          <w:tcPr>
            <w:tcW w:w="11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Net</w:t>
            </w:r>
          </w:p>
        </w:tc>
        <w:tc>
          <w:tcPr>
            <w:tcW w:w="132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96"/>
        </w:trPr>
        <w:tc>
          <w:tcPr>
            <w:tcW w:w="56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4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Life (Years)</w:t>
            </w:r>
          </w:p>
        </w:tc>
        <w:tc>
          <w:tcPr>
            <w:tcW w:w="0" w:type="dxa"/>
            <w:vAlign w:val="bottom"/>
          </w:tcPr>
          <w:p>
            <w:pPr>
              <w:spacing w:after="0"/>
              <w:rPr>
                <w:sz w:val="1"/>
                <w:szCs w:val="1"/>
                <w:color w:val="auto"/>
              </w:rPr>
            </w:pPr>
          </w:p>
        </w:tc>
      </w:tr>
      <w:tr>
        <w:trPr>
          <w:trHeight w:val="148"/>
        </w:trPr>
        <w:tc>
          <w:tcPr>
            <w:tcW w:w="56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Brand and trade names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2,361</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(1,852)</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Developed technology</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20,062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6,758</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30"/>
        </w:trPr>
        <w:tc>
          <w:tcPr>
            <w:tcW w:w="5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Customer relationships</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27,024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(9,665)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17,359</w:t>
            </w: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48"/>
        </w:trPr>
        <w:tc>
          <w:tcPr>
            <w:tcW w:w="5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49,447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(24,821)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24,626</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94,903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94,903</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Indefinite</w:t>
            </w:r>
          </w:p>
        </w:tc>
        <w:tc>
          <w:tcPr>
            <w:tcW w:w="0" w:type="dxa"/>
            <w:vAlign w:val="bottom"/>
          </w:tcPr>
          <w:p>
            <w:pPr>
              <w:spacing w:after="0"/>
              <w:rPr>
                <w:sz w:val="1"/>
                <w:szCs w:val="1"/>
                <w:color w:val="auto"/>
              </w:rPr>
            </w:pPr>
          </w:p>
        </w:tc>
      </w:tr>
      <w:tr>
        <w:trPr>
          <w:trHeight w:val="638"/>
        </w:trPr>
        <w:tc>
          <w:tcPr>
            <w:tcW w:w="5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As of June 30, 2023</w:t>
            </w: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6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5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80" w:type="dxa"/>
            <w:vAlign w:val="bottom"/>
          </w:tcPr>
          <w:p>
            <w:pPr>
              <w:spacing w:after="0"/>
              <w:rPr>
                <w:sz w:val="13"/>
                <w:szCs w:val="13"/>
                <w:color w:val="auto"/>
              </w:rPr>
            </w:pPr>
          </w:p>
        </w:tc>
        <w:tc>
          <w:tcPr>
            <w:tcW w:w="11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13"/>
                <w:szCs w:val="13"/>
                <w:color w:val="auto"/>
              </w:rPr>
            </w:pPr>
          </w:p>
        </w:tc>
        <w:tc>
          <w:tcPr>
            <w:tcW w:w="1240" w:type="dxa"/>
            <w:vAlign w:val="bottom"/>
            <w:gridSpan w:val="2"/>
          </w:tcPr>
          <w:p>
            <w:pPr>
              <w:jc w:val="center"/>
              <w:ind w:right="300"/>
              <w:spacing w:after="0" w:line="158"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340" w:type="dxa"/>
            <w:vAlign w:val="bottom"/>
          </w:tcPr>
          <w:p>
            <w:pPr>
              <w:spacing w:after="0"/>
              <w:rPr>
                <w:sz w:val="13"/>
                <w:szCs w:val="13"/>
                <w:color w:val="auto"/>
              </w:rPr>
            </w:pPr>
          </w:p>
        </w:tc>
        <w:tc>
          <w:tcPr>
            <w:tcW w:w="11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Net</w:t>
            </w:r>
          </w:p>
        </w:tc>
        <w:tc>
          <w:tcPr>
            <w:tcW w:w="132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95"/>
        </w:trPr>
        <w:tc>
          <w:tcPr>
            <w:tcW w:w="56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0" w:type="dxa"/>
            <w:vAlign w:val="bottom"/>
          </w:tcPr>
          <w:p>
            <w:pPr>
              <w:spacing w:after="0"/>
              <w:rPr>
                <w:sz w:val="1"/>
                <w:szCs w:val="1"/>
                <w:color w:val="auto"/>
              </w:rPr>
            </w:pPr>
          </w:p>
        </w:tc>
      </w:tr>
      <w:tr>
        <w:trPr>
          <w:trHeight w:val="39"/>
        </w:trPr>
        <w:tc>
          <w:tcPr>
            <w:tcW w:w="5600" w:type="dxa"/>
            <w:vAlign w:val="bottom"/>
            <w:tcBorders>
              <w:top w:val="single" w:sz="8" w:color="auto"/>
            </w:tcBorders>
          </w:tcPr>
          <w:p>
            <w:pPr>
              <w:spacing w:after="0"/>
              <w:rPr>
                <w:sz w:val="3"/>
                <w:szCs w:val="3"/>
                <w:color w:val="auto"/>
              </w:rPr>
            </w:pPr>
          </w:p>
        </w:tc>
        <w:tc>
          <w:tcPr>
            <w:tcW w:w="280" w:type="dxa"/>
            <w:vAlign w:val="bottom"/>
            <w:tcBorders>
              <w:top w:val="single" w:sz="8" w:color="auto"/>
            </w:tcBorders>
          </w:tcPr>
          <w:p>
            <w:pPr>
              <w:spacing w:after="0"/>
              <w:rPr>
                <w:sz w:val="3"/>
                <w:szCs w:val="3"/>
                <w:color w:val="auto"/>
              </w:rPr>
            </w:pPr>
          </w:p>
        </w:tc>
        <w:tc>
          <w:tcPr>
            <w:tcW w:w="102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114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top w:val="single" w:sz="8" w:color="auto"/>
            </w:tcBorders>
          </w:tcPr>
          <w:p>
            <w:pPr>
              <w:spacing w:after="0"/>
              <w:rPr>
                <w:sz w:val="3"/>
                <w:szCs w:val="3"/>
                <w:color w:val="auto"/>
              </w:rPr>
            </w:pPr>
          </w:p>
        </w:tc>
        <w:tc>
          <w:tcPr>
            <w:tcW w:w="98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32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Brand and trade names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2,161</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Developed technology</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9,122</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30"/>
        </w:trPr>
        <w:tc>
          <w:tcPr>
            <w:tcW w:w="5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Customer relationships</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24,714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17,943</w:t>
            </w: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48"/>
        </w:trPr>
        <w:tc>
          <w:tcPr>
            <w:tcW w:w="5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47,063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27,812</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gridSpan w:val="2"/>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6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92,005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92,005</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Indefinite</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years ended June 30, 2024, 2023 and 2022, amortization expense related to intangible assets was $5.6 million, $5.0 million and $3.3 million, respectively.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80" w:type="dxa"/>
            <w:vAlign w:val="bottom"/>
          </w:tcPr>
          <w:p>
            <w:pPr>
              <w:spacing w:after="0"/>
              <w:rPr>
                <w:sz w:val="20"/>
                <w:szCs w:val="20"/>
                <w:color w:val="auto"/>
              </w:rPr>
            </w:pPr>
            <w:r>
              <w:rPr>
                <w:rFonts w:ascii="Times New Roman" w:cs="Times New Roman" w:eastAsia="Times New Roman" w:hAnsi="Times New Roman"/>
                <w:sz w:val="18"/>
                <w:szCs w:val="18"/>
                <w:color w:val="auto"/>
              </w:rPr>
              <w:t>Estimated annual amortization expense for intangible assets is as follows:</w:t>
            </w: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38"/>
        </w:trPr>
        <w:tc>
          <w:tcPr>
            <w:tcW w:w="9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4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23"/>
        </w:trPr>
        <w:tc>
          <w:tcPr>
            <w:tcW w:w="9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4,969</w:t>
            </w:r>
          </w:p>
        </w:tc>
      </w:tr>
      <w:tr>
        <w:trPr>
          <w:trHeight w:val="230"/>
        </w:trPr>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4,771</w:t>
            </w:r>
          </w:p>
        </w:tc>
      </w:tr>
      <w:tr>
        <w:trPr>
          <w:trHeight w:val="229"/>
        </w:trPr>
        <w:tc>
          <w:tcPr>
            <w:tcW w:w="9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4,421</w:t>
            </w:r>
          </w:p>
        </w:tc>
      </w:tr>
      <w:tr>
        <w:trPr>
          <w:trHeight w:val="230"/>
        </w:trPr>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2,571</w:t>
            </w:r>
          </w:p>
        </w:tc>
      </w:tr>
      <w:tr>
        <w:trPr>
          <w:trHeight w:val="230"/>
        </w:trPr>
        <w:tc>
          <w:tcPr>
            <w:tcW w:w="9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w:t>
            </w:r>
          </w:p>
        </w:tc>
      </w:tr>
      <w:tr>
        <w:trPr>
          <w:trHeight w:val="230"/>
        </w:trPr>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6,686</w:t>
            </w:r>
          </w:p>
        </w:tc>
      </w:tr>
      <w:tr>
        <w:trPr>
          <w:trHeight w:val="223"/>
        </w:trPr>
        <w:tc>
          <w:tcPr>
            <w:tcW w:w="98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24,626</w:t>
            </w:r>
          </w:p>
        </w:tc>
      </w:tr>
      <w:tr>
        <w:trPr>
          <w:trHeight w:val="20"/>
        </w:trPr>
        <w:tc>
          <w:tcPr>
            <w:tcW w:w="98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ACQUISITIONS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Cheq</w:t>
      </w:r>
    </w:p>
    <w:p>
      <w:pPr>
        <w:spacing w:after="0" w:line="21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February 1, 2024, the Company acquired all of the equity interests of Cheq Lifestyle Technology, Inc. ("Cheq"). Founded in 2021, Cheq powers payments for numerous professional sports teams, entertainment venues and festival operators through its enterprise-grade payment devices and mobile ordering platform. The acquisition positions Cantaloupe for expansion into the large and rapidly growing sports, entertainment, and restaurant sectors with a comprehensive suite of self-service solutions.</w:t>
      </w:r>
    </w:p>
    <w:p>
      <w:pPr>
        <w:spacing w:after="0" w:line="21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acquisition of Cheq was accounted for as a business combination using the acquisition method of accounting. The purchase price of the acquired company was allocated between tangible and intangible assets acquired and liabilities assumed from the</w:t>
      </w:r>
    </w:p>
    <w:p>
      <w:pPr>
        <w:sectPr>
          <w:pgSz w:w="11900" w:h="16838" w:orient="portrait"/>
          <w:cols w:equalWidth="0" w:num="1">
            <w:col w:w="11240"/>
          </w:cols>
          <w:pgMar w:left="320" w:top="1130"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type w:val="continuous"/>
        </w:sectPr>
      </w:pPr>
    </w:p>
    <w:bookmarkStart w:id="64" w:name="page65"/>
    <w:bookmarkEnd w:id="64"/>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acquired business based on their estimated fair values using primarily Level 3 inputs under ASC Topic 820, "Fair Value Measurement", with the residual of the purchase price recorded as goodwill.</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paid an aggregate purchase price consideration of $4.7 million, including $1.1 million in accounts payable paid concurrently with the acquisition and $0.9 million cash held back by the Company for net working capital and other post-closing adjustments. The acquisition was funded by the Company's cash on hand. Cash held back by the Company is expected to be paid after post-closing adjustments on January 1,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adjusted fair value assigned to the assets acquired and liabilities assumed as of June 30, 2024.</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8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23"/>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4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30"/>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8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w:t>
            </w:r>
          </w:p>
        </w:tc>
      </w:tr>
      <w:tr>
        <w:trPr>
          <w:trHeight w:val="229"/>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8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w:t>
            </w:r>
          </w:p>
        </w:tc>
      </w:tr>
      <w:tr>
        <w:trPr>
          <w:trHeight w:val="229"/>
        </w:trPr>
        <w:tc>
          <w:tcPr>
            <w:tcW w:w="9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8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w:t>
            </w:r>
          </w:p>
        </w:tc>
      </w:tr>
      <w:tr>
        <w:trPr>
          <w:trHeight w:val="223"/>
        </w:trPr>
        <w:tc>
          <w:tcPr>
            <w:tcW w:w="9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identifiable assets acquired</w:t>
            </w:r>
          </w:p>
        </w:tc>
        <w:tc>
          <w:tcPr>
            <w:tcW w:w="8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3,456</w:t>
            </w:r>
          </w:p>
        </w:tc>
      </w:tr>
      <w:tr>
        <w:trPr>
          <w:trHeight w:val="229"/>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8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w:t>
            </w:r>
          </w:p>
        </w:tc>
      </w:tr>
      <w:tr>
        <w:trPr>
          <w:trHeight w:val="230"/>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8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23"/>
        </w:trPr>
        <w:tc>
          <w:tcPr>
            <w:tcW w:w="9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8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w:t>
            </w:r>
          </w:p>
        </w:tc>
      </w:tr>
      <w:tr>
        <w:trPr>
          <w:trHeight w:val="230"/>
        </w:trPr>
        <w:tc>
          <w:tcPr>
            <w:tcW w:w="9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identifiable net assets</w:t>
            </w:r>
          </w:p>
        </w:tc>
        <w:tc>
          <w:tcPr>
            <w:tcW w:w="8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2,713</w:t>
            </w:r>
          </w:p>
        </w:tc>
      </w:tr>
      <w:tr>
        <w:trPr>
          <w:trHeight w:val="229"/>
        </w:trPr>
        <w:tc>
          <w:tcPr>
            <w:tcW w:w="9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8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48"/>
        </w:trPr>
        <w:tc>
          <w:tcPr>
            <w:tcW w:w="90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Fair value of total considerations transferred</w:t>
            </w:r>
          </w:p>
        </w:tc>
        <w:tc>
          <w:tcPr>
            <w:tcW w:w="840" w:type="dxa"/>
            <w:vAlign w:val="bottom"/>
            <w:tcBorders>
              <w:bottom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4,713</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determined the fair value of the identifiable intangible assets acquired with the assistance of third-party valuation consultants. Amounts allocated to identifiable intangible assets included $1.4 million related to developed technology, $0.2 million related to customer relationships, and $0.2 million related to trade names. The fair value of the acquired developed technology was determined using a multi-period excess earnings method. The fair value of the acquired customer relationships was determined using the distributor method which estimates the value using the cash flow impact in a scenario where the customer relationships are not in place. The fair value of the acquired trade names was determined using the relief from royalty method which estimates the value using the discounted value of the royalty that a company would pay to license the trade name. The recognized intangible assets will be amortized on a straight-line basis over the estimated useful lives of the respective assets. The estimated useful lives for developed technology, customer relationship, trade names were 5, 5 and 3 years, respectively.</w:t>
      </w: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Goodwill of $2.0 million arising from the acquisition includes the expected synergies between Cheq and the Company. The goodwill, which is not deductible for income tax purposes, was assigned to the Company’s only reporting unit.</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recognized $1.1 million of integration and acquisition related costs that were expensed during the year ended June 30, 2024. These costs are recorded within Integration and acquisition expenses in the Consolidated Statements of Operations.</w:t>
      </w:r>
    </w:p>
    <w:p>
      <w:pPr>
        <w:spacing w:after="0" w:line="175"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8"/>
          <w:szCs w:val="18"/>
          <w:color w:val="auto"/>
        </w:rPr>
        <w:t>Subsequent to the acquisition closing date and within the one-year measurement period, the Company adjusted the purchase price allocation from what was initially recognized in the consolidated financial statements as of March 31, 2024 to reflect facts and circumstances in existence as of the acquisition close date. These adjustments included a net decrease of $0.1 million to the overall purchase price consideration, a $0.9 million decrease in intangible assets, a $0.1 million increase in other assets, and a $0.2 million increase in accounts payable. Recognized goodwill increased by $0.9 million as a result of these adjustments. Furthermore, the Company reduced amortization expense of $0.2 million associated with the decrease in fair value of the recognized intangible assets in its Consolidated Statement of Operations. The allocation of the purchase price is currently provisional and is subject to change over the remainder of the measurement period as the Company continues to evaluate and analyze the estimates and assumptions used in the valuation. Pro forma financial information of the acquisition and revenue and net income since acquisition are not presented due to the immaterial impact of the financial results of Cheq in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i w:val="1"/>
          <w:iCs w:val="1"/>
          <w:color w:val="auto"/>
        </w:rPr>
        <w:t>Three Square Market</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1, 2022, the Company acquired all of the equity interests of Three Square Market, Inc., a Wisconsin corporation, and Three Square Market Limited, a UK private limited company (collectively "32M") pursuant to an Equity Purchase Agreement. 32M is a leading provider of software and self-service kiosk-based POS and payment solutions to the micro market industry and the acquisition expanded the Company's presence in that industry. In addition to new technology and services, due to 32M’s existing customer base, the acquisition expanded the Company’s footprint into new global markets.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acquisition of 32M was accounted for as a business combination using the acquisition method of accounting. The purchase price of the acquired company was allocated between tangible and intangible assets acquired and liabilities assumed from the acquired business based on their estimated fair values using primarily Level 3 inputs under ASC Topic 820, with the residual of the purchase price recorded as goodwill.</w:t>
      </w:r>
    </w:p>
    <w:p>
      <w:pPr>
        <w:spacing w:after="0" w:line="19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paid an aggregate purchase price consideration of $41.1 million, which consisted of $36.6 million in cash and 1,240,920 shares of the Company's common stock (the "Stock Consideration") with an aggregate fair value of $4.5 million for the acquisition of 32M. The aggregate cash consideration includes $0.5 million of cash paid into an escrow account for net working capital and other post-closing adjustments. The Stock Consideration of 1,240,920 shares ("Escrowed Shares") referred to above were placed into an escrow account to resolve indemnification claims for breach of certain representations and warranties. 50% of the Escrowed Shares were released as of the first anniversary of the acquisition date and the remaining 50% will be released on the second anniversary of the acquisition date, less any shares that may be returned to the Company on account of any indemnity claims. The Escrowed Shares are considered to be issued and outstanding shares of the Company as of the acquisition date.</w:t>
      </w:r>
    </w:p>
    <w:p>
      <w:pPr>
        <w:spacing w:after="0" w:line="21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funded the cash consideration of the acquisition by borrowing $25 million of debt from the JPMorgan Credit Facility and the remaining consideration utilized existing cash on hand.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300" w:type="dxa"/>
            <w:vAlign w:val="bottom"/>
          </w:tcPr>
          <w:p>
            <w:pPr>
              <w:spacing w:after="0"/>
              <w:rPr>
                <w:sz w:val="20"/>
                <w:szCs w:val="20"/>
                <w:color w:val="auto"/>
              </w:rPr>
            </w:pPr>
            <w:r>
              <w:rPr>
                <w:rFonts w:ascii="Times New Roman" w:cs="Times New Roman" w:eastAsia="Times New Roman" w:hAnsi="Times New Roman"/>
                <w:sz w:val="18"/>
                <w:szCs w:val="18"/>
                <w:color w:val="auto"/>
              </w:rPr>
              <w:t>The estimated fair value of the purchase price consideration consisted of the following:</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9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1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223"/>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Closing cash consideration</w:t>
            </w:r>
          </w:p>
        </w:tc>
        <w:tc>
          <w:tcPr>
            <w:tcW w:w="740" w:type="dxa"/>
            <w:vAlign w:val="bottom"/>
            <w:gridSpan w:val="2"/>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36,605</w:t>
            </w:r>
          </w:p>
        </w:tc>
        <w:tc>
          <w:tcPr>
            <w:tcW w:w="0" w:type="dxa"/>
            <w:vAlign w:val="bottom"/>
          </w:tcPr>
          <w:p>
            <w:pPr>
              <w:spacing w:after="0"/>
              <w:rPr>
                <w:sz w:val="1"/>
                <w:szCs w:val="1"/>
                <w:color w:val="auto"/>
              </w:rPr>
            </w:pPr>
          </w:p>
        </w:tc>
      </w:tr>
      <w:tr>
        <w:trPr>
          <w:trHeight w:val="230"/>
        </w:trPr>
        <w:tc>
          <w:tcPr>
            <w:tcW w:w="9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Stock Consideration</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4,506</w:t>
            </w:r>
          </w:p>
        </w:tc>
        <w:tc>
          <w:tcPr>
            <w:tcW w:w="0" w:type="dxa"/>
            <w:vAlign w:val="bottom"/>
          </w:tcPr>
          <w:p>
            <w:pPr>
              <w:spacing w:after="0"/>
              <w:rPr>
                <w:sz w:val="1"/>
                <w:szCs w:val="1"/>
                <w:color w:val="auto"/>
              </w:rPr>
            </w:pPr>
          </w:p>
        </w:tc>
      </w:tr>
      <w:tr>
        <w:trPr>
          <w:trHeight w:val="248"/>
        </w:trPr>
        <w:tc>
          <w:tcPr>
            <w:tcW w:w="9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total consideration transferred</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41,111</w:t>
            </w:r>
          </w:p>
        </w:tc>
        <w:tc>
          <w:tcPr>
            <w:tcW w:w="0" w:type="dxa"/>
            <w:vAlign w:val="bottom"/>
          </w:tcPr>
          <w:p>
            <w:pPr>
              <w:spacing w:after="0"/>
              <w:rPr>
                <w:sz w:val="1"/>
                <w:szCs w:val="1"/>
                <w:color w:val="auto"/>
              </w:rPr>
            </w:pPr>
          </w:p>
        </w:tc>
      </w:tr>
      <w:tr>
        <w:trPr>
          <w:trHeight w:val="20"/>
        </w:trPr>
        <w:tc>
          <w:tcPr>
            <w:tcW w:w="93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The following table summarizes the final fair value assigned to the assets acquired and liabilities assumed as of June 30, 2024.</w:t>
            </w: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93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223"/>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40" w:type="dxa"/>
            <w:vAlign w:val="bottom"/>
            <w:gridSpan w:val="2"/>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0" w:type="dxa"/>
            <w:vAlign w:val="bottom"/>
          </w:tcPr>
          <w:p>
            <w:pPr>
              <w:spacing w:after="0"/>
              <w:rPr>
                <w:sz w:val="1"/>
                <w:szCs w:val="1"/>
                <w:color w:val="auto"/>
              </w:rPr>
            </w:pPr>
          </w:p>
        </w:tc>
      </w:tr>
      <w:tr>
        <w:trPr>
          <w:trHeight w:val="229"/>
        </w:trPr>
        <w:tc>
          <w:tcPr>
            <w:tcW w:w="9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0" w:type="dxa"/>
            <w:vAlign w:val="bottom"/>
          </w:tcPr>
          <w:p>
            <w:pPr>
              <w:spacing w:after="0"/>
              <w:rPr>
                <w:sz w:val="1"/>
                <w:szCs w:val="1"/>
                <w:color w:val="auto"/>
              </w:rPr>
            </w:pPr>
          </w:p>
        </w:tc>
      </w:tr>
      <w:tr>
        <w:trPr>
          <w:trHeight w:val="230"/>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2,011</w:t>
            </w:r>
          </w:p>
        </w:tc>
        <w:tc>
          <w:tcPr>
            <w:tcW w:w="0" w:type="dxa"/>
            <w:vAlign w:val="bottom"/>
          </w:tcPr>
          <w:p>
            <w:pPr>
              <w:spacing w:after="0"/>
              <w:rPr>
                <w:sz w:val="1"/>
                <w:szCs w:val="1"/>
                <w:color w:val="auto"/>
              </w:rPr>
            </w:pPr>
          </w:p>
        </w:tc>
      </w:tr>
      <w:tr>
        <w:trPr>
          <w:trHeight w:val="230"/>
        </w:trPr>
        <w:tc>
          <w:tcPr>
            <w:tcW w:w="9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15,538</w:t>
            </w:r>
          </w:p>
        </w:tc>
        <w:tc>
          <w:tcPr>
            <w:tcW w:w="0" w:type="dxa"/>
            <w:vAlign w:val="bottom"/>
          </w:tcPr>
          <w:p>
            <w:pPr>
              <w:spacing w:after="0"/>
              <w:rPr>
                <w:sz w:val="1"/>
                <w:szCs w:val="1"/>
                <w:color w:val="auto"/>
              </w:rPr>
            </w:pPr>
          </w:p>
        </w:tc>
      </w:tr>
      <w:tr>
        <w:trPr>
          <w:trHeight w:val="230"/>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0" w:type="dxa"/>
            <w:vAlign w:val="bottom"/>
          </w:tcPr>
          <w:p>
            <w:pPr>
              <w:spacing w:after="0"/>
              <w:rPr>
                <w:sz w:val="1"/>
                <w:szCs w:val="1"/>
                <w:color w:val="auto"/>
              </w:rPr>
            </w:pPr>
          </w:p>
        </w:tc>
      </w:tr>
      <w:tr>
        <w:trPr>
          <w:trHeight w:val="223"/>
        </w:trPr>
        <w:tc>
          <w:tcPr>
            <w:tcW w:w="9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identifiable assets acquired</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20,349</w:t>
            </w:r>
          </w:p>
        </w:tc>
        <w:tc>
          <w:tcPr>
            <w:tcW w:w="0" w:type="dxa"/>
            <w:vAlign w:val="bottom"/>
          </w:tcPr>
          <w:p>
            <w:pPr>
              <w:spacing w:after="0"/>
              <w:rPr>
                <w:sz w:val="1"/>
                <w:szCs w:val="1"/>
                <w:color w:val="auto"/>
              </w:rPr>
            </w:pPr>
          </w:p>
        </w:tc>
      </w:tr>
      <w:tr>
        <w:trPr>
          <w:trHeight w:val="230"/>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(2,410)</w:t>
            </w:r>
          </w:p>
        </w:tc>
        <w:tc>
          <w:tcPr>
            <w:tcW w:w="0" w:type="dxa"/>
            <w:vAlign w:val="bottom"/>
          </w:tcPr>
          <w:p>
            <w:pPr>
              <w:spacing w:after="0"/>
              <w:rPr>
                <w:sz w:val="1"/>
                <w:szCs w:val="1"/>
                <w:color w:val="auto"/>
              </w:rPr>
            </w:pPr>
          </w:p>
        </w:tc>
      </w:tr>
      <w:tr>
        <w:trPr>
          <w:trHeight w:val="229"/>
        </w:trPr>
        <w:tc>
          <w:tcPr>
            <w:tcW w:w="9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Tax liabilities</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(3,033)</w:t>
            </w:r>
          </w:p>
        </w:tc>
        <w:tc>
          <w:tcPr>
            <w:tcW w:w="0" w:type="dxa"/>
            <w:vAlign w:val="bottom"/>
          </w:tcPr>
          <w:p>
            <w:pPr>
              <w:spacing w:after="0"/>
              <w:rPr>
                <w:sz w:val="1"/>
                <w:szCs w:val="1"/>
                <w:color w:val="auto"/>
              </w:rPr>
            </w:pPr>
          </w:p>
        </w:tc>
      </w:tr>
      <w:tr>
        <w:trPr>
          <w:trHeight w:val="223"/>
        </w:trPr>
        <w:tc>
          <w:tcPr>
            <w:tcW w:w="9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(5,443)</w:t>
            </w:r>
          </w:p>
        </w:tc>
        <w:tc>
          <w:tcPr>
            <w:tcW w:w="0" w:type="dxa"/>
            <w:vAlign w:val="bottom"/>
          </w:tcPr>
          <w:p>
            <w:pPr>
              <w:spacing w:after="0"/>
              <w:rPr>
                <w:sz w:val="1"/>
                <w:szCs w:val="1"/>
                <w:color w:val="auto"/>
              </w:rPr>
            </w:pPr>
          </w:p>
        </w:tc>
      </w:tr>
      <w:tr>
        <w:trPr>
          <w:trHeight w:val="229"/>
        </w:trPr>
        <w:tc>
          <w:tcPr>
            <w:tcW w:w="9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identifiable net assets</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14,906</w:t>
            </w:r>
          </w:p>
        </w:tc>
        <w:tc>
          <w:tcPr>
            <w:tcW w:w="0" w:type="dxa"/>
            <w:vAlign w:val="bottom"/>
          </w:tcPr>
          <w:p>
            <w:pPr>
              <w:spacing w:after="0"/>
              <w:rPr>
                <w:sz w:val="1"/>
                <w:szCs w:val="1"/>
                <w:color w:val="auto"/>
              </w:rPr>
            </w:pPr>
          </w:p>
        </w:tc>
      </w:tr>
      <w:tr>
        <w:trPr>
          <w:trHeight w:val="230"/>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26,205</w:t>
            </w:r>
          </w:p>
        </w:tc>
        <w:tc>
          <w:tcPr>
            <w:tcW w:w="0" w:type="dxa"/>
            <w:vAlign w:val="bottom"/>
          </w:tcPr>
          <w:p>
            <w:pPr>
              <w:spacing w:after="0"/>
              <w:rPr>
                <w:sz w:val="1"/>
                <w:szCs w:val="1"/>
                <w:color w:val="auto"/>
              </w:rPr>
            </w:pPr>
          </w:p>
        </w:tc>
      </w:tr>
      <w:tr>
        <w:trPr>
          <w:trHeight w:val="223"/>
        </w:trPr>
        <w:tc>
          <w:tcPr>
            <w:tcW w:w="9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Fair value of total consideration transferred</w:t>
            </w:r>
          </w:p>
        </w:tc>
        <w:tc>
          <w:tcPr>
            <w:tcW w:w="740" w:type="dxa"/>
            <w:vAlign w:val="bottom"/>
            <w:tcBorders>
              <w:bottom w:val="single" w:sz="8" w:color="auto"/>
            </w:tcBorders>
            <w:gridSpan w:val="2"/>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41,111</w:t>
            </w:r>
          </w:p>
        </w:tc>
        <w:tc>
          <w:tcPr>
            <w:tcW w:w="0" w:type="dxa"/>
            <w:vAlign w:val="bottom"/>
          </w:tcPr>
          <w:p>
            <w:pPr>
              <w:spacing w:after="0"/>
              <w:rPr>
                <w:sz w:val="1"/>
                <w:szCs w:val="1"/>
                <w:color w:val="auto"/>
              </w:rPr>
            </w:pPr>
          </w:p>
        </w:tc>
      </w:tr>
      <w:tr>
        <w:trPr>
          <w:trHeight w:val="20"/>
        </w:trPr>
        <w:tc>
          <w:tcPr>
            <w:tcW w:w="9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determined the fair value of the identifiable intangible assets acquired with the assistance of third-party valuation consultants. Amounts allocated to identifiable intangible assets included $7.5 million related to developed technology, $7.5 million related to customer relationships, and $0.5 million related to trade names. The fair value of the acquired developed technology was determined using a multi-period excess earnings method. The fair value of the acquired customer relationships was determined using the with-and-without method which estimates the value using the cash flow impact in a scenario where the customer relationships are not in place. The significant unobservable inputs used in the valuation of the customer</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66" w:name="page67"/>
    <w:bookmarkEnd w:id="66"/>
    <w:p>
      <w:pPr>
        <w:jc w:val="both"/>
        <w:spacing w:after="0" w:line="261" w:lineRule="auto"/>
        <w:rPr>
          <w:sz w:val="20"/>
          <w:szCs w:val="20"/>
          <w:color w:val="auto"/>
        </w:rPr>
      </w:pPr>
      <w:r>
        <w:rPr>
          <w:rFonts w:ascii="Times New Roman" w:cs="Times New Roman" w:eastAsia="Times New Roman" w:hAnsi="Times New Roman"/>
          <w:sz w:val="18"/>
          <w:szCs w:val="18"/>
          <w:color w:val="auto"/>
        </w:rPr>
        <w:t>relationship asset and acquired developed technology asset are the revenue growth rates used in the development of the projected financial information used as an input to calculate those values and the discount rate applied. The recognized intangible assets will be amortized on a straight-line basis over the estimated useful lives of the respective assets. The estimated useful lives for developed technology, customer relationship, trade names were 5, 5 and 3 years, respectively.</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Goodwill of $26.2 million arising from the acquisition includes the expected synergies between 32M and the Company. The goodwill, which is deductible for income tax purposes, was assigned to the Company’s only reporting unit.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 ended June 30, 2024, the Company recognized measurement period adjustments of a $0.6 million increase in intangible assets, a net decrease of $0.4 million in working capital, a $0.9 million increase in tax liabilities, and a $0.1 million increase in accounts payable. Recognized goodwill increased by $0.9 million as a result of these adjustments.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above table represents the final allocation of the purchase price.</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recognized $3.1 million of acquisition related costs that were expensed during the year ended June 30, 2023. These costs were recorded within Integration and acquisition expenses in the Consolidated Statement of Operations.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Unaudited supplemental disclosure of pro forma information</w:t>
      </w:r>
    </w:p>
    <w:p>
      <w:pPr>
        <w:spacing w:after="0" w:line="24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following table presents unaudited pro forma information as if the acquisition of 32M had occurred on July 1, 2021. The unaudited pro forma information presented combines the historical condensed consolidated results of operations of the Company and 32M after giving effect to the preliminary purchase accounting impact of the 32M acquisition related costs (including, but not limited to, amortization associated with the acquired intangible assets, interest expense associated with the Credit Facility to finance a portion of the purchase price, acquisition related costs) and the alignment of accounting policies. This supplemental unaudited pro forma information has been prepared for comparative purposes and does not purport to be indicative of what would have occurred had the acquisition been made on July 1, 2021, nor are they indicative of any future results. Furthermore, cost savings and other business synergies related to the acquisition are not reflected in the pro forma amounts.</w:t>
      </w:r>
    </w:p>
    <w:p>
      <w:pPr>
        <w:spacing w:after="0" w:line="259" w:lineRule="exact"/>
        <w:rPr>
          <w:sz w:val="20"/>
          <w:szCs w:val="20"/>
          <w:color w:val="auto"/>
        </w:rPr>
      </w:pPr>
    </w:p>
    <w:p>
      <w:pPr>
        <w:ind w:left="8740"/>
        <w:spacing w:after="0"/>
        <w:rPr>
          <w:sz w:val="20"/>
          <w:szCs w:val="20"/>
          <w:color w:val="auto"/>
        </w:rPr>
      </w:pPr>
      <w:r>
        <w:rPr>
          <w:rFonts w:ascii="Times New Roman" w:cs="Times New Roman" w:eastAsia="Times New Roman" w:hAnsi="Times New Roman"/>
          <w:sz w:val="16"/>
          <w:szCs w:val="16"/>
          <w:b w:val="1"/>
          <w:bCs w:val="1"/>
          <w:color w:val="auto"/>
        </w:rPr>
        <w:t>Year ended June 30,</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4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7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251,979</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222,185</w:t>
            </w:r>
          </w:p>
        </w:tc>
      </w:tr>
      <w:tr>
        <w:trPr>
          <w:trHeight w:val="234"/>
        </w:trPr>
        <w:tc>
          <w:tcPr>
            <w:tcW w:w="7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4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(7,117)</w:t>
            </w:r>
          </w:p>
        </w:tc>
      </w:tr>
    </w:tbl>
    <w:p>
      <w:pPr>
        <w:spacing w:after="0" w:line="3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unaudited supplemental pro forma financial information for the year ended June 30, 2023 was adjusted to exclude $3.1 million of acquisition related costs, the components of which were previously described. The unaudited supplemental pro forma financial information for the year ended June 30, 2022 was adjusted to include the $3.1 million of acquisition related costs.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Yoke Payments</w:t>
      </w:r>
    </w:p>
    <w:p>
      <w:pPr>
        <w:spacing w:after="0" w:line="22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In August 2021, we completed the acquisition of certain assets and liabilities of Delicious Nutritious LLC, doing business as Yoke Payments (“Yoke”), a micro market payments company. The acquisition of Yoke was accounted for as a business combination using the acquisition method of accounting which includes the results of operations of the acquired business from the date of acquisition. The purchase price of the acquired company is allocated between tangible and intangible assets acquired and liabilities assumed from the acquired business based on their estimated fair values using primarily Level 3 inputs under ASC Topic 820, with the residual of the purchase price recorded as goodwill.</w:t>
      </w:r>
    </w:p>
    <w:p>
      <w:pPr>
        <w:spacing w:after="0" w:line="2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Through the acquisition, Yoke’s POS platform extended its offering to provide self-checkout while seamlessly integrating with Cantaloupe’s inventory management and payment processing platforms.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consideration transferred for the acquisition includes payments of $3 million in cash at the close of the transaction and $1 million in deferred cash payment due on or before July 30, 2022 based on the achievement of certain sales growth targets. On July 27, 2022, the Company made the cash payment of $1 million in accordance with the agreement consideration.</w:t>
      </w:r>
    </w:p>
    <w:p>
      <w:pPr>
        <w:spacing w:after="0" w:line="19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Additionally in connection with the acquisition, the Company will issue common stock to the former owners of Yoke based on the achievement of certain sales growth targets for software licenses through July 31, 2024 and continued employment as of the respective measurement dates. The accounting treatment for these awards in the context of the business combination is to recognize the awards as a post-combination expense and were not included in the purchase price. If we were to determine it was</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67" w:name="page68"/>
    <w:bookmarkEnd w:id="67"/>
    <w:p>
      <w:pPr>
        <w:jc w:val="both"/>
        <w:spacing w:after="0" w:line="250" w:lineRule="auto"/>
        <w:rPr>
          <w:sz w:val="20"/>
          <w:szCs w:val="20"/>
          <w:color w:val="auto"/>
        </w:rPr>
      </w:pPr>
      <w:r>
        <w:rPr>
          <w:rFonts w:ascii="Times New Roman" w:cs="Times New Roman" w:eastAsia="Times New Roman" w:hAnsi="Times New Roman"/>
          <w:sz w:val="18"/>
          <w:szCs w:val="18"/>
          <w:color w:val="auto"/>
        </w:rPr>
        <w:t>probable that the performance conditions would be satisfied, we would recognize compensation expense for these awards over the requisite service period. At each reporting date, we assess the probability of achieving the sales targets and fulfilling the performance condition. No compensation expense has been recognized on these awards as we determined that it was not probable that the performance condition would be satisfied as of June 30, 2024, 2023 and 2022.</w:t>
      </w:r>
    </w:p>
    <w:p>
      <w:pPr>
        <w:spacing w:after="0" w:line="204"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total consideration paid for Yoke, total net assets acquired, identifiable assets and goodwill recognized at the acquisition date:</w:t>
      </w: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9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6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23"/>
        </w:trPr>
        <w:tc>
          <w:tcPr>
            <w:tcW w:w="9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Consideration</w:t>
            </w:r>
          </w:p>
        </w:tc>
        <w:tc>
          <w:tcPr>
            <w:tcW w:w="6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9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w:t>
            </w:r>
          </w:p>
        </w:tc>
        <w:tc>
          <w:tcPr>
            <w:tcW w:w="6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2,966</w:t>
            </w:r>
          </w:p>
        </w:tc>
      </w:tr>
      <w:tr>
        <w:trPr>
          <w:trHeight w:val="229"/>
        </w:trPr>
        <w:tc>
          <w:tcPr>
            <w:tcW w:w="9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Contingent consideration arrangement</w:t>
            </w:r>
          </w:p>
        </w:tc>
        <w:tc>
          <w:tcPr>
            <w:tcW w:w="6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3"/>
        </w:trPr>
        <w:tc>
          <w:tcPr>
            <w:tcW w:w="9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Fair value of total consideration transferred</w:t>
            </w:r>
          </w:p>
        </w:tc>
        <w:tc>
          <w:tcPr>
            <w:tcW w:w="6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3,966</w:t>
            </w:r>
          </w:p>
        </w:tc>
      </w:tr>
      <w:tr>
        <w:trPr>
          <w:trHeight w:val="250"/>
        </w:trPr>
        <w:tc>
          <w:tcPr>
            <w:tcW w:w="926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r>
      <w:tr>
        <w:trPr>
          <w:trHeight w:val="229"/>
        </w:trPr>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Recognized amounts of identifiable assets</w:t>
            </w:r>
          </w:p>
        </w:tc>
        <w:tc>
          <w:tcPr>
            <w:tcW w:w="68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9"/>
        </w:trPr>
        <w:tc>
          <w:tcPr>
            <w:tcW w:w="9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net assets acquired</w:t>
            </w:r>
          </w:p>
        </w:tc>
        <w:tc>
          <w:tcPr>
            <w:tcW w:w="6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0"/>
        </w:trPr>
        <w:tc>
          <w:tcPr>
            <w:tcW w:w="92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Identifiable intangible assets</w:t>
            </w:r>
          </w:p>
        </w:tc>
        <w:tc>
          <w:tcPr>
            <w:tcW w:w="6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1,235</w:t>
            </w:r>
          </w:p>
        </w:tc>
      </w:tr>
      <w:tr>
        <w:trPr>
          <w:trHeight w:val="223"/>
        </w:trPr>
        <w:tc>
          <w:tcPr>
            <w:tcW w:w="9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identifiable net assets</w:t>
            </w:r>
          </w:p>
        </w:tc>
        <w:tc>
          <w:tcPr>
            <w:tcW w:w="6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w:t>
            </w:r>
          </w:p>
        </w:tc>
      </w:tr>
      <w:tr>
        <w:trPr>
          <w:trHeight w:val="250"/>
        </w:trPr>
        <w:tc>
          <w:tcPr>
            <w:tcW w:w="9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55"/>
        </w:trPr>
        <w:tc>
          <w:tcPr>
            <w:tcW w:w="9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680" w:type="dxa"/>
            <w:vAlign w:val="bottom"/>
            <w:tcBorders>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2,710</w:t>
            </w:r>
          </w:p>
        </w:tc>
      </w:tr>
      <w:tr>
        <w:trPr>
          <w:trHeight w:val="20"/>
        </w:trPr>
        <w:tc>
          <w:tcPr>
            <w:tcW w:w="92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Amounts allocated to identifiable intangible assets included $0.9 million related to developed technology, $0.3 million related to customer relationships, and $0.1 million related to other intangible assets. The fair value of the acquired developed technology was determined using a multi-period excess earnings method. The fair value of the acquired customer relationships was determined using the with-and-without method which estimates the value using the cash flow impact in a scenario where the customer relationships are not in place. The recognized intangible assets will be amortized on a straight-line basis over the estimated useful lives of the respective assets.</w:t>
      </w:r>
    </w:p>
    <w:p>
      <w:pPr>
        <w:spacing w:after="0" w:line="2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Goodwill of $2.7 million arising from the acquisition includes the expected synergies between Yoke and the Company. The goodwill, which is deductible for income tax purposes, was assigned to the Company’s only reporting unit.</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above table represents the final allocation of the purchase price, noting no material measurement period adjustments. Pro forma financial information of the acquisition is not presented due to the immaterial impact of the financial results of Yoke in the Company's Consolidated Financial Statements.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REVENUE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similar operational characteristics, the Company's revenue is disaggregated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Year-ended June 30,</w:t>
            </w: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20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 fees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156,166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132,594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110,695</w:t>
            </w:r>
          </w:p>
        </w:tc>
        <w:tc>
          <w:tcPr>
            <w:tcW w:w="0" w:type="dxa"/>
            <w:vAlign w:val="bottom"/>
          </w:tcPr>
          <w:p>
            <w:pPr>
              <w:spacing w:after="0"/>
              <w:rPr>
                <w:sz w:val="1"/>
                <w:szCs w:val="1"/>
                <w:color w:val="auto"/>
              </w:rPr>
            </w:pPr>
          </w:p>
        </w:tc>
      </w:tr>
      <w:tr>
        <w:trPr>
          <w:trHeight w:val="230"/>
        </w:trPr>
        <w:tc>
          <w:tcPr>
            <w:tcW w:w="6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Subscription fees</w:t>
            </w: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75,331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67,629</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58,155</w:t>
            </w:r>
          </w:p>
        </w:tc>
        <w:tc>
          <w:tcPr>
            <w:tcW w:w="0" w:type="dxa"/>
            <w:vAlign w:val="bottom"/>
          </w:tcPr>
          <w:p>
            <w:pPr>
              <w:spacing w:after="0"/>
              <w:rPr>
                <w:sz w:val="1"/>
                <w:szCs w:val="1"/>
                <w:color w:val="auto"/>
              </w:rPr>
            </w:pPr>
          </w:p>
        </w:tc>
      </w:tr>
      <w:tr>
        <w:trPr>
          <w:trHeight w:val="223"/>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 and transaction fees</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231,497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200,223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168,850</w:t>
            </w:r>
          </w:p>
        </w:tc>
        <w:tc>
          <w:tcPr>
            <w:tcW w:w="0" w:type="dxa"/>
            <w:vAlign w:val="bottom"/>
          </w:tcPr>
          <w:p>
            <w:pPr>
              <w:spacing w:after="0"/>
              <w:rPr>
                <w:sz w:val="1"/>
                <w:szCs w:val="1"/>
                <w:color w:val="auto"/>
              </w:rPr>
            </w:pPr>
          </w:p>
        </w:tc>
      </w:tr>
      <w:tr>
        <w:trPr>
          <w:trHeight w:val="230"/>
        </w:trPr>
        <w:tc>
          <w:tcPr>
            <w:tcW w:w="6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Equipment sales</w:t>
            </w: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37,099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43,418</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36,352</w:t>
            </w:r>
          </w:p>
        </w:tc>
        <w:tc>
          <w:tcPr>
            <w:tcW w:w="0" w:type="dxa"/>
            <w:vAlign w:val="bottom"/>
          </w:tcPr>
          <w:p>
            <w:pPr>
              <w:spacing w:after="0"/>
              <w:rPr>
                <w:sz w:val="1"/>
                <w:szCs w:val="1"/>
                <w:color w:val="auto"/>
              </w:rPr>
            </w:pPr>
          </w:p>
        </w:tc>
      </w:tr>
      <w:tr>
        <w:trPr>
          <w:trHeight w:val="248"/>
        </w:trPr>
        <w:tc>
          <w:tcPr>
            <w:tcW w:w="6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268,596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243,641</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205,202</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 portion of the Company’s revenues relate to rental lease arrangements. The Company leases equipment to customers under the Cantaloupe One program which is accounted for as operating leases in accordance with ASC 842. Lease revenue is recognized on a straight-line basis over the term of the lease. As described in </w:t>
      </w:r>
      <w:r>
        <w:rPr>
          <w:rFonts w:ascii="Times New Roman" w:cs="Times New Roman" w:eastAsia="Times New Roman" w:hAnsi="Times New Roman"/>
          <w:sz w:val="18"/>
          <w:szCs w:val="18"/>
          <w:i w:val="1"/>
          <w:iCs w:val="1"/>
          <w:color w:val="auto"/>
        </w:rPr>
        <w:t>Note 4 - Finance Receivables</w:t>
      </w:r>
      <w:r>
        <w:rPr>
          <w:rFonts w:ascii="Times New Roman" w:cs="Times New Roman" w:eastAsia="Times New Roman" w:hAnsi="Times New Roman"/>
          <w:sz w:val="18"/>
          <w:szCs w:val="18"/>
          <w:color w:val="auto"/>
        </w:rPr>
        <w:t>, the Company leases equipment under the QuickStart program which is accounted for as sales-type finance leases in accordance with ASC 842. The Company's revenues earned under ASC Topic 842 are as follows: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190"/>
        </w:trPr>
        <w:tc>
          <w:tcPr>
            <w:tcW w:w="6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Year-ended June 30,</w:t>
            </w: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20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7,107</w:t>
            </w:r>
          </w:p>
        </w:tc>
        <w:tc>
          <w:tcPr>
            <w:tcW w:w="0" w:type="dxa"/>
            <w:vAlign w:val="bottom"/>
          </w:tcPr>
          <w:p>
            <w:pPr>
              <w:spacing w:after="0"/>
              <w:rPr>
                <w:sz w:val="1"/>
                <w:szCs w:val="1"/>
                <w:color w:val="auto"/>
              </w:rPr>
            </w:pPr>
          </w:p>
        </w:tc>
      </w:tr>
      <w:tr>
        <w:trPr>
          <w:trHeight w:val="229"/>
        </w:trPr>
        <w:tc>
          <w:tcPr>
            <w:tcW w:w="6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Sales-type finance leases</w:t>
            </w: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6,464</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8,010</w:t>
            </w:r>
          </w:p>
        </w:tc>
        <w:tc>
          <w:tcPr>
            <w:tcW w:w="0" w:type="dxa"/>
            <w:vAlign w:val="bottom"/>
          </w:tcPr>
          <w:p>
            <w:pPr>
              <w:spacing w:after="0"/>
              <w:rPr>
                <w:sz w:val="1"/>
                <w:szCs w:val="1"/>
                <w:color w:val="auto"/>
              </w:rPr>
            </w:pPr>
          </w:p>
        </w:tc>
      </w:tr>
      <w:tr>
        <w:trPr>
          <w:trHeight w:val="248"/>
        </w:trPr>
        <w:tc>
          <w:tcPr>
            <w:tcW w:w="6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revenues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14,031</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15,117</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than the revenues described above, all of the Company's revenues are earned under ASC 606.</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revenue from international operations were $2.4 million and $0.5 million for the year ended June 30, 2024 and 2023, respectively. The Company had no revenue from international operations for the year ended June 30, 2022.</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Assets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Contract assets represents revenue earned from customers that is not yet billable to a customer, generally due to the timing of when equipment and services are delivered to customers on bundled contracts, or as a result of contracts costs as described below. Contract assets that will be billed within the next 12 months are included in Prepaid expenses and other current assets and all others are included in Other assets on the Consolidated Balance Sheets. Contract assets were $2.6 million, $0.6 million, and $0.0 million as of June 30, 2024, 2023, and 2022, respectively.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Liabilities</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contract liability (i.e., deferred revenue) balances are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9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92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 beginning of the period</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w:t>
            </w:r>
          </w:p>
        </w:tc>
        <w:tc>
          <w:tcPr>
            <w:tcW w:w="0" w:type="dxa"/>
            <w:vAlign w:val="bottom"/>
          </w:tcPr>
          <w:p>
            <w:pPr>
              <w:spacing w:after="0"/>
              <w:rPr>
                <w:sz w:val="1"/>
                <w:szCs w:val="1"/>
                <w:color w:val="auto"/>
              </w:rPr>
            </w:pPr>
          </w:p>
        </w:tc>
      </w:tr>
      <w:tr>
        <w:trPr>
          <w:trHeight w:val="229"/>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 end of the period</w:t>
            </w:r>
          </w:p>
        </w:tc>
        <w:tc>
          <w:tcPr>
            <w:tcW w:w="4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w:t>
            </w:r>
          </w:p>
        </w:tc>
        <w:tc>
          <w:tcPr>
            <w:tcW w:w="0" w:type="dxa"/>
            <w:vAlign w:val="bottom"/>
          </w:tcPr>
          <w:p>
            <w:pPr>
              <w:spacing w:after="0"/>
              <w:rPr>
                <w:sz w:val="1"/>
                <w:szCs w:val="1"/>
                <w:color w:val="auto"/>
              </w:rPr>
            </w:pP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recognized in the period from amounts included in deferred revenue at the beginning of the period</w:t>
            </w: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change in the contract liabilities year-over-year is primarily the result of timing difference between the Company's satisfaction of a performance obligation and payment from the customer.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Future Performance Obligations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will recognize revenue in future periods related to remaining performance obligations for certain open contracts. Generally, these contracts have terms of one year or less. The amount of revenue related to unsatisfied performance obligations in which the original duration of the contract is greater than one year are primarily associated with the Company's Cantaloupe ONE rental program which has a contractual term of 36 months.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the estimated fees to be recognized in the future related to performance obligations that are unsatisfied as of June 30, 2024:</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40" w:type="dxa"/>
            <w:vAlign w:val="bottom"/>
          </w:tcPr>
          <w:p>
            <w:pPr>
              <w:spacing w:after="0"/>
              <w:rPr>
                <w:sz w:val="16"/>
                <w:szCs w:val="16"/>
                <w:color w:val="auto"/>
              </w:rPr>
            </w:pPr>
          </w:p>
        </w:tc>
        <w:tc>
          <w:tcPr>
            <w:tcW w:w="150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Year ended June 30,</w:t>
            </w:r>
          </w:p>
        </w:tc>
      </w:tr>
      <w:tr>
        <w:trPr>
          <w:trHeight w:val="23"/>
        </w:trPr>
        <w:tc>
          <w:tcPr>
            <w:tcW w:w="96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23"/>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5,938</w:t>
            </w:r>
          </w:p>
        </w:tc>
      </w:tr>
      <w:tr>
        <w:trPr>
          <w:trHeight w:val="229"/>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3,420</w:t>
            </w:r>
          </w:p>
        </w:tc>
      </w:tr>
      <w:tr>
        <w:trPr>
          <w:trHeight w:val="230"/>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r>
      <w:tr>
        <w:trPr>
          <w:trHeight w:val="223"/>
        </w:trPr>
        <w:tc>
          <w:tcPr>
            <w:tcW w:w="9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9,933</w:t>
            </w:r>
          </w:p>
        </w:tc>
      </w:tr>
      <w:tr>
        <w:trPr>
          <w:trHeight w:val="20"/>
        </w:trPr>
        <w:tc>
          <w:tcPr>
            <w:tcW w:w="9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5"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i w:val="1"/>
          <w:iCs w:val="1"/>
          <w:color w:val="auto"/>
        </w:rPr>
        <w:t>Contract Costs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June 30, 2024 and 2023, the Company had net capitalized costs to obtain contracts of $0.9 million and $0.6 million included in Prepaid expenses and other current assets and $2.4 million and $2.8 million included in Other assets on the Consolidated Balance Sheets, respectively. None of these capitalized contract costs were impaired. During the years ended June 30, 2024 and 2023, amortization of capitalized contract costs was $1.0 million and $0.8 million, respectively. Amortization of</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costs to obtain a contract are included within Sales and marketing expenses within the Consolidated Statements of Operations.</w:t>
      </w:r>
    </w:p>
    <w:p>
      <w:pPr>
        <w:sectPr>
          <w:pgSz w:w="11900" w:h="16838" w:orient="portrait"/>
          <w:cols w:equalWidth="0" w:num="1">
            <w:col w:w="11240"/>
          </w:cols>
          <w:pgMar w:left="320" w:top="1105" w:right="339" w:bottom="1440" w:gutter="0" w:footer="0" w:header="0"/>
        </w:sect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STOCK-BASED COMPENSATION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COMPENSATION PLANS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three active stock-based compensation plans at June 30, 2024 as shown in the table below:</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7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Date Approved</w:t>
            </w:r>
          </w:p>
        </w:tc>
        <w:tc>
          <w:tcPr>
            <w:tcW w:w="400" w:type="dxa"/>
            <w:vAlign w:val="bottom"/>
          </w:tcPr>
          <w:p>
            <w:pPr>
              <w:spacing w:after="0"/>
              <w:rPr>
                <w:sz w:val="16"/>
                <w:szCs w:val="16"/>
                <w:color w:val="auto"/>
              </w:rPr>
            </w:pPr>
          </w:p>
        </w:tc>
        <w:tc>
          <w:tcPr>
            <w:tcW w:w="3500" w:type="dxa"/>
            <w:vAlign w:val="bottom"/>
            <w:gridSpan w:val="2"/>
          </w:tcPr>
          <w:p>
            <w:pPr>
              <w:ind w:left="1080"/>
              <w:spacing w:after="0"/>
              <w:rPr>
                <w:sz w:val="20"/>
                <w:szCs w:val="20"/>
                <w:color w:val="auto"/>
              </w:rPr>
            </w:pPr>
            <w:r>
              <w:rPr>
                <w:rFonts w:ascii="Times New Roman" w:cs="Times New Roman" w:eastAsia="Times New Roman" w:hAnsi="Times New Roman"/>
                <w:sz w:val="14"/>
                <w:szCs w:val="14"/>
                <w:b w:val="1"/>
                <w:bCs w:val="1"/>
                <w:color w:val="auto"/>
              </w:rPr>
              <w:t>Name of Plan</w:t>
            </w:r>
          </w:p>
        </w:tc>
        <w:tc>
          <w:tcPr>
            <w:tcW w:w="3160" w:type="dxa"/>
            <w:vAlign w:val="bottom"/>
          </w:tcPr>
          <w:p>
            <w:pPr>
              <w:ind w:left="1200"/>
              <w:spacing w:after="0"/>
              <w:rPr>
                <w:sz w:val="20"/>
                <w:szCs w:val="20"/>
                <w:color w:val="auto"/>
              </w:rPr>
            </w:pPr>
            <w:r>
              <w:rPr>
                <w:rFonts w:ascii="Times New Roman" w:cs="Times New Roman" w:eastAsia="Times New Roman" w:hAnsi="Times New Roman"/>
                <w:sz w:val="14"/>
                <w:szCs w:val="14"/>
                <w:b w:val="1"/>
                <w:bCs w:val="1"/>
                <w:color w:val="auto"/>
              </w:rPr>
              <w:t>Type of Plan</w:t>
            </w:r>
          </w:p>
        </w:tc>
      </w:tr>
      <w:tr>
        <w:trPr>
          <w:trHeight w:val="23"/>
        </w:trPr>
        <w:tc>
          <w:tcPr>
            <w:tcW w:w="2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r>
      <w:tr>
        <w:trPr>
          <w:trHeight w:val="259"/>
        </w:trPr>
        <w:tc>
          <w:tcPr>
            <w:tcW w:w="27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June 2014</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2014</w:t>
            </w:r>
          </w:p>
        </w:tc>
        <w:tc>
          <w:tcPr>
            <w:tcW w:w="3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Stock Option Incentive Plan</w:t>
            </w:r>
          </w:p>
        </w:tc>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options</w:t>
            </w:r>
          </w:p>
        </w:tc>
      </w:tr>
      <w:tr>
        <w:trPr>
          <w:trHeight w:val="229"/>
        </w:trPr>
        <w:tc>
          <w:tcPr>
            <w:tcW w:w="27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June 2015</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2015</w:t>
            </w:r>
          </w:p>
        </w:tc>
        <w:tc>
          <w:tcPr>
            <w:tcW w:w="3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Equity Incentive Plan</w:t>
            </w:r>
          </w:p>
        </w:tc>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&amp; stock options</w:t>
            </w:r>
          </w:p>
        </w:tc>
      </w:tr>
      <w:tr>
        <w:trPr>
          <w:trHeight w:val="234"/>
        </w:trPr>
        <w:tc>
          <w:tcPr>
            <w:tcW w:w="27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April 2018</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2018</w:t>
            </w:r>
          </w:p>
        </w:tc>
        <w:tc>
          <w:tcPr>
            <w:tcW w:w="3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Equity Incentive Plan</w:t>
            </w:r>
          </w:p>
        </w:tc>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&amp; stock options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-436245</wp:posOffset>
            </wp:positionV>
            <wp:extent cx="7106285" cy="1454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06285"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06285" cy="1460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2024, the Company had reserved shares of Common Stock for future issuance for the following:</w:t>
      </w:r>
    </w:p>
    <w:p>
      <w:pPr>
        <w:spacing w:after="0" w:line="1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06285" cy="1543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06285" cy="154305"/>
                    </a:xfrm>
                    <a:prstGeom prst="rect">
                      <a:avLst/>
                    </a:prstGeom>
                    <a:noFill/>
                  </pic:spPr>
                </pic:pic>
              </a:graphicData>
            </a:graphic>
          </wp:anchor>
        </w:drawing>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Conversions of Preferred Stock and cumulative Preferred Stock dividends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Issuance of shares to former executive upon the occurrence of a Cantaloupe transaction </w:t>
      </w:r>
      <w:r>
        <w:rPr>
          <w:rFonts w:ascii="Times New Roman" w:cs="Times New Roman" w:eastAsia="Times New Roman" w:hAnsi="Times New Roman"/>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06285" cy="1714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shares reserved for future issuance</w:t>
      </w:r>
    </w:p>
    <w:p>
      <w:pPr>
        <w:spacing w:after="0" w:line="147" w:lineRule="exact"/>
        <w:rPr>
          <w:sz w:val="20"/>
          <w:szCs w:val="20"/>
          <w:color w:val="auto"/>
        </w:rPr>
      </w:pPr>
    </w:p>
    <w:p>
      <w:pPr>
        <w:ind w:left="320" w:hanging="312"/>
        <w:spacing w:after="0"/>
        <w:tabs>
          <w:tab w:leader="none" w:pos="320" w:val="left"/>
        </w:tabs>
        <w:numPr>
          <w:ilvl w:val="0"/>
          <w:numId w:val="3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Represents 140,000 shares issuable to our former executive upon the occurrence of a "USA Transaction" as such term is defined in the stock agreement.</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2024, the Company had the following shares available for issuance under the respective incentive plans:</w:t>
      </w:r>
    </w:p>
    <w:p>
      <w:pPr>
        <w:spacing w:after="0" w:line="2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06285" cy="1543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06285" cy="154305"/>
                    </a:xfrm>
                    <a:prstGeom prst="rect">
                      <a:avLst/>
                    </a:prstGeom>
                    <a:noFill/>
                  </pic:spPr>
                </pic:pic>
              </a:graphicData>
            </a:graphic>
          </wp:anchor>
        </w:drawing>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Issuance under 2014 Stock Option Incentive Plan</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Issuance under 2015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06285" cy="1460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Issuance under 2018 Equity Incentive Plan</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options available for future issuance</w:t>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Authorized</w:t>
      </w:r>
    </w:p>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22225</wp:posOffset>
            </wp:positionV>
            <wp:extent cx="84010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64"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750,000</w:t>
      </w:r>
    </w:p>
    <w:p>
      <w:pPr>
        <w:spacing w:after="0" w:line="27"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1,250,000</w:t>
      </w:r>
    </w:p>
    <w:p>
      <w:pPr>
        <w:spacing w:after="0" w:line="23"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10,000,000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14605</wp:posOffset>
            </wp:positionV>
            <wp:extent cx="84010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12,000,000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24765</wp:posOffset>
            </wp:positionV>
            <wp:extent cx="84010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40105" cy="8255"/>
                    </a:xfrm>
                    <a:prstGeom prst="rect">
                      <a:avLst/>
                    </a:prstGeom>
                    <a:noFill/>
                  </pic:spPr>
                </pic:pic>
              </a:graphicData>
            </a:graphic>
          </wp:anchor>
        </w:drawing>
        <w:drawing>
          <wp:anchor simplePos="0" relativeHeight="251657728" behindDoc="1" locked="0" layoutInCell="0" allowOverlap="1">
            <wp:simplePos x="0" y="0"/>
            <wp:positionH relativeFrom="column">
              <wp:posOffset>-65405</wp:posOffset>
            </wp:positionH>
            <wp:positionV relativeFrom="paragraph">
              <wp:posOffset>50165</wp:posOffset>
            </wp:positionV>
            <wp:extent cx="84010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Reserved Shares</w:t>
      </w:r>
    </w:p>
    <w:p>
      <w:pPr>
        <w:spacing w:after="0" w:line="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95,558</w:t>
      </w:r>
    </w:p>
    <w:p>
      <w:pPr>
        <w:spacing w:after="0" w:line="3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140,000</w:t>
      </w:r>
    </w:p>
    <w:p>
      <w:pPr>
        <w:spacing w:after="0" w:line="4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235,558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50165</wp:posOffset>
            </wp:positionV>
            <wp:extent cx="84010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Available Options</w:t>
      </w:r>
    </w:p>
    <w:p>
      <w:pPr>
        <w:spacing w:after="0" w:line="61"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15,687</w:t>
      </w:r>
    </w:p>
    <w:p>
      <w:pPr>
        <w:spacing w:after="0" w:line="27"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369,157</w:t>
      </w:r>
    </w:p>
    <w:p>
      <w:pPr>
        <w:spacing w:after="0" w:line="23"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4,170,267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14605</wp:posOffset>
            </wp:positionV>
            <wp:extent cx="84010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11"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4,555,111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17145</wp:posOffset>
            </wp:positionV>
            <wp:extent cx="84010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40105" cy="8255"/>
                    </a:xfrm>
                    <a:prstGeom prst="rect">
                      <a:avLst/>
                    </a:prstGeom>
                    <a:noFill/>
                  </pic:spPr>
                </pic:pic>
              </a:graphicData>
            </a:graphic>
          </wp:anchor>
        </w:drawing>
        <w:drawing>
          <wp:anchor simplePos="0" relativeHeight="251657728" behindDoc="1" locked="0" layoutInCell="0" allowOverlap="1">
            <wp:simplePos x="0" y="0"/>
            <wp:positionH relativeFrom="column">
              <wp:posOffset>-65405</wp:posOffset>
            </wp:positionH>
            <wp:positionV relativeFrom="paragraph">
              <wp:posOffset>43180</wp:posOffset>
            </wp:positionV>
            <wp:extent cx="84010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778" w:lineRule="exact"/>
        <w:rPr>
          <w:sz w:val="20"/>
          <w:szCs w:val="20"/>
          <w:color w:val="auto"/>
        </w:rPr>
      </w:pPr>
    </w:p>
    <w:p>
      <w:pPr>
        <w:sectPr>
          <w:pgSz w:w="11900" w:h="16838" w:orient="portrait"/>
          <w:cols w:equalWidth="0" w:num="2">
            <w:col w:w="9760" w:space="220"/>
            <w:col w:w="1260"/>
          </w:cols>
          <w:pgMar w:left="320" w:top="1105" w:right="339" w:bottom="1440" w:gutter="0" w:footer="0" w:header="0"/>
          <w:type w:val="continuous"/>
        </w:sectPr>
      </w:pPr>
    </w:p>
    <w:p>
      <w:pPr>
        <w:spacing w:after="0" w:line="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Stock options are granted at exercise prices equal to the fair market value of the Company's common stock at the date of grant. The options typically vest over a three-year period and each option, if not exercised or terminated, expires on the seventh anniversary of the grant date.</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estimates the grant date fair value of the stock options with service conditions (i.e., a condition that requires an employee to render services to the Company for a stated period of time to vest) it grants using a Black-Scholes valuation model. The Company’s assumption for expected volatility is based on its historical volatility data related to market trading of its own common stock. The Company uses the simplified method to determine expected term, as the Company does not have adequate historical exercise and forfeiture behavior on which to base the expected life assumption. The dividend yield assumption is based on dividends expected to be paid over the expected life of the stock option. The risk-free interest rate assumption is determined by using the U.S. Treasury rates of the same period as the expected option term of each stock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5" w:right="339" w:bottom="1440" w:gutter="0" w:footer="0" w:header="0"/>
          <w:type w:val="continuous"/>
        </w:sectPr>
      </w:pPr>
    </w:p>
    <w:bookmarkStart w:id="70" w:name="page71"/>
    <w:bookmarkEnd w:id="70"/>
    <w:p>
      <w:pPr>
        <w:spacing w:after="0"/>
        <w:rPr>
          <w:sz w:val="20"/>
          <w:szCs w:val="20"/>
          <w:color w:val="auto"/>
        </w:rPr>
      </w:pPr>
      <w:r>
        <w:rPr>
          <w:rFonts w:ascii="Times New Roman" w:cs="Times New Roman" w:eastAsia="Times New Roman" w:hAnsi="Times New Roman"/>
          <w:sz w:val="18"/>
          <w:szCs w:val="18"/>
          <w:color w:val="auto"/>
        </w:rPr>
        <w:t>The fair value of options granted during the years ended June 30, 2024, 2023, and 2022 was determined using the following assumptions: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4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For the year ended June 30,</w:t>
            </w:r>
          </w:p>
        </w:tc>
        <w:tc>
          <w:tcPr>
            <w:tcW w:w="42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3"/>
        </w:trPr>
        <w:tc>
          <w:tcPr>
            <w:tcW w:w="69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90"/>
        </w:trPr>
        <w:tc>
          <w:tcPr>
            <w:tcW w:w="69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80" w:type="dxa"/>
            <w:vAlign w:val="bottom"/>
          </w:tcPr>
          <w:p>
            <w:pPr>
              <w:jc w:val="center"/>
              <w:ind w:right="27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620" w:type="dxa"/>
            <w:vAlign w:val="bottom"/>
            <w:gridSpan w:val="3"/>
          </w:tcPr>
          <w:p>
            <w:pPr>
              <w:jc w:val="center"/>
              <w:ind w:left="2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jc w:val="center"/>
              <w:ind w:right="436"/>
              <w:spacing w:after="0"/>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148"/>
        </w:trPr>
        <w:tc>
          <w:tcPr>
            <w:tcW w:w="690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r>
      <w:tr>
        <w:trPr>
          <w:trHeight w:val="229"/>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- 69.7%</w:t>
            </w:r>
          </w:p>
        </w:tc>
        <w:tc>
          <w:tcPr>
            <w:tcW w:w="1620" w:type="dxa"/>
            <w:vAlign w:val="bottom"/>
            <w:gridSpan w:val="3"/>
            <w:shd w:val="clear" w:color="auto" w:fill="CCEEFF"/>
          </w:tcPr>
          <w:p>
            <w:pPr>
              <w:jc w:val="center"/>
              <w:ind w:left="236"/>
              <w:spacing w:after="0"/>
              <w:rPr>
                <w:sz w:val="20"/>
                <w:szCs w:val="20"/>
                <w:color w:val="auto"/>
              </w:rPr>
            </w:pPr>
            <w:r>
              <w:rPr>
                <w:rFonts w:ascii="Times New Roman" w:cs="Times New Roman" w:eastAsia="Times New Roman" w:hAnsi="Times New Roman"/>
                <w:sz w:val="18"/>
                <w:szCs w:val="18"/>
                <w:color w:val="auto"/>
              </w:rPr>
              <w:t>74.6 - 77.6%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- 74.6%</w:t>
            </w:r>
          </w:p>
        </w:tc>
      </w:tr>
      <w:tr>
        <w:trPr>
          <w:trHeight w:val="229"/>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life (years)</w:t>
            </w:r>
          </w:p>
        </w:tc>
        <w:tc>
          <w:tcPr>
            <w:tcW w:w="124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4.2 - 4.5</w:t>
            </w:r>
          </w:p>
        </w:tc>
        <w:tc>
          <w:tcPr>
            <w:tcW w:w="1620" w:type="dxa"/>
            <w:vAlign w:val="bottom"/>
            <w:gridSpan w:val="3"/>
          </w:tcPr>
          <w:p>
            <w:pPr>
              <w:jc w:val="center"/>
              <w:ind w:left="216"/>
              <w:spacing w:after="0"/>
              <w:rPr>
                <w:sz w:val="20"/>
                <w:szCs w:val="20"/>
                <w:color w:val="auto"/>
              </w:rPr>
            </w:pPr>
            <w:r>
              <w:rPr>
                <w:rFonts w:ascii="Times New Roman" w:cs="Times New Roman" w:eastAsia="Times New Roman" w:hAnsi="Times New Roman"/>
                <w:sz w:val="18"/>
                <w:szCs w:val="18"/>
                <w:color w:val="auto"/>
                <w:w w:val="99"/>
              </w:rPr>
              <w:t>4.4 - 4.6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center"/>
              <w:ind w:right="16"/>
              <w:spacing w:after="0"/>
              <w:rPr>
                <w:sz w:val="20"/>
                <w:szCs w:val="20"/>
                <w:color w:val="auto"/>
              </w:rPr>
            </w:pPr>
            <w:r>
              <w:rPr>
                <w:rFonts w:ascii="Times New Roman" w:cs="Times New Roman" w:eastAsia="Times New Roman" w:hAnsi="Times New Roman"/>
                <w:sz w:val="18"/>
                <w:szCs w:val="18"/>
                <w:color w:val="auto"/>
                <w:w w:val="99"/>
              </w:rPr>
              <w:t>4.5 - 4.6</w:t>
            </w:r>
          </w:p>
        </w:tc>
      </w:tr>
      <w:tr>
        <w:trPr>
          <w:trHeight w:val="230"/>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dividends</w:t>
            </w:r>
          </w:p>
        </w:tc>
        <w:tc>
          <w:tcPr>
            <w:tcW w:w="124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0.0%</w:t>
            </w:r>
          </w:p>
        </w:tc>
        <w:tc>
          <w:tcPr>
            <w:tcW w:w="1620" w:type="dxa"/>
            <w:vAlign w:val="bottom"/>
            <w:gridSpan w:val="3"/>
            <w:shd w:val="clear" w:color="auto" w:fill="CCEEFF"/>
          </w:tcPr>
          <w:p>
            <w:pPr>
              <w:jc w:val="center"/>
              <w:ind w:left="236"/>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center"/>
              <w:ind w:right="16"/>
              <w:spacing w:after="0"/>
              <w:rPr>
                <w:sz w:val="20"/>
                <w:szCs w:val="20"/>
                <w:color w:val="auto"/>
              </w:rPr>
            </w:pPr>
            <w:r>
              <w:rPr>
                <w:rFonts w:ascii="Times New Roman" w:cs="Times New Roman" w:eastAsia="Times New Roman" w:hAnsi="Times New Roman"/>
                <w:sz w:val="18"/>
                <w:szCs w:val="18"/>
                <w:color w:val="auto"/>
                <w:w w:val="95"/>
              </w:rPr>
              <w:t>0.0%</w:t>
            </w:r>
          </w:p>
        </w:tc>
      </w:tr>
      <w:tr>
        <w:trPr>
          <w:trHeight w:val="234"/>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- 4.4%</w:t>
            </w:r>
          </w:p>
        </w:tc>
        <w:tc>
          <w:tcPr>
            <w:tcW w:w="1620" w:type="dxa"/>
            <w:vAlign w:val="bottom"/>
            <w:gridSpan w:val="3"/>
          </w:tcPr>
          <w:p>
            <w:pPr>
              <w:jc w:val="center"/>
              <w:ind w:left="236"/>
              <w:spacing w:after="0"/>
              <w:rPr>
                <w:sz w:val="20"/>
                <w:szCs w:val="20"/>
                <w:color w:val="auto"/>
              </w:rPr>
            </w:pPr>
            <w:r>
              <w:rPr>
                <w:rFonts w:ascii="Times New Roman" w:cs="Times New Roman" w:eastAsia="Times New Roman" w:hAnsi="Times New Roman"/>
                <w:sz w:val="18"/>
                <w:szCs w:val="18"/>
                <w:color w:val="auto"/>
                <w:w w:val="98"/>
              </w:rPr>
              <w:t>2.7 - 4.1%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- 2.9%</w:t>
            </w:r>
          </w:p>
        </w:tc>
      </w:tr>
    </w:tbl>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provide information about outstanding options for the years ended June 30, 2024, 2023, and 2022:</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12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For the year ended June 30, 2024</w:t>
            </w: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740" w:type="dxa"/>
            <w:vAlign w:val="bottom"/>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9"/>
        </w:trPr>
        <w:tc>
          <w:tcPr>
            <w:tcW w:w="47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20" w:type="dxa"/>
            <w:vAlign w:val="bottom"/>
          </w:tcPr>
          <w:p>
            <w:pPr>
              <w:spacing w:after="0"/>
              <w:rPr>
                <w:sz w:val="24"/>
                <w:szCs w:val="24"/>
                <w:color w:val="auto"/>
              </w:rPr>
            </w:pPr>
          </w:p>
        </w:tc>
        <w:tc>
          <w:tcPr>
            <w:tcW w:w="16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40" w:type="dxa"/>
            <w:vAlign w:val="bottom"/>
          </w:tcPr>
          <w:p>
            <w:pPr>
              <w:spacing w:after="0"/>
              <w:rPr>
                <w:sz w:val="24"/>
                <w:szCs w:val="24"/>
                <w:color w:val="auto"/>
              </w:rPr>
            </w:pPr>
          </w:p>
        </w:tc>
        <w:tc>
          <w:tcPr>
            <w:tcW w:w="140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16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Number of Options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6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Remaining Contractual</w:t>
            </w:r>
          </w:p>
        </w:tc>
        <w:tc>
          <w:tcPr>
            <w:tcW w:w="140" w:type="dxa"/>
            <w:vAlign w:val="bottom"/>
          </w:tcPr>
          <w:p>
            <w:pPr>
              <w:spacing w:after="0"/>
              <w:rPr>
                <w:sz w:val="12"/>
                <w:szCs w:val="12"/>
                <w:color w:val="auto"/>
              </w:rPr>
            </w:pPr>
          </w:p>
        </w:tc>
        <w:tc>
          <w:tcPr>
            <w:tcW w:w="1400" w:type="dxa"/>
            <w:vAlign w:val="bottom"/>
          </w:tcPr>
          <w:p>
            <w:pPr>
              <w:jc w:val="center"/>
              <w:ind w:right="58"/>
              <w:spacing w:after="0" w:line="149"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95"/>
        </w:trPr>
        <w:tc>
          <w:tcPr>
            <w:tcW w:w="4740" w:type="dxa"/>
            <w:vAlign w:val="bottom"/>
          </w:tcPr>
          <w:p>
            <w:pPr>
              <w:spacing w:after="0"/>
              <w:rPr>
                <w:sz w:val="16"/>
                <w:szCs w:val="16"/>
                <w:color w:val="auto"/>
              </w:rPr>
            </w:pPr>
          </w:p>
        </w:tc>
        <w:tc>
          <w:tcPr>
            <w:tcW w:w="162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20" w:type="dxa"/>
            <w:vAlign w:val="bottom"/>
          </w:tcPr>
          <w:p>
            <w:pPr>
              <w:spacing w:after="0"/>
              <w:rPr>
                <w:sz w:val="16"/>
                <w:szCs w:val="16"/>
                <w:color w:val="auto"/>
              </w:rPr>
            </w:pP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Term (in years)</w:t>
            </w:r>
          </w:p>
        </w:tc>
        <w:tc>
          <w:tcPr>
            <w:tcW w:w="140" w:type="dxa"/>
            <w:vAlign w:val="bottom"/>
          </w:tcPr>
          <w:p>
            <w:pPr>
              <w:spacing w:after="0"/>
              <w:rPr>
                <w:sz w:val="16"/>
                <w:szCs w:val="16"/>
                <w:color w:val="auto"/>
              </w:rPr>
            </w:pPr>
          </w:p>
        </w:tc>
        <w:tc>
          <w:tcPr>
            <w:tcW w:w="140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28"/>
        </w:trPr>
        <w:tc>
          <w:tcPr>
            <w:tcW w:w="4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options, beginning of year</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3,873,632</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7,595</w:t>
            </w:r>
          </w:p>
        </w:tc>
        <w:tc>
          <w:tcPr>
            <w:tcW w:w="0" w:type="dxa"/>
            <w:vAlign w:val="bottom"/>
          </w:tcPr>
          <w:p>
            <w:pPr>
              <w:spacing w:after="0"/>
              <w:rPr>
                <w:sz w:val="1"/>
                <w:szCs w:val="1"/>
                <w:color w:val="auto"/>
              </w:rPr>
            </w:pPr>
          </w:p>
        </w:tc>
      </w:tr>
      <w:tr>
        <w:trPr>
          <w:trHeight w:val="230"/>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(18,334)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(29,799)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Expired</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(28,665)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options, end of year</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3,971,834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00" w:type="dxa"/>
            <w:vAlign w:val="bottom"/>
          </w:tcPr>
          <w:p>
            <w:pPr>
              <w:spacing w:after="0"/>
              <w:rPr>
                <w:sz w:val="19"/>
                <w:szCs w:val="19"/>
                <w:color w:val="auto"/>
              </w:rPr>
            </w:pPr>
          </w:p>
        </w:tc>
        <w:tc>
          <w:tcPr>
            <w:tcW w:w="1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3,582</w:t>
            </w: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 options, end of year</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2,602,259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2"/>
        </w:trPr>
        <w:tc>
          <w:tcPr>
            <w:tcW w:w="47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2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For the year ended June 30, 2023</w:t>
            </w: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4740" w:type="dxa"/>
            <w:vAlign w:val="bottom"/>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47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20" w:type="dxa"/>
            <w:vAlign w:val="bottom"/>
          </w:tcPr>
          <w:p>
            <w:pPr>
              <w:spacing w:after="0"/>
              <w:rPr>
                <w:sz w:val="24"/>
                <w:szCs w:val="24"/>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40" w:type="dxa"/>
            <w:vAlign w:val="bottom"/>
          </w:tcPr>
          <w:p>
            <w:pPr>
              <w:spacing w:after="0"/>
              <w:rPr>
                <w:sz w:val="24"/>
                <w:szCs w:val="24"/>
                <w:color w:val="auto"/>
              </w:rPr>
            </w:pPr>
          </w:p>
        </w:tc>
        <w:tc>
          <w:tcPr>
            <w:tcW w:w="140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49"/>
        </w:trPr>
        <w:tc>
          <w:tcPr>
            <w:tcW w:w="4740" w:type="dxa"/>
            <w:vAlign w:val="bottom"/>
          </w:tcPr>
          <w:p>
            <w:pPr>
              <w:spacing w:after="0"/>
              <w:rPr>
                <w:sz w:val="12"/>
                <w:szCs w:val="12"/>
                <w:color w:val="auto"/>
              </w:rPr>
            </w:pPr>
          </w:p>
        </w:tc>
        <w:tc>
          <w:tcPr>
            <w:tcW w:w="16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Number of Options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Remaining Contractual</w:t>
            </w:r>
          </w:p>
        </w:tc>
        <w:tc>
          <w:tcPr>
            <w:tcW w:w="140" w:type="dxa"/>
            <w:vAlign w:val="bottom"/>
          </w:tcPr>
          <w:p>
            <w:pPr>
              <w:spacing w:after="0"/>
              <w:rPr>
                <w:sz w:val="12"/>
                <w:szCs w:val="12"/>
                <w:color w:val="auto"/>
              </w:rPr>
            </w:pPr>
          </w:p>
        </w:tc>
        <w:tc>
          <w:tcPr>
            <w:tcW w:w="1400" w:type="dxa"/>
            <w:vAlign w:val="bottom"/>
          </w:tcPr>
          <w:p>
            <w:pPr>
              <w:jc w:val="center"/>
              <w:ind w:right="58"/>
              <w:spacing w:after="0" w:line="149"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96"/>
        </w:trPr>
        <w:tc>
          <w:tcPr>
            <w:tcW w:w="4740" w:type="dxa"/>
            <w:vAlign w:val="bottom"/>
          </w:tcPr>
          <w:p>
            <w:pPr>
              <w:spacing w:after="0"/>
              <w:rPr>
                <w:sz w:val="17"/>
                <w:szCs w:val="17"/>
                <w:color w:val="auto"/>
              </w:rPr>
            </w:pPr>
          </w:p>
        </w:tc>
        <w:tc>
          <w:tcPr>
            <w:tcW w:w="162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20" w:type="dxa"/>
            <w:vAlign w:val="bottom"/>
          </w:tcPr>
          <w:p>
            <w:pPr>
              <w:spacing w:after="0"/>
              <w:rPr>
                <w:sz w:val="17"/>
                <w:szCs w:val="17"/>
                <w:color w:val="auto"/>
              </w:rPr>
            </w:pP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Term (in years)</w:t>
            </w:r>
          </w:p>
        </w:tc>
        <w:tc>
          <w:tcPr>
            <w:tcW w:w="140" w:type="dxa"/>
            <w:vAlign w:val="bottom"/>
          </w:tcPr>
          <w:p>
            <w:pPr>
              <w:spacing w:after="0"/>
              <w:rPr>
                <w:sz w:val="17"/>
                <w:szCs w:val="17"/>
                <w:color w:val="auto"/>
              </w:rPr>
            </w:pPr>
          </w:p>
        </w:tc>
        <w:tc>
          <w:tcPr>
            <w:tcW w:w="140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29"/>
        </w:trPr>
        <w:tc>
          <w:tcPr>
            <w:tcW w:w="4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options, beginning of year</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3,529,833</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30"/>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1,720,000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6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(1,376,201)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Expired</w:t>
            </w:r>
          </w:p>
        </w:tc>
        <w:tc>
          <w:tcPr>
            <w:tcW w:w="16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options, end of year</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3,873,632</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7,595</w:t>
            </w: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 options, end of year</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1,341,466</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gridSpan w:val="2"/>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9"/>
        </w:trPr>
        <w:tc>
          <w:tcPr>
            <w:tcW w:w="47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2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For the year ended June 30, 2022</w:t>
            </w: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74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7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20" w:type="dxa"/>
            <w:vAlign w:val="bottom"/>
          </w:tcPr>
          <w:p>
            <w:pPr>
              <w:spacing w:after="0"/>
              <w:rPr>
                <w:sz w:val="11"/>
                <w:szCs w:val="11"/>
                <w:color w:val="auto"/>
              </w:rPr>
            </w:pPr>
          </w:p>
        </w:tc>
        <w:tc>
          <w:tcPr>
            <w:tcW w:w="1620" w:type="dxa"/>
            <w:vAlign w:val="bottom"/>
            <w:gridSpan w:val="2"/>
          </w:tcPr>
          <w:p>
            <w:pPr>
              <w:jc w:val="center"/>
              <w:ind w:right="140"/>
              <w:spacing w:after="0" w:line="131"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140" w:type="dxa"/>
            <w:vAlign w:val="bottom"/>
          </w:tcPr>
          <w:p>
            <w:pPr>
              <w:spacing w:after="0"/>
              <w:rPr>
                <w:sz w:val="11"/>
                <w:szCs w:val="11"/>
                <w:color w:val="auto"/>
              </w:rPr>
            </w:pPr>
          </w:p>
        </w:tc>
        <w:tc>
          <w:tcPr>
            <w:tcW w:w="1400" w:type="dxa"/>
            <w:vAlign w:val="bottom"/>
          </w:tcPr>
          <w:p>
            <w:pPr>
              <w:jc w:val="center"/>
              <w:ind w:right="58"/>
              <w:spacing w:after="0" w:line="131" w:lineRule="exact"/>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46"/>
        </w:trPr>
        <w:tc>
          <w:tcPr>
            <w:tcW w:w="4740" w:type="dxa"/>
            <w:vAlign w:val="bottom"/>
          </w:tcPr>
          <w:p>
            <w:pPr>
              <w:spacing w:after="0"/>
              <w:rPr>
                <w:sz w:val="12"/>
                <w:szCs w:val="12"/>
                <w:color w:val="auto"/>
              </w:rPr>
            </w:pPr>
          </w:p>
        </w:tc>
        <w:tc>
          <w:tcPr>
            <w:tcW w:w="16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Number of Options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62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Remaining Contractual</w:t>
            </w:r>
          </w:p>
        </w:tc>
        <w:tc>
          <w:tcPr>
            <w:tcW w:w="140" w:type="dxa"/>
            <w:vAlign w:val="bottom"/>
          </w:tcPr>
          <w:p>
            <w:pPr>
              <w:spacing w:after="0"/>
              <w:rPr>
                <w:sz w:val="12"/>
                <w:szCs w:val="12"/>
                <w:color w:val="auto"/>
              </w:rPr>
            </w:pPr>
          </w:p>
        </w:tc>
        <w:tc>
          <w:tcPr>
            <w:tcW w:w="1400" w:type="dxa"/>
            <w:vAlign w:val="bottom"/>
          </w:tcPr>
          <w:p>
            <w:pPr>
              <w:jc w:val="center"/>
              <w:ind w:right="58"/>
              <w:spacing w:after="0" w:line="146"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98"/>
        </w:trPr>
        <w:tc>
          <w:tcPr>
            <w:tcW w:w="4740" w:type="dxa"/>
            <w:vAlign w:val="bottom"/>
          </w:tcPr>
          <w:p>
            <w:pPr>
              <w:spacing w:after="0"/>
              <w:rPr>
                <w:sz w:val="17"/>
                <w:szCs w:val="17"/>
                <w:color w:val="auto"/>
              </w:rPr>
            </w:pPr>
          </w:p>
        </w:tc>
        <w:tc>
          <w:tcPr>
            <w:tcW w:w="162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20" w:type="dxa"/>
            <w:vAlign w:val="bottom"/>
          </w:tcPr>
          <w:p>
            <w:pPr>
              <w:spacing w:after="0"/>
              <w:rPr>
                <w:sz w:val="17"/>
                <w:szCs w:val="17"/>
                <w:color w:val="auto"/>
              </w:rPr>
            </w:pP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Term (in years)</w:t>
            </w:r>
          </w:p>
        </w:tc>
        <w:tc>
          <w:tcPr>
            <w:tcW w:w="140" w:type="dxa"/>
            <w:vAlign w:val="bottom"/>
          </w:tcPr>
          <w:p>
            <w:pPr>
              <w:spacing w:after="0"/>
              <w:rPr>
                <w:sz w:val="17"/>
                <w:szCs w:val="17"/>
                <w:color w:val="auto"/>
              </w:rPr>
            </w:pPr>
          </w:p>
        </w:tc>
        <w:tc>
          <w:tcPr>
            <w:tcW w:w="140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28"/>
        </w:trPr>
        <w:tc>
          <w:tcPr>
            <w:tcW w:w="4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options, beginning of year</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2,952,092</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14,419</w:t>
            </w:r>
          </w:p>
        </w:tc>
        <w:tc>
          <w:tcPr>
            <w:tcW w:w="0" w:type="dxa"/>
            <w:vAlign w:val="bottom"/>
          </w:tcPr>
          <w:p>
            <w:pPr>
              <w:spacing w:after="0"/>
              <w:rPr>
                <w:sz w:val="1"/>
                <w:szCs w:val="1"/>
                <w:color w:val="auto"/>
              </w:rPr>
            </w:pPr>
          </w:p>
        </w:tc>
      </w:tr>
      <w:tr>
        <w:trPr>
          <w:trHeight w:val="230"/>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904,500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(121,248)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29"/>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(205,511)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Expired</w:t>
            </w:r>
          </w:p>
        </w:tc>
        <w:tc>
          <w:tcPr>
            <w:tcW w:w="16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options, end of year</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3,529,833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100" w:type="dxa"/>
            <w:vAlign w:val="bottom"/>
          </w:tcPr>
          <w:p>
            <w:pPr>
              <w:spacing w:after="0"/>
              <w:rPr>
                <w:sz w:val="19"/>
                <w:szCs w:val="19"/>
                <w:color w:val="auto"/>
              </w:rPr>
            </w:pPr>
          </w:p>
        </w:tc>
        <w:tc>
          <w:tcPr>
            <w:tcW w:w="15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 options, end of year</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1,538,302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weighted average grant date fair value per share for the Company's stock options granted during the years ended June 30, 2024, 2023, and 2022 was $4.02, $2.89, and $5.12, respectively. The total fair value of stock options vested during the years ended June 30, 2024, 2023, and 2022 was $4.5 million, $3.8 million, and $3.0 million, respectively.</w:t>
      </w:r>
    </w:p>
    <w:p>
      <w:pPr>
        <w:sectPr>
          <w:pgSz w:w="11900" w:h="16838" w:orient="portrait"/>
          <w:cols w:equalWidth="0" w:num="1">
            <w:col w:w="11240"/>
          </w:cols>
          <w:pgMar w:left="320" w:top="1066"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18"/>
          <w:szCs w:val="18"/>
          <w:i w:val="1"/>
          <w:iCs w:val="1"/>
          <w:color w:val="auto"/>
        </w:rPr>
        <w:t>Performance based awards</w:t>
      </w:r>
    </w:p>
    <w:p>
      <w:pPr>
        <w:spacing w:after="0" w:line="227"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The Company has awarded stock options to certain executives which vest each year over a three to four-year period. These stock options are also subject to the achievement of performance goals to be established by the Company's Board for each fiscal year.</w:t>
      </w:r>
    </w:p>
    <w:p>
      <w:pPr>
        <w:spacing w:after="0" w:line="200" w:lineRule="exact"/>
        <w:rPr>
          <w:sz w:val="20"/>
          <w:szCs w:val="20"/>
          <w:color w:val="auto"/>
        </w:rPr>
      </w:pPr>
    </w:p>
    <w:p>
      <w:pPr>
        <w:spacing w:after="0" w:line="21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Compensation Committee of the Board of Directors established the performance metrics as a price target for the trading price of the Company’s common stock in each applicable fiscal year. The price target is achieved if the average closing price of the common stock during any consecutive 30-trading-day period during the applicable fiscal year meets or exceeds: (i) $10.50 in the case of fiscal year 2021; (ii) $13.50 in the case of fiscal year 2022;</w:t>
      </w:r>
    </w:p>
    <w:p>
      <w:pPr>
        <w:spacing w:after="0" w:line="1" w:lineRule="exact"/>
        <w:rPr>
          <w:sz w:val="20"/>
          <w:szCs w:val="20"/>
          <w:color w:val="auto"/>
        </w:rPr>
      </w:pPr>
    </w:p>
    <w:p>
      <w:pPr>
        <w:jc w:val="both"/>
        <w:ind w:firstLine="8"/>
        <w:spacing w:after="0" w:line="252" w:lineRule="auto"/>
        <w:tabs>
          <w:tab w:leader="none" w:pos="3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$16.50 in the case of fiscal year 2023; and (iv) $19.50 in the case of fiscal year 2024. If at least 80% of the performance goals for an applicable fiscal year are achieved, the Compensation Committee may determine that the portion of the option eligible to vest based on such fiscal year’s performance will vest on a prorated basis. In so determining, the Compensation Committee will consider the Company’s performance relative to its market competitors and any other considerations deemed relevant by the Compensation Committee. The Compensation Committee’s guideline is generally that for every percentage point the achieved price falls below the price target, the percentage of the performance options eligible to vest in respect of the applicable fiscal year should be reduced by 2%, but the Compensation Committee may vary this formula in its sole discretion.</w:t>
      </w:r>
    </w:p>
    <w:p>
      <w:pPr>
        <w:spacing w:after="0" w:line="2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these performance-based awards that provide discretion to the Compensation Committee, a mutual understanding of the key terms and conditions between the Company and the employees have not yet been met and a grant date has not been established. When the service period begins prior to the grant date, the Company begins recognizing compensation cost before there is a grant date. The Company estimates the award's fair value at each reporting period for these equity classified awards, until the grant date, utilizing a Monte Carlo simulation valuation model. The total expense recognized during the year ended June 30, 2024 for these awards was $0.1 million. For the year ended June 30, 2023, the total net benefit recognized for these awards was $0.8 million, primarily as a result of reversing unvested grants for terminated executives during the period.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 GRANTS</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makes annual grants of restricted shares of common stock to executive officers pursuant to long-term stock incentive plans (“LTIPs”) which vest annually, typically over three years.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also grants restricted stock units ("RSU"s) to members of the board of directors as compensation for their service on the board as well as to employees as additional compensation. These stock awards typically vest over a one to three-year period.</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summary of the status of the Company’s nonvested common shares and RSUs as of June 30, 2024, 2023, and 2022, and changes during the years then ended is presented below:</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0" w:type="dxa"/>
            <w:vAlign w:val="bottom"/>
          </w:tcPr>
          <w:p>
            <w:pPr>
              <w:spacing w:after="0"/>
              <w:rPr>
                <w:sz w:val="1"/>
                <w:szCs w:val="1"/>
                <w:color w:val="auto"/>
              </w:rPr>
            </w:pPr>
          </w:p>
        </w:tc>
      </w:tr>
      <w:tr>
        <w:trPr>
          <w:trHeight w:val="137"/>
        </w:trPr>
        <w:tc>
          <w:tcPr>
            <w:tcW w:w="8480" w:type="dxa"/>
            <w:vAlign w:val="bottom"/>
          </w:tcPr>
          <w:p>
            <w:pPr>
              <w:spacing w:after="0"/>
              <w:rPr>
                <w:sz w:val="11"/>
                <w:szCs w:val="11"/>
                <w:color w:val="auto"/>
              </w:rPr>
            </w:pPr>
          </w:p>
        </w:tc>
        <w:tc>
          <w:tcPr>
            <w:tcW w:w="1320" w:type="dxa"/>
            <w:vAlign w:val="bottom"/>
            <w:vMerge w:val="restart"/>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jc w:val="center"/>
              <w:ind w:right="112"/>
              <w:spacing w:after="0" w:line="137"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0" w:type="dxa"/>
            <w:vAlign w:val="bottom"/>
          </w:tcPr>
          <w:p>
            <w:pPr>
              <w:spacing w:after="0"/>
              <w:rPr>
                <w:sz w:val="1"/>
                <w:szCs w:val="1"/>
                <w:color w:val="auto"/>
              </w:rPr>
            </w:pPr>
          </w:p>
        </w:tc>
      </w:tr>
      <w:tr>
        <w:trPr>
          <w:trHeight w:val="190"/>
        </w:trPr>
        <w:tc>
          <w:tcPr>
            <w:tcW w:w="848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3"/>
        </w:trPr>
        <w:tc>
          <w:tcPr>
            <w:tcW w:w="848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June 30, 2021</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137,846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0" w:type="dxa"/>
            <w:vAlign w:val="bottom"/>
          </w:tcPr>
          <w:p>
            <w:pPr>
              <w:spacing w:after="0"/>
              <w:rPr>
                <w:sz w:val="1"/>
                <w:szCs w:val="1"/>
                <w:color w:val="auto"/>
              </w:rPr>
            </w:pPr>
          </w:p>
        </w:tc>
      </w:tr>
      <w:tr>
        <w:trPr>
          <w:trHeight w:val="230"/>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507,729</w:t>
            </w:r>
          </w:p>
        </w:tc>
        <w:tc>
          <w:tcPr>
            <w:tcW w:w="32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0" w:type="dxa"/>
            <w:vAlign w:val="bottom"/>
          </w:tcPr>
          <w:p>
            <w:pPr>
              <w:spacing w:after="0"/>
              <w:rPr>
                <w:sz w:val="1"/>
                <w:szCs w:val="1"/>
                <w:color w:val="auto"/>
              </w:rPr>
            </w:pPr>
          </w:p>
        </w:tc>
      </w:tr>
      <w:tr>
        <w:trPr>
          <w:trHeight w:val="23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(101,515)</w:t>
            </w:r>
          </w:p>
        </w:tc>
        <w:tc>
          <w:tcPr>
            <w:tcW w:w="32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0" w:type="dxa"/>
            <w:vAlign w:val="bottom"/>
          </w:tcPr>
          <w:p>
            <w:pPr>
              <w:spacing w:after="0"/>
              <w:rPr>
                <w:sz w:val="1"/>
                <w:szCs w:val="1"/>
                <w:color w:val="auto"/>
              </w:rPr>
            </w:pPr>
          </w:p>
        </w:tc>
      </w:tr>
      <w:tr>
        <w:trPr>
          <w:trHeight w:val="229"/>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(95,152)</w:t>
            </w:r>
          </w:p>
        </w:tc>
        <w:tc>
          <w:tcPr>
            <w:tcW w:w="320" w:type="dxa"/>
            <w:vAlign w:val="bottom"/>
            <w:tcBorders>
              <w:bottom w:val="single" w:sz="8" w:color="CCEEFF"/>
            </w:tcBorders>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0" w:type="dxa"/>
            <w:vAlign w:val="bottom"/>
          </w:tcPr>
          <w:p>
            <w:pPr>
              <w:spacing w:after="0"/>
              <w:rPr>
                <w:sz w:val="1"/>
                <w:szCs w:val="1"/>
                <w:color w:val="auto"/>
              </w:rPr>
            </w:pPr>
          </w:p>
        </w:tc>
      </w:tr>
      <w:tr>
        <w:trPr>
          <w:trHeight w:val="223"/>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June 30, 2022</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448,908</w:t>
            </w:r>
          </w:p>
        </w:tc>
        <w:tc>
          <w:tcPr>
            <w:tcW w:w="32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0" w:type="dxa"/>
            <w:vAlign w:val="bottom"/>
          </w:tcPr>
          <w:p>
            <w:pPr>
              <w:spacing w:after="0"/>
              <w:rPr>
                <w:sz w:val="1"/>
                <w:szCs w:val="1"/>
                <w:color w:val="auto"/>
              </w:rPr>
            </w:pPr>
          </w:p>
        </w:tc>
      </w:tr>
      <w:tr>
        <w:trPr>
          <w:trHeight w:val="229"/>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346,346</w:t>
            </w:r>
          </w:p>
        </w:tc>
        <w:tc>
          <w:tcPr>
            <w:tcW w:w="32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0" w:type="dxa"/>
            <w:vAlign w:val="bottom"/>
          </w:tcPr>
          <w:p>
            <w:pPr>
              <w:spacing w:after="0"/>
              <w:rPr>
                <w:sz w:val="1"/>
                <w:szCs w:val="1"/>
                <w:color w:val="auto"/>
              </w:rPr>
            </w:pPr>
          </w:p>
        </w:tc>
      </w:tr>
      <w:tr>
        <w:trPr>
          <w:trHeight w:val="23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(274,011)</w:t>
            </w:r>
          </w:p>
        </w:tc>
        <w:tc>
          <w:tcPr>
            <w:tcW w:w="32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0" w:type="dxa"/>
            <w:vAlign w:val="bottom"/>
          </w:tcPr>
          <w:p>
            <w:pPr>
              <w:spacing w:after="0"/>
              <w:rPr>
                <w:sz w:val="1"/>
                <w:szCs w:val="1"/>
                <w:color w:val="auto"/>
              </w:rPr>
            </w:pPr>
          </w:p>
        </w:tc>
      </w:tr>
      <w:tr>
        <w:trPr>
          <w:trHeight w:val="230"/>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(97,342)</w:t>
            </w:r>
          </w:p>
        </w:tc>
        <w:tc>
          <w:tcPr>
            <w:tcW w:w="320" w:type="dxa"/>
            <w:vAlign w:val="bottom"/>
            <w:tcBorders>
              <w:bottom w:val="single" w:sz="8" w:color="CCEEFF"/>
            </w:tcBorders>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0" w:type="dxa"/>
            <w:vAlign w:val="bottom"/>
          </w:tcPr>
          <w:p>
            <w:pPr>
              <w:spacing w:after="0"/>
              <w:rPr>
                <w:sz w:val="1"/>
                <w:szCs w:val="1"/>
                <w:color w:val="auto"/>
              </w:rPr>
            </w:pPr>
          </w:p>
        </w:tc>
      </w:tr>
      <w:tr>
        <w:trPr>
          <w:trHeight w:val="223"/>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June 30, 2023</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423,901</w:t>
            </w:r>
          </w:p>
        </w:tc>
        <w:tc>
          <w:tcPr>
            <w:tcW w:w="32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0" w:type="dxa"/>
            <w:vAlign w:val="bottom"/>
          </w:tcPr>
          <w:p>
            <w:pPr>
              <w:spacing w:after="0"/>
              <w:rPr>
                <w:sz w:val="1"/>
                <w:szCs w:val="1"/>
                <w:color w:val="auto"/>
              </w:rPr>
            </w:pPr>
          </w:p>
        </w:tc>
      </w:tr>
      <w:tr>
        <w:trPr>
          <w:trHeight w:val="230"/>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439,363</w:t>
            </w:r>
          </w:p>
        </w:tc>
        <w:tc>
          <w:tcPr>
            <w:tcW w:w="32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0" w:type="dxa"/>
            <w:vAlign w:val="bottom"/>
          </w:tcPr>
          <w:p>
            <w:pPr>
              <w:spacing w:after="0"/>
              <w:rPr>
                <w:sz w:val="1"/>
                <w:szCs w:val="1"/>
                <w:color w:val="auto"/>
              </w:rPr>
            </w:pPr>
          </w:p>
        </w:tc>
      </w:tr>
      <w:tr>
        <w:trPr>
          <w:trHeight w:val="23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(311,093)</w:t>
            </w:r>
          </w:p>
        </w:tc>
        <w:tc>
          <w:tcPr>
            <w:tcW w:w="32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0" w:type="dxa"/>
            <w:vAlign w:val="bottom"/>
          </w:tcPr>
          <w:p>
            <w:pPr>
              <w:spacing w:after="0"/>
              <w:rPr>
                <w:sz w:val="1"/>
                <w:szCs w:val="1"/>
                <w:color w:val="auto"/>
              </w:rPr>
            </w:pPr>
          </w:p>
        </w:tc>
      </w:tr>
      <w:tr>
        <w:trPr>
          <w:trHeight w:val="229"/>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(4,207)</w:t>
            </w:r>
          </w:p>
        </w:tc>
        <w:tc>
          <w:tcPr>
            <w:tcW w:w="320" w:type="dxa"/>
            <w:vAlign w:val="bottom"/>
            <w:tcBorders>
              <w:bottom w:val="single" w:sz="8" w:color="CCEEFF"/>
            </w:tcBorders>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0" w:type="dxa"/>
            <w:vAlign w:val="bottom"/>
          </w:tcPr>
          <w:p>
            <w:pPr>
              <w:spacing w:after="0"/>
              <w:rPr>
                <w:sz w:val="1"/>
                <w:szCs w:val="1"/>
                <w:color w:val="auto"/>
              </w:rPr>
            </w:pPr>
          </w:p>
        </w:tc>
      </w:tr>
      <w:tr>
        <w:trPr>
          <w:trHeight w:val="248"/>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June 30, 2024</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547,964</w:t>
            </w:r>
          </w:p>
        </w:tc>
        <w:tc>
          <w:tcPr>
            <w:tcW w:w="3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5"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i w:val="1"/>
          <w:iCs w:val="1"/>
          <w:color w:val="auto"/>
        </w:rPr>
        <w:t>STOCK-BASED COMPENSATION EXPENSE</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applies the fair value method to recognize compensation expense for stock-based awards. Using this method, the estimated grant-date fair value of the award is recognized over the requisite service period using the accelerated attribution method. The Company accounts for forfeitures as they occur.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Company's stock-based compensation expense recognized during the years ended June 30, 2024, 2023, and 2022 is as follows: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80" w:type="dxa"/>
            <w:vAlign w:val="bottom"/>
          </w:tcPr>
          <w:p>
            <w:pPr>
              <w:spacing w:after="0"/>
              <w:rPr>
                <w:sz w:val="16"/>
                <w:szCs w:val="16"/>
                <w:color w:val="auto"/>
              </w:rPr>
            </w:pPr>
          </w:p>
        </w:tc>
        <w:tc>
          <w:tcPr>
            <w:tcW w:w="2640" w:type="dxa"/>
            <w:vAlign w:val="bottom"/>
            <w:gridSpan w:val="6"/>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For the year ended June 30,</w:t>
            </w:r>
          </w:p>
        </w:tc>
        <w:tc>
          <w:tcPr>
            <w:tcW w:w="900" w:type="dxa"/>
            <w:vAlign w:val="bottom"/>
          </w:tcPr>
          <w:p>
            <w:pPr>
              <w:spacing w:after="0"/>
              <w:rPr>
                <w:sz w:val="16"/>
                <w:szCs w:val="16"/>
                <w:color w:val="auto"/>
              </w:rPr>
            </w:pPr>
          </w:p>
        </w:tc>
      </w:tr>
      <w:tr>
        <w:trPr>
          <w:trHeight w:val="23"/>
        </w:trPr>
        <w:tc>
          <w:tcPr>
            <w:tcW w:w="74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90"/>
        </w:trPr>
        <w:tc>
          <w:tcPr>
            <w:tcW w:w="73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Award type</w:t>
            </w:r>
          </w:p>
        </w:tc>
        <w:tc>
          <w:tcPr>
            <w:tcW w:w="10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4,424</w:t>
            </w:r>
          </w:p>
        </w:tc>
      </w:tr>
      <w:tr>
        <w:trPr>
          <w:trHeight w:val="230"/>
        </w:trPr>
        <w:tc>
          <w:tcPr>
            <w:tcW w:w="74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Stock grants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1,824</w:t>
            </w:r>
          </w:p>
        </w:tc>
      </w:tr>
      <w:tr>
        <w:trPr>
          <w:trHeight w:val="248"/>
        </w:trPr>
        <w:tc>
          <w:tcPr>
            <w:tcW w:w="74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6,248</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Company recognized tax benefits of $0.5 million, $1.4 million, and $0.6 million related to stock compensation expense for the years ended June 30, 2024, 2023, and 2022, respectively.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Company's unrecognized stock-based compensation expense as of June 30, 2024 is as follows:</w:t>
      </w:r>
    </w:p>
    <w:p>
      <w:pPr>
        <w:spacing w:after="0" w:line="43"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8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80" w:type="dxa"/>
            <w:vAlign w:val="bottom"/>
            <w:gridSpan w:val="3"/>
          </w:tcPr>
          <w:p>
            <w:pPr>
              <w:jc w:val="right"/>
              <w:ind w:right="582"/>
              <w:spacing w:after="0"/>
              <w:rPr>
                <w:sz w:val="20"/>
                <w:szCs w:val="20"/>
                <w:color w:val="auto"/>
              </w:rPr>
            </w:pPr>
            <w:r>
              <w:rPr>
                <w:rFonts w:ascii="Times New Roman" w:cs="Times New Roman" w:eastAsia="Times New Roman" w:hAnsi="Times New Roman"/>
                <w:sz w:val="14"/>
                <w:szCs w:val="14"/>
                <w:b w:val="1"/>
                <w:bCs w:val="1"/>
                <w:color w:val="auto"/>
              </w:rPr>
              <w:t>As of June 30, 2024</w:t>
            </w:r>
          </w:p>
        </w:tc>
        <w:tc>
          <w:tcPr>
            <w:tcW w:w="0" w:type="dxa"/>
            <w:vAlign w:val="bottom"/>
          </w:tcPr>
          <w:p>
            <w:pPr>
              <w:spacing w:after="0"/>
              <w:rPr>
                <w:sz w:val="1"/>
                <w:szCs w:val="1"/>
                <w:color w:val="auto"/>
              </w:rPr>
            </w:pPr>
          </w:p>
        </w:tc>
      </w:tr>
      <w:tr>
        <w:trPr>
          <w:trHeight w:val="23"/>
        </w:trPr>
        <w:tc>
          <w:tcPr>
            <w:tcW w:w="8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8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Unrecognized</w:t>
            </w:r>
          </w:p>
        </w:tc>
        <w:tc>
          <w:tcPr>
            <w:tcW w:w="120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8"/>
        </w:trPr>
        <w:tc>
          <w:tcPr>
            <w:tcW w:w="8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Recognition</w:t>
            </w:r>
          </w:p>
        </w:tc>
        <w:tc>
          <w:tcPr>
            <w:tcW w:w="0" w:type="dxa"/>
            <w:vAlign w:val="bottom"/>
          </w:tcPr>
          <w:p>
            <w:pPr>
              <w:spacing w:after="0"/>
              <w:rPr>
                <w:sz w:val="1"/>
                <w:szCs w:val="1"/>
                <w:color w:val="auto"/>
              </w:rPr>
            </w:pPr>
          </w:p>
        </w:tc>
      </w:tr>
      <w:tr>
        <w:trPr>
          <w:trHeight w:val="146"/>
        </w:trPr>
        <w:tc>
          <w:tcPr>
            <w:tcW w:w="86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Award type</w:t>
            </w:r>
          </w:p>
        </w:tc>
        <w:tc>
          <w:tcPr>
            <w:tcW w:w="120" w:type="dxa"/>
            <w:vAlign w:val="bottom"/>
          </w:tcPr>
          <w:p>
            <w:pPr>
              <w:spacing w:after="0"/>
              <w:rPr>
                <w:sz w:val="12"/>
                <w:szCs w:val="12"/>
                <w:color w:val="auto"/>
              </w:rPr>
            </w:pPr>
          </w:p>
        </w:tc>
        <w:tc>
          <w:tcPr>
            <w:tcW w:w="118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Expense</w:t>
            </w:r>
          </w:p>
        </w:tc>
        <w:tc>
          <w:tcPr>
            <w:tcW w:w="12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198"/>
        </w:trPr>
        <w:tc>
          <w:tcPr>
            <w:tcW w:w="86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0" w:type="dxa"/>
            <w:vAlign w:val="bottom"/>
          </w:tcPr>
          <w:p>
            <w:pPr>
              <w:spacing w:after="0"/>
              <w:rPr>
                <w:sz w:val="1"/>
                <w:szCs w:val="1"/>
                <w:color w:val="auto"/>
              </w:rPr>
            </w:pPr>
          </w:p>
        </w:tc>
      </w:tr>
      <w:tr>
        <w:trPr>
          <w:trHeight w:val="228"/>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1,566</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4"/>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grants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2,225</w:t>
            </w: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INCOME TAXES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has significant deferred tax assets, a substantial amount of which result from operating loss carryforwards. The Company routinely evaluates its ability to realize the benefits of these assets to determine whether it is more likely than not that such benefit will be realized. The Company believes that for the year ended June 30, 2024, it is more likely than not that its deferred tax assets will not be realized. Accordingly, the Company has established a full valuation allowance on its net deferred tax assets. The Company intends to continue maintaining a full valuation allowance on its federal and state deferred tax assets until there is sufficient evidence to support the reversal of all or some portion of this allowance. However, given the Company’s current earnings and anticipated future earnings, the Company believes that there is a reasonable possibility in a future period that sufficient positive evidence may become available to allow the Company to reach a conclusion that a significant portion of the valuation allowance will no longer be needed. Release of the valuation allowance would result in the recognition of certain deferred tax assets and a decrease to income tax expense for the period the release is recorded. However, the exact timing and amount of the valuation allowance release are subject to change on the basis of the level of profitability that the Company is able to actually achieve.</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color w:val="auto"/>
        </w:rPr>
        <w:t>The provision for income taxes for the years ended June 30, 2024, 2023 and 2022 is comprised of the following:</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06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2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30"/>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300" w:type="dxa"/>
            <w:vAlign w:val="bottom"/>
          </w:tcPr>
          <w:p>
            <w:pPr>
              <w:spacing w:after="0"/>
              <w:rPr>
                <w:sz w:val="19"/>
                <w:szCs w:val="19"/>
                <w:color w:val="auto"/>
              </w:rPr>
            </w:pPr>
          </w:p>
        </w:tc>
        <w:tc>
          <w:tcPr>
            <w:tcW w:w="11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w:t>
            </w:r>
          </w:p>
        </w:tc>
        <w:tc>
          <w:tcPr>
            <w:tcW w:w="3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30"/>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9"/>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State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30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deferred</w:t>
            </w: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55"/>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income tax provision</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The components of pre-tax income (loss) are as follows: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3"/>
        </w:trPr>
        <w:tc>
          <w:tcPr>
            <w:tcW w:w="70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7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7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06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2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income (loss)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w:t>
            </w:r>
          </w:p>
        </w:tc>
        <w:tc>
          <w:tcPr>
            <w:tcW w:w="0" w:type="dxa"/>
            <w:vAlign w:val="bottom"/>
          </w:tcPr>
          <w:p>
            <w:pPr>
              <w:spacing w:after="0"/>
              <w:rPr>
                <w:sz w:val="1"/>
                <w:szCs w:val="1"/>
                <w:color w:val="auto"/>
              </w:rPr>
            </w:pPr>
          </w:p>
        </w:tc>
      </w:tr>
      <w:tr>
        <w:trPr>
          <w:trHeight w:val="229"/>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(loss)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(3,239)</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income (loss)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reconciliation of the provision for income taxes for the years ended June 30, 2024, 2023 and 2022 to the indicated provision based on income (loss) before the provision for income taxes at the federal statutory rate of 21.0% for the fiscal years ended June 30, 2024, June 30, 2023, and June 30, 2022 is as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02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at U.S Federal statutory rate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0" w:type="dxa"/>
            <w:vAlign w:val="bottom"/>
          </w:tcPr>
          <w:p>
            <w:pPr>
              <w:spacing w:after="0"/>
              <w:rPr>
                <w:sz w:val="1"/>
                <w:szCs w:val="1"/>
                <w:color w:val="auto"/>
              </w:rPr>
            </w:pPr>
          </w:p>
        </w:tc>
      </w:tr>
      <w:tr>
        <w:trPr>
          <w:trHeight w:val="23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Effects of permanent differences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 compensation</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30"/>
        </w:trPr>
        <w:tc>
          <w:tcPr>
            <w:tcW w:w="7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permanent differences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19"/>
                <w:szCs w:val="19"/>
                <w:color w:val="auto"/>
              </w:rPr>
            </w:pPr>
          </w:p>
        </w:tc>
        <w:tc>
          <w:tcPr>
            <w:tcW w:w="3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23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related to prior years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related to state tax rates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valuation allowances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2,281</w:t>
            </w:r>
          </w:p>
        </w:tc>
        <w:tc>
          <w:tcPr>
            <w:tcW w:w="100" w:type="dxa"/>
            <w:vAlign w:val="bottom"/>
          </w:tcPr>
          <w:p>
            <w:pPr>
              <w:spacing w:after="0"/>
              <w:rPr>
                <w:sz w:val="19"/>
                <w:szCs w:val="19"/>
                <w:color w:val="auto"/>
              </w:rPr>
            </w:pPr>
          </w:p>
        </w:tc>
        <w:tc>
          <w:tcPr>
            <w:tcW w:w="3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3,942</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Statutory Rates Different from U.S.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48"/>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June 30, 2024 the Company had federal and state operating loss carryforwards of approximately $159 million and $91 million, respectively, to offset future taxable income. As of June 30, 2023 the Company had federal and state operating loss carryforwards of approximately $179 million and $112 million, respectively, to offset future taxable income. The timing and extent to which the Company can utilize operating loss carryforwards in any year may be limited because of provisions of the Internal Revenue Code regarding changes in ownership of corporations (i.e. IRS Code Section 382). Federal and state net operating loss carryforwards of $64 million and $10 million, respectively, have indefinite lives and will not expire. The remaining $95 million of federal net operating loss carryforwards and $81 million of state operating loss carryforwards begin to</w:t>
      </w:r>
    </w:p>
    <w:p>
      <w:pPr>
        <w:sectPr>
          <w:pgSz w:w="11900" w:h="16838" w:orient="portrait"/>
          <w:cols w:equalWidth="0" w:num="1">
            <w:col w:w="11240"/>
          </w:cols>
          <w:pgMar w:left="320" w:top="1107" w:right="339" w:bottom="1440" w:gutter="0" w:footer="0" w:header="0"/>
        </w:sect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type w:val="continuous"/>
        </w:sectPr>
      </w:pPr>
    </w:p>
    <w:bookmarkStart w:id="74" w:name="page75"/>
    <w:bookmarkEnd w:id="74"/>
    <w:p>
      <w:pPr>
        <w:jc w:val="both"/>
        <w:spacing w:after="0" w:line="282" w:lineRule="auto"/>
        <w:rPr>
          <w:sz w:val="20"/>
          <w:szCs w:val="20"/>
          <w:color w:val="auto"/>
        </w:rPr>
      </w:pPr>
      <w:r>
        <w:rPr>
          <w:rFonts w:ascii="Times New Roman" w:cs="Times New Roman" w:eastAsia="Times New Roman" w:hAnsi="Times New Roman"/>
          <w:sz w:val="18"/>
          <w:szCs w:val="18"/>
          <w:color w:val="auto"/>
        </w:rPr>
        <w:t>expire in 2024. The net deferred tax assets arose primarily from net operating loss carryforwards, as well as the use of different accounting methods for financial statement and income tax reporting purposes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880" w:type="dxa"/>
            <w:vAlign w:val="bottom"/>
          </w:tcPr>
          <w:p>
            <w:pPr>
              <w:spacing w:after="0"/>
              <w:rPr>
                <w:sz w:val="16"/>
                <w:szCs w:val="16"/>
                <w:color w:val="auto"/>
              </w:rPr>
            </w:pPr>
          </w:p>
        </w:tc>
      </w:tr>
      <w:tr>
        <w:trPr>
          <w:trHeight w:val="23"/>
        </w:trPr>
        <w:tc>
          <w:tcPr>
            <w:tcW w:w="84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9"/>
        </w:trPr>
        <w:tc>
          <w:tcPr>
            <w:tcW w:w="8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3"/>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37,621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42,614</w:t>
            </w:r>
          </w:p>
        </w:tc>
      </w:tr>
      <w:tr>
        <w:trPr>
          <w:trHeight w:val="229"/>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Receivable credit losses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w:t>
            </w:r>
          </w:p>
        </w:tc>
      </w:tr>
      <w:tr>
        <w:trPr>
          <w:trHeight w:val="230"/>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Inventory reserves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w:t>
            </w:r>
          </w:p>
        </w:tc>
      </w:tr>
      <w:tr>
        <w:trPr>
          <w:trHeight w:val="229"/>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Sales returns and allowances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1,916</w:t>
            </w:r>
          </w:p>
        </w:tc>
      </w:tr>
      <w:tr>
        <w:trPr>
          <w:trHeight w:val="230"/>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Sales tax reserves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2,824</w:t>
            </w:r>
          </w:p>
        </w:tc>
      </w:tr>
      <w:tr>
        <w:trPr>
          <w:trHeight w:val="229"/>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research and development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2,856</w:t>
            </w:r>
          </w:p>
        </w:tc>
      </w:tr>
      <w:tr>
        <w:trPr>
          <w:trHeight w:val="229"/>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3,798</w:t>
            </w:r>
          </w:p>
        </w:tc>
      </w:tr>
      <w:tr>
        <w:trPr>
          <w:trHeight w:val="23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w:t>
            </w: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r>
      <w:tr>
        <w:trPr>
          <w:trHeight w:val="223"/>
        </w:trPr>
        <w:tc>
          <w:tcPr>
            <w:tcW w:w="8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56,701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56,842</w:t>
            </w: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9"/>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Intangibles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(3,689)</w:t>
            </w:r>
          </w:p>
        </w:tc>
      </w:tr>
      <w:tr>
        <w:trPr>
          <w:trHeight w:val="230"/>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Property and equipment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w:t>
            </w:r>
          </w:p>
        </w:tc>
      </w:tr>
      <w:tr>
        <w:trPr>
          <w:trHeight w:val="229"/>
        </w:trPr>
        <w:tc>
          <w:tcPr>
            <w:tcW w:w="8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Right-of-use assets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(1,954)</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w:t>
            </w:r>
          </w:p>
        </w:tc>
      </w:tr>
      <w:tr>
        <w:trPr>
          <w:trHeight w:val="223"/>
        </w:trPr>
        <w:tc>
          <w:tcPr>
            <w:tcW w:w="84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(5,741)</w:t>
            </w:r>
          </w:p>
        </w:tc>
      </w:tr>
      <w:tr>
        <w:trPr>
          <w:trHeight w:val="229"/>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assets, net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50,066</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51,101</w:t>
            </w: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(50,532)</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(51,376)</w:t>
            </w:r>
          </w:p>
        </w:tc>
      </w:tr>
      <w:tr>
        <w:trPr>
          <w:trHeight w:val="223"/>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w:t>
            </w:r>
          </w:p>
        </w:tc>
      </w:tr>
      <w:tr>
        <w:trPr>
          <w:trHeight w:val="20"/>
        </w:trPr>
        <w:tc>
          <w:tcPr>
            <w:tcW w:w="8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June 30, 2024, the Company had total unrecognized income tax benefits of $0.8 million related to its nexus in certain state tax jurisdictions. If recognized in future years, $0.8 million of these currently unrecognized income tax benefits would impact the income tax provision and effective tax rate. The following table summarizes the activity related to unrecognized income tax benefits: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06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the beginning of the year</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0" w:type="dxa"/>
            <w:vAlign w:val="bottom"/>
          </w:tcPr>
          <w:p>
            <w:pPr>
              <w:spacing w:after="0"/>
              <w:rPr>
                <w:sz w:val="1"/>
                <w:szCs w:val="1"/>
                <w:color w:val="auto"/>
              </w:rPr>
            </w:pPr>
          </w:p>
        </w:tc>
      </w:tr>
      <w:tr>
        <w:trPr>
          <w:trHeight w:val="230"/>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increases and decreases related to current period tax positions</w:t>
            </w: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increases and decreases related to prior period tax positions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2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the end of the year</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files income tax returns in the United States federal jurisdiction and various state jurisdictions. The tax years ended June 30, 2020 through June 30, 2022 remain open to examination by taxing jurisdictions to which the Company is subject. While the statute of limitations has expired for years prior to the year ended June 30, 2020, changes in reported losses for those years are subject to examination by tax authorities to the extent that operating loss carryforwards from those prior years impact upon taxable income in current years. As of June 30, 2024, the Company did not have any income tax examinations in process.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color w:val="auto"/>
        </w:rPr>
        <w:t>14. EARNINGS (LOSS) PER SHARE CALCULATION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calculation of basic and diluted earnings (loss) per share is presented below:</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 except share and per share data)</w:t>
            </w: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06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40"/>
        </w:trPr>
        <w:tc>
          <w:tcPr>
            <w:tcW w:w="70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 for basic and diluted earnings (loss) per share</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11,993</w:t>
            </w:r>
          </w:p>
        </w:tc>
        <w:tc>
          <w:tcPr>
            <w:tcW w:w="100" w:type="dxa"/>
            <w:vAlign w:val="bottom"/>
          </w:tcPr>
          <w:p>
            <w:pPr>
              <w:spacing w:after="0"/>
              <w:rPr>
                <w:sz w:val="19"/>
                <w:szCs w:val="19"/>
                <w:color w:val="auto"/>
              </w:rPr>
            </w:pP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(1,703)</w:t>
            </w: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Preferred dividends</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0" w:type="dxa"/>
            <w:vAlign w:val="bottom"/>
          </w:tcPr>
          <w:p>
            <w:pPr>
              <w:spacing w:after="0"/>
              <w:rPr>
                <w:sz w:val="1"/>
                <w:szCs w:val="1"/>
                <w:color w:val="auto"/>
              </w:rPr>
            </w:pPr>
          </w:p>
        </w:tc>
      </w:tr>
      <w:tr>
        <w:trPr>
          <w:trHeight w:val="22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available to common shareholders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11,415</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(2,371)</w:t>
            </w:r>
          </w:p>
        </w:tc>
        <w:tc>
          <w:tcPr>
            <w:tcW w:w="0" w:type="dxa"/>
            <w:vAlign w:val="bottom"/>
          </w:tcPr>
          <w:p>
            <w:pPr>
              <w:spacing w:after="0"/>
              <w:rPr>
                <w:sz w:val="1"/>
                <w:szCs w:val="1"/>
                <w:color w:val="auto"/>
              </w:rPr>
            </w:pPr>
          </w:p>
        </w:tc>
      </w:tr>
      <w:tr>
        <w:trPr>
          <w:trHeight w:val="20"/>
        </w:trPr>
        <w:tc>
          <w:tcPr>
            <w:tcW w:w="70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0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Denominator for basic earnings (loss) per share </w:t>
            </w:r>
            <w:r>
              <w:rPr>
                <w:rFonts w:ascii="Times New Roman" w:cs="Times New Roman" w:eastAsia="Times New Roman" w:hAnsi="Times New Roman"/>
                <w:sz w:val="18"/>
                <w:szCs w:val="18"/>
                <w:color w:val="auto"/>
              </w:rPr>
              <w:t>- Weighted average shares outstanding</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72,819,220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71,978,901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71,091,790</w:t>
            </w: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dilutive potential common shares</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1,352,878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535,733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6"/>
        </w:trPr>
        <w:tc>
          <w:tcPr>
            <w:tcW w:w="706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 xml:space="preserve">Denominator for diluted earnings (loss) per share </w:t>
            </w:r>
            <w:r>
              <w:rPr>
                <w:rFonts w:ascii="Times New Roman" w:cs="Times New Roman" w:eastAsia="Times New Roman" w:hAnsi="Times New Roman"/>
                <w:sz w:val="18"/>
                <w:szCs w:val="18"/>
                <w:color w:val="auto"/>
              </w:rPr>
              <w:t>- Adjusted weighted average shares</w:t>
            </w:r>
          </w:p>
        </w:tc>
        <w:tc>
          <w:tcPr>
            <w:tcW w:w="26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74,172,098</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72,514,634</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71,091,790</w:t>
            </w:r>
          </w:p>
        </w:tc>
        <w:tc>
          <w:tcPr>
            <w:tcW w:w="0" w:type="dxa"/>
            <w:vAlign w:val="bottom"/>
          </w:tcPr>
          <w:p>
            <w:pPr>
              <w:spacing w:after="0"/>
              <w:rPr>
                <w:sz w:val="1"/>
                <w:szCs w:val="1"/>
                <w:color w:val="auto"/>
              </w:rPr>
            </w:pPr>
          </w:p>
        </w:tc>
      </w:tr>
      <w:tr>
        <w:trPr>
          <w:trHeight w:val="216"/>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w:t>
            </w: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0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earnings (loss) per share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tcPr>
          <w:p>
            <w:pPr>
              <w:spacing w:after="0"/>
              <w:rPr>
                <w:sz w:val="19"/>
                <w:szCs w:val="19"/>
                <w:color w:val="auto"/>
              </w:rPr>
            </w:pP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(loss) per share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bl>
    <w:p>
      <w:pPr>
        <w:spacing w:after="0" w:line="40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Potentially anti-dilutive shares excluded from the calculation of diluted earnings (loss) per share were approximately 0 million, 4 million, and 5 million for the year ended June 30, 2024, 2023 and 2022,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FAIR VALUE OF FINANCIAL INSTRUMENTS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carrying amounts of certain of the Company’s financial instruments, including cash equivalents, accounts receivable, accounts payable and accrued expenses, are carried at cost which approximates fair value due to their liquid or short-term nature. We have not identified material factors that would significantly impact the fair value of our financial assets and liabilities. The Company’s obligations under its long-term debt agreements are carried at amortized cost, which approximates their fair value as of June 30, 2024, as the debt facility was recently amended in March and December, 2022 and the interest rates applicable are variable in nature. The fair value of the Company’s obligations under its long-term debt agreements with JPMorgan were considered Level 2 liabilities of the fair value hierarchy because these instruments have interest rates that reset frequently.</w:t>
      </w:r>
    </w:p>
    <w:p>
      <w:pPr>
        <w:spacing w:after="0" w:line="210" w:lineRule="exact"/>
        <w:rPr>
          <w:sz w:val="20"/>
          <w:szCs w:val="20"/>
          <w:color w:val="auto"/>
        </w:rPr>
      </w:pPr>
    </w:p>
    <w:p>
      <w:pPr>
        <w:ind w:right="6400" w:firstLine="8"/>
        <w:spacing w:after="0" w:line="534" w:lineRule="auto"/>
        <w:tabs>
          <w:tab w:leader="none" w:pos="27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SHAREHOLDER'S EQUITY AND PREFERRED STOCK Common Stock</w:t>
      </w:r>
    </w:p>
    <w:p>
      <w:pPr>
        <w:spacing w:after="0" w:line="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640.0 million shares of common stock, no par value, authorized for issuance. Each holder of common stock is entitled to one vote for each share of common stock held of record by such holder on all matters on which stockholders are entitled to vote, including the election of directors. The Company had approximately 72.9 million and 72.7 million shares of common stock issued and outstanding, respectively, as of June 30, 2024 and June 30, 2023.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Dividends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holders of the common stock are entitled to receive dividends as the Board of Directors of the Company may from time to time declare out of funds legally available for payment of dividends. Through the date hereof, no cash dividends have been declared on the Company’s common stock or preferred stock. No dividend may be paid on the common stock until all accumulated and unpaid dividends on the preferred stock have been paid.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Convertible Preferred Stock</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1.8 million of preferred stock authorized for issuance which may be issued from time to time in one or more series, each series with such rights, preferences or restrictions as determined by the Board of Directors. As of June 30, 2024, 900,000 preferred shares have been designated as Series A Convertible Preferred Stock, no par value. The other 900,000 preferred shared shares have not been designated. Each share of Series A Convertible Preferred Stock is convertible into 0.1988</w:t>
      </w:r>
    </w:p>
    <w:p>
      <w:pPr>
        <w:sectPr>
          <w:pgSz w:w="11900" w:h="16838" w:orient="portrait"/>
          <w:cols w:equalWidth="0" w:num="1">
            <w:col w:w="11240"/>
          </w:cols>
          <w:pgMar w:left="320" w:top="1103" w:right="3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type w:val="continuous"/>
        </w:sectPr>
      </w:pPr>
    </w:p>
    <w:bookmarkStart w:id="76" w:name="page77"/>
    <w:bookmarkEnd w:id="76"/>
    <w:p>
      <w:pPr>
        <w:jc w:val="both"/>
        <w:spacing w:after="0" w:line="258" w:lineRule="auto"/>
        <w:rPr>
          <w:sz w:val="20"/>
          <w:szCs w:val="20"/>
          <w:color w:val="auto"/>
        </w:rPr>
      </w:pPr>
      <w:r>
        <w:rPr>
          <w:rFonts w:ascii="Times New Roman" w:cs="Times New Roman" w:eastAsia="Times New Roman" w:hAnsi="Times New Roman"/>
          <w:sz w:val="18"/>
          <w:szCs w:val="18"/>
          <w:color w:val="auto"/>
        </w:rPr>
        <w:t>of a share of Common Stock and each share of Series A Convertible Preferred Stock is entitled to 0.1988 of a vote on all matters on which the holders of Common Stock are entitled to vote. Series A Convertible Preferred Stock provides for an annual cumulative dividend of $1.50 per share, payable when, and if declared by the Board of Directors, to the shareholders of record in equal parts on February 1 and August 1 of each year. Any and all accumulated and unpaid cash dividends on the Series A Convertible Preferred Stock must be declared and paid prior to the declaration and payment of any dividends on the Common Stock.</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fiscal year 2023, the Company retired 59,281 shares of its Series A convertible preferred stock that it purchased for an aggregate amount of approximately $2.45 million. The repurchase transaction was primarily accounted for as an extinguishment of preferred stock and recorded as a decrease to the carrying value of the preferred stock in the amount of $0.42 million and common stock of $1.73 million for an aggregate amount of $2.15 million that was included within the Cash flows from financing activities in the Consolidated Statements of Cash Flows. The remaining $0.3 million was deemed to be an amount in excess of the fair value of the preferred stock and was recorded within Operating expenses in the Consolidated Statements of Operations and Cash flows from operating activities in the Consolidated Statements of Cash Flows.</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Series A Convertible Preferred Stock may be called for redemption at the option of the Board of Directors for a price of $11.00 per share plus payment of all accrued and unpaid dividends. No such redemption has occurred as of June 30, 2024. In the event of any liquidation as defined in the Company’s Articles of Incorporation, the holders of shares of Series A Convertible Preferred Stock issued shall be entitled to receive $10.00 for each outstanding share plus all cumulative unpaid dividends. If funds are insufficient for this distribution, the assets available will be distributed ratably among the preferred shareholders. The Series A Convertible Preferred Stock liquidation preference as of June 30, 2024 and 2023 is as 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40" w:type="dxa"/>
            <w:vAlign w:val="bottom"/>
            <w:gridSpan w:val="4"/>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0" w:type="dxa"/>
            <w:vAlign w:val="bottom"/>
          </w:tcPr>
          <w:p>
            <w:pPr>
              <w:spacing w:after="0"/>
              <w:rPr>
                <w:sz w:val="1"/>
                <w:szCs w:val="1"/>
                <w:color w:val="auto"/>
              </w:rPr>
            </w:pPr>
          </w:p>
        </w:tc>
      </w:tr>
      <w:tr>
        <w:trPr>
          <w:trHeight w:val="23"/>
        </w:trPr>
        <w:tc>
          <w:tcPr>
            <w:tcW w:w="8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48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 shares outstanding at $10.00 per share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3,858</w:t>
            </w:r>
          </w:p>
        </w:tc>
        <w:tc>
          <w:tcPr>
            <w:tcW w:w="0" w:type="dxa"/>
            <w:vAlign w:val="bottom"/>
          </w:tcPr>
          <w:p>
            <w:pPr>
              <w:spacing w:after="0"/>
              <w:rPr>
                <w:sz w:val="1"/>
                <w:szCs w:val="1"/>
                <w:color w:val="auto"/>
              </w:rPr>
            </w:pPr>
          </w:p>
        </w:tc>
      </w:tr>
      <w:tr>
        <w:trPr>
          <w:trHeight w:val="230"/>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Cumulative undeclared and unpaid dividends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18,864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18,286</w:t>
            </w:r>
          </w:p>
        </w:tc>
        <w:tc>
          <w:tcPr>
            <w:tcW w:w="0" w:type="dxa"/>
            <w:vAlign w:val="bottom"/>
          </w:tcPr>
          <w:p>
            <w:pPr>
              <w:spacing w:after="0"/>
              <w:rPr>
                <w:sz w:val="1"/>
                <w:szCs w:val="1"/>
                <w:color w:val="auto"/>
              </w:rPr>
            </w:pPr>
          </w:p>
        </w:tc>
      </w:tr>
      <w:tr>
        <w:trPr>
          <w:trHeight w:val="248"/>
        </w:trPr>
        <w:tc>
          <w:tcPr>
            <w:tcW w:w="84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22,722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22,144</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determined that its Series A Convertible Preferred Stock is contingently redeemable due to the existence of deemed liquidation provisions contained in its certificate of incorporation, and therefore classifies its convertible preferred stock outside of permanent equity. The Company has not made any adjustments to the carrying value of the Series A Convertible Preferred Stock to reflect the liquidation value of the shares inclusive of the cumulative undeclared and unpaid dividends because the Company has determined that a deemed liquidation event is not probable of occurring. Cumulative undeclared and unpaid dividends are convertible into common shares at $1,000 per common share at the option of the shareholder. During the years ended June 30, 2024, 2023 and 2022, no shares of Preferred Stock nor cumulative preferred dividends were converted into shares of common stock.</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RETIREMENT PLAN</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401(k) Plan (the “Retirement Plan”) allows employees to make voluntary contributions, beginning on their first day of active employment, up to a maximum of 100% of their annual compensation, as defined in the Retirement Plan. The Company may, in its discretion, make a matching contribution, a profit-sharing contribution, a qualified non-elective contribution, and/or a safe harbor 401(k) contribution to the Retirement Plan. The Company must make an annual election, at the beginning of the plan year, as to whether it will make a safe harbor contribution to the plan. In fiscal years 2024, 2023 and 2022, the Company elected and made safe harbor matching contributions of 100% of the participant’s first 3% and 50% of the next 2% of compensation deferred into the Retirement Plan. The Company’s safe harbor contributions for the years ended June 30, 2024, 2023 and 2022 approximated $0.9 million, $0.8 million and $0.7 million, respectively, and are included within General and administrative expenses within our Consolidated Statements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COMMITMENTS AND CONTINGENCIES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 party to litigation and other proceedings that arise in the ordinary course of our business. These types of matters could result in fines, penalties, compensatory or treble damages or non-monetary sanctions or relief. In accordance with the accounting guidance for contingencies, we reserve for litigation claims and assessments asserted or threatened against us when</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color w:val="auto"/>
        </w:rPr>
        <w:t>a loss is probable and the amount of the loss can be reasonably estimated. We cannot predict the outcome of legal or other proceedings with certainty.</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 Inquiries and Settlements</w:t>
      </w:r>
    </w:p>
    <w:p>
      <w:pPr>
        <w:spacing w:after="0" w:line="24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Beginning in the fiscal year 2019, the Company received inquiries from the SEC into the facts and circumstances arising from accounting practices in fiscal years 2017 and 2018 ("2019 Investigation"). The Company fully cooperated with these inquiries. During fiscal year 2023, the Company reached a settlement with the SEC to resolve its 2019 Investigation. As part of the settlement, the Company agreed to neither admit nor deny the findings in the SEC’s final order, and agreed to a cease-and-desist order with a civil monetary penalty payment of $1.5 million. The penalty payment was fully paid to the SEC as of June 30, 2023. During fiscal year 2023, the Company received a $2.0 million reimbursement from its directors and officers (D&amp;O) insurance policy for legal fees and expenses incurred in connection with the 2019 Investigation. The D&amp;O reimbursement proceeds were recorded as a reduction of "Investigation, proxy and restatement expenses, net of insurance recoveries" on the Company's Consolidated Statement of Operations for the fiscal year ended June 30, 2023. Additionally, in fiscal year 2024, the Company agreed to an additional net settlement of approximately $1.5 million with a third party insurance carrier related to the reimbursement of expenses associated with the closed SEC investigation. The additional settlement proceeds were recorded as a reduction of "Investigation, proxy and restatement expenses, net of insurance recoveries" on the Company's Consolidated Statement of Operations for the fiscal year ended June 30, 2024. The matter is now fully closed.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 Commitments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2024, the Company had no material firm purchase commitments over the next year.</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RELATED PARTY TRANSACTIONS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member of our Board of Directors serves as a strategic advisor to a consulting firm that we utilize for payments analytics and advisory services. These services are utilized by the Company to reduce the cost of our interchange and other processing fees charged by payment processors and credit card networks. As consideration for the services, we pay the consulting firm a success fee based on the savings realized by the Company and a recurring monthly subscription fee for the analytics services. The total expense recognized within Cost of subscription and transaction fees for the year ended June 30, 2024, 2023, and 2022 for these arrangements were $0.2 million, $0.4 million, and $1.1 million, respectively.</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SUBSEQUENT EVENTS</w:t>
      </w:r>
    </w:p>
    <w:p>
      <w:pPr>
        <w:spacing w:after="0" w:line="2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September 5, 2024, the Company acquired SB Software Limited, a United Kingdom private limited Company, for an estimated aggregate base purchase price of approximately $13 million, including approximately $3 million in consideration contingent upon achievement of certain revenue targets over the next three years. The acquired company is in the businesses of vending machine and coffee machine management in the United Kingdom.</w:t>
      </w:r>
    </w:p>
    <w:p>
      <w:pPr>
        <w:spacing w:after="0" w:line="20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Due to the limited amount of time since the acquisition date, the preliminary acquisition valuation for the acquisition is incomplete at this time. As a result, the Company is unable to provide the amounts recognized as of the acquisition date for the major classes of assets acquired and liabilities assumed. The Company expects to have preliminary allocations of the purchase consideration to the assets acquired and liabilities assumed in the first quarter ended September 30, 2024.</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October 10, 2023, the Audit Committee (the “Audit Committee”) of the board of directors (the “Board”) of Cantaloupe, Inc. (the “Company”) approved, and the Board ratified, the dismissal of BDO USA P.C. (“BDO”) as the Company’s independent registered public accounting firm.</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fiscal years ended June 30, 2023 and 2022, respectively, and the subsequent interim period through October 10, 2023, there were no “disagreements” (as defined in Item 304(a)(1)(iv) of Regulation S-K and related instructions) with BDO on any matter of accounting principles or practices, fibnancial statement disclosure or auditing scope or procedure, which disagreements if not resolved to the satisfaction of BDO would have caused BDO to make reference thereto in its reports on the consolidated financial statements for such years.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BDO’s reports on the Company’s consolidated financial statements as of and for the fiscal years ended June 30, 2023 and 2022 did not contain any adverse opinion or disclaimer of opinion, nor were they qualified or modified as to uncertainty, audit scope, or accounting principles.</w:t>
      </w:r>
    </w:p>
    <w:p>
      <w:pPr>
        <w:spacing w:after="0" w:line="189"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color w:val="auto"/>
        </w:rPr>
        <w:t>During the fiscal years ended June 30, 2023 and 2022, and the subsequent interim period through October 10, 2023, there have been no “reportable events” (as defined in Item 304(a)(1)(v) of Regulation S-K), except for the material weaknesses in the Company’s internal control over financial reporting described in Part II, Item 9A, “Controls and Procedures,” in the Company’s annual reports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the years ended June 30, 2023 and June 30, 2022, filed with the SEC on September 25, 2023 and November 9, 2022, respectively, and in Part I, Item 4, “Controls and Procedures,” in the Company’s quarterly reports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for the quarters ended September 30, 2022, December 31, 2022, and March 31, 2023, filed with the SEC on November 9, 2022, February 9, 2023 and May 9, 2023, respectively. The Audit Committee has discussed the material weaknesses in the Company’s internal control over financial reporting with BDO and authorized BDO to respond fully to the inquiries of Deloitte &amp; Touche LLP (“Deloitte”), the Company’s new independent registered public accountants, concerning such material weaknesses.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Also on October 10, 2023, the Audit Committee further approved, and the Board ratified, the appointment of Deloitte as the Company’s new independent registered public accounting firm to perform independent audit services for the fiscal year ending June 30, 2024.</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fiscal years ended June 30, 2023 and 2022, and the subsequent interim period through October 10, 2023, neither the Company, nor anyone on its behalf, consulted Deloitte regarding either (i) the application of accounting principles to a specified transaction, either completed or proposed, or the type of audit opinion that might be rendered with respect to the consolidated financial statements of the Company, and no written report or oral advice was provided to the Company by Deloitte that was an important factor considered by the Company in reaching a decision as to any accounting, auditing or financial reporting issue; or (ii) any matter that was the subject of a “disagreement” (as defined in Item 304(a)(1)(iv) of Regulation S-K and the related instructions) or a “reportable event” (as that term is defined in Item 304(a)(1)(v) of Regulation S-K).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Evaluation of Disclosure Controls and Procedures</w:t>
      </w:r>
    </w:p>
    <w:p>
      <w:pPr>
        <w:spacing w:after="0" w:line="24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maintain disclosure controls and procedures to ensure that information required to be disclosed by us in the reports that we file or submit under the Securities Exchange Act of 1934, as amended (the “Exchange Act”), is recorded, processed, summarized and reported within the time periods specified in the SEC’s rules and forms, and that such information is accumulated and communicated to our management, including our Chief Executive Officer and Chief Financial Officer, to allow timely decisions regarding required disclosure.</w:t>
      </w:r>
    </w:p>
    <w:p>
      <w:pPr>
        <w:spacing w:after="0" w:line="2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Chief Executive Officer and Chief Financial Officer, after evaluating the effectiveness of our disclosure controls and procedures (as defined in Exchange Act Rules 13a-15(e) and 15d-15(e)), have concluded that the Company’s disclosure controls and procedures were effective as of June 30,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Management’s Report on Internal Control over Financial Reporting</w:t>
      </w:r>
    </w:p>
    <w:p>
      <w:pPr>
        <w:spacing w:after="0" w:line="17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Management of the Company is responsible for the preparation and integrity of the consolidated financial statements appearing in this Annual Report on Form 10-K. The financial statements were prepared in conformity with generally accepted accounting principles appropriate in the circumstances and, accordingly, include certain amounts based on our best judgments and estimates.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79" w:name="page80"/>
    <w:bookmarkEnd w:id="79"/>
    <w:p>
      <w:pPr>
        <w:jc w:val="both"/>
        <w:spacing w:after="0" w:line="245" w:lineRule="auto"/>
        <w:rPr>
          <w:sz w:val="20"/>
          <w:szCs w:val="20"/>
          <w:color w:val="auto"/>
        </w:rPr>
      </w:pPr>
      <w:r>
        <w:rPr>
          <w:rFonts w:ascii="Times New Roman" w:cs="Times New Roman" w:eastAsia="Times New Roman" w:hAnsi="Times New Roman"/>
          <w:sz w:val="18"/>
          <w:szCs w:val="18"/>
          <w:color w:val="auto"/>
        </w:rPr>
        <w:t>Management of the Company is responsible for establishing and maintaining adequate internal control over financial reporting, as such term is defined in Exchange Act Rules 13a-15(f) and 15d-15(f). The Company’s internal control over financial reporting is a process designed by, or under the supervision of, our Chief Executive Officer and Chief Financial Officer, to provide reasonable assurance regarding the reliability of financial reporting and the preparation of financial statements for external purposes in accordance with generally accepted accounting principles.</w:t>
      </w:r>
    </w:p>
    <w:p>
      <w:pPr>
        <w:spacing w:after="0" w:line="2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all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 xml:space="preserve">Management, including our Chief Executive Officer and Chief Financial Officer, assessed the effectiveness of the Company’s internal control over financial reporting as of June 30, 2024. In making this assessment, management used the criteria set forth by the Committee of Sponsoring Organizations of the Treadway Commission (COSO) the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Based on its assessment, management has concluded that the Company maintained effective internal control over financial reporting as of June 30, 2024.</w:t>
      </w:r>
    </w:p>
    <w:p>
      <w:pPr>
        <w:spacing w:after="0" w:line="20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On February 1, 2024, we completed the acquisition of Cheq Lifestyle Technology, Inc. ("Cheq"). As permitted by the SEC rules and regulations, management's assessment did not include the internal control of the acquired operations of Cheq, which are included in our consolidated financial statements as of June 30, 2024 and for the period from the acquisition date through June 30, 2024. In accordance with our integration efforts, we plan to incorporate the acquired operations of Cheq into our internal control over financial reporting program within the time period provided by applicable SEC rules and regulations. The assets, excluding goodwill, of the acquired operations of Cheq constitute approximately 1% of our total consolidated assets as of June 30, 2024 and approximately 1% of our total consolidated revenues for the year ended June 30, 2024.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Attestation Report of Independent Registered Public Accounting Firm</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independent registered public accounting firm, Deloitte &amp; Touche LLP, as auditor of our consolidated financial statements included in this Annual Report on Form 10-K, has issued an attestation report on the effectiveness of our internal control over financial reporting as of June 30,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Changes in Internal Control Over Financial Reporting</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than the remediation of the material weaknesses reported in our 2023 Annual Report on Form 10-K, there were no changes in the Company’s internal controls over financial reporting that have materially affected, or are reasonably likely to materially affect, the Company’s internal control over financial reporting during the fourth quarter of fiscal year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Remediation of Prior Material Weaknesses</w:t>
      </w:r>
    </w:p>
    <w:p>
      <w:pPr>
        <w:spacing w:after="0" w:line="24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As previously reported, management identified that the company had material weaknesses in its internal control over financial reporting as of June 30, 2022 and June 30, 2023. Following the identification of the material weaknesses and continuing through the year ended June 30, 2024, management executed its remediation plan related to these material weaknesses, including (i) enhancing existing policies and procedures and implementing new tools to facilitate more efficient operations and improve the timely execution of key controls by company personnel, (ii) enhancing program change management, user access provisioning, and monitoring controls to ensure changes to key applications are appropriately reviewed and approved and to enforce appropriate system access and segregation of duties, (iii) recruiting key positions within our accounting, technology and other support functions to enhance our ability to evaluate and document the accounting treatment for significant unusual transactions, allow for appropriate segregation of duties and change management, and provide appropriate oversight and reviews, (iv) improving the design of key controls to ensure reports used in the performance of such controls are complete and accurate as part of the controls execution, and (v) improving the design and operation of controls related to revenue recognition including the identification of performance obligations and stand-alone selling prices and review and input of the contract terms into our information systems. As a result of the measures described above, the previously disclosed material weaknesses have been remediated as of June 30, 2024.</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Trading Plans</w:t>
      </w:r>
    </w:p>
    <w:p>
      <w:pPr>
        <w:spacing w:after="0" w:line="2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During the fiscal quarter ended June 30, 2024, none of the Company's director of executive officers adopted, modified or terminated any contract, instruction or written plan for the purchase or sale of Company securities that was intended to satisfy the affirmative defense conditions of Rule 10b5-1(c) or any “non-Rule 10b5-1 trading arrangement.”</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7"/>
          <w:szCs w:val="17"/>
          <w:b w:val="1"/>
          <w:bCs w:val="1"/>
          <w:color w:val="auto"/>
        </w:rPr>
        <w:t>Item 9C. Disclosure regarding Foreign Jurisdictions that Prevent Inspections.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887" w:right="1440"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our definitive Proxy Statement for our 2025 Annual Meeting of Stockholders, which will be filed with the SEC no later than 120 days after June 30, 2024.</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24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We have adopted the Cantaloupe, Inc. Insider Trading Policy (the “Insider Trading Policy”), which governs the purchase, sale and other dispositions of our securities by all of our directors, officers and employees, as well as their family members and other persons who live with them, and any corporations, limited liability companies, partnerships, trusts or other entities over which they influence or control. The Insider Trading Policy is designed to promote compliance with insider trading laws, rules and regulations, as well as the rules and regulations of the NASDAQ. It prohibits those who are subject to the policy from trading securities of any company, including the Company, while in possession of material non-public information, and from buying, selling or gifting Company securities even if not in possession of such information during certain trading blackout periods, subject to limited exceptions. It also prohibits those who are subject to the policy from effecting short sales of Company securities and from engaging in hedging transactions and purchasing or selling derivative securities, such as puts and calls, relating to Company securities. The Insider Trading Policy also imposes additional trading restrictions applicable to our directors, executive officers and employees. The foregoing summary of the Insider Trading Policy does not purport to be complete and is qualified in its entirety by reference to the full text of the Insider Trading Policy attached hereto as Exhibit 19.1.</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our definitive Proxy Statement for our 2025 Annual Meeting of Stockholders, which will be filed with the SEC no later than 120 days after June 30, 2024.</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Shareholder Matters.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our definitive Proxy Statement for our 2025 Annual Meeting of Stockholders, which will be filed with the SEC no later than 120 days after June 30,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our definitive Proxy Statement for our 2025 Annual Meeting of Stockholders, which will be filed with the SEC no later than 120 days after June 30,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our definitive Proxy Statement for our 2025 Annual Meeting of Stockholders, which will be filed with the SEC no later than 120 days after June 30, 2024.</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31" w:lineRule="exact"/>
        <w:rPr>
          <w:sz w:val="20"/>
          <w:szCs w:val="20"/>
          <w:color w:val="auto"/>
        </w:rPr>
      </w:pPr>
    </w:p>
    <w:p>
      <w:pPr>
        <w:jc w:val="right"/>
        <w:ind w:right="5679"/>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ectPr>
          <w:pgSz w:w="11900" w:h="16838" w:orient="portrait"/>
          <w:cols w:equalWidth="0" w:num="1">
            <w:col w:w="10139"/>
          </w:cols>
          <w:pgMar w:left="320" w:top="1103" w:right="1440" w:bottom="1440" w:gutter="0" w:footer="0" w:header="0"/>
        </w:sectPr>
      </w:pPr>
    </w:p>
    <w:p>
      <w:pPr>
        <w:spacing w:after="0" w:line="1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59118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91185" cy="8255"/>
                    </a:xfrm>
                    <a:prstGeom prst="rect">
                      <a:avLst/>
                    </a:prstGeom>
                    <a:noFill/>
                  </pic:spPr>
                </pic:pic>
              </a:graphicData>
            </a:graphic>
          </wp:anchor>
        </w:drawing>
      </w:r>
    </w:p>
    <w:p>
      <w:pPr>
        <w:spacing w:after="0" w:line="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3.2</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4.1*</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10.1.1</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10.1.2</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10.1.3</w:t>
      </w: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10.2</w:t>
      </w: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10.2.1</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10.3</w:t>
      </w:r>
    </w:p>
    <w:p>
      <w:pPr>
        <w:spacing w:after="0" w:line="3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10.4</w:t>
      </w:r>
    </w:p>
    <w:p>
      <w:pPr>
        <w:spacing w:after="0" w:line="200" w:lineRule="exact"/>
        <w:rPr>
          <w:sz w:val="20"/>
          <w:szCs w:val="20"/>
          <w:color w:val="auto"/>
        </w:rPr>
      </w:pPr>
    </w:p>
    <w:p>
      <w:pPr>
        <w:spacing w:after="0" w:line="3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10.5</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10.6†</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10.7†</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10.8†</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10.9†</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10.9.1†</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10.9.2†</w:t>
      </w:r>
    </w:p>
    <w:p>
      <w:pPr>
        <w:spacing w:after="0" w:line="3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10.9.3†*</w:t>
      </w:r>
    </w:p>
    <w:p>
      <w:pPr>
        <w:spacing w:after="0" w:line="3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10.9.4†*</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33655</wp:posOffset>
            </wp:positionV>
            <wp:extent cx="556323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563235" cy="8255"/>
                    </a:xfrm>
                    <a:prstGeom prst="rect">
                      <a:avLst/>
                    </a:prstGeom>
                    <a:noFill/>
                  </pic:spPr>
                </pic:pic>
              </a:graphicData>
            </a:graphic>
          </wp:anchor>
        </w:drawing>
      </w:r>
    </w:p>
    <w:p>
      <w:pPr>
        <w:spacing w:after="0" w:line="82" w:lineRule="exact"/>
        <w:rPr>
          <w:sz w:val="20"/>
          <w:szCs w:val="20"/>
          <w:color w:val="auto"/>
        </w:rPr>
      </w:pPr>
    </w:p>
    <w:p>
      <w:pPr>
        <w:ind w:right="919"/>
        <w:spacing w:after="0" w:line="237" w:lineRule="auto"/>
        <w:rPr>
          <w:rFonts w:ascii="Times New Roman" w:cs="Times New Roman" w:eastAsia="Times New Roman" w:hAnsi="Times New Roman"/>
          <w:sz w:val="18"/>
          <w:szCs w:val="18"/>
          <w:u w:val="single" w:color="auto"/>
          <w:color w:val="0000FF"/>
        </w:rPr>
      </w:pPr>
      <w:hyperlink r:id="rId116">
        <w:r>
          <w:rPr>
            <w:rFonts w:ascii="Times New Roman" w:cs="Times New Roman" w:eastAsia="Times New Roman" w:hAnsi="Times New Roman"/>
            <w:sz w:val="18"/>
            <w:szCs w:val="18"/>
            <w:u w:val="single" w:color="auto"/>
            <w:color w:val="0000FF"/>
          </w:rPr>
          <w:t>Amended and Restated Articles of Incorporation, (incorporated by reference to Exhibit 3.1 to Form 10-Q filed on</w:t>
        </w:r>
      </w:hyperlink>
      <w:r>
        <w:rPr>
          <w:rFonts w:ascii="Times New Roman" w:cs="Times New Roman" w:eastAsia="Times New Roman" w:hAnsi="Times New Roman"/>
          <w:sz w:val="18"/>
          <w:szCs w:val="18"/>
          <w:u w:val="single" w:color="auto"/>
          <w:color w:val="0000FF"/>
        </w:rPr>
        <w:t xml:space="preserve"> </w:t>
      </w:r>
      <w:hyperlink r:id="rId116">
        <w:r>
          <w:rPr>
            <w:rFonts w:ascii="Times New Roman" w:cs="Times New Roman" w:eastAsia="Times New Roman" w:hAnsi="Times New Roman"/>
            <w:sz w:val="18"/>
            <w:szCs w:val="18"/>
            <w:u w:val="single" w:color="auto"/>
            <w:color w:val="0000FF"/>
          </w:rPr>
          <w:t>February 4, 2022).</w:t>
        </w:r>
      </w:hyperlink>
    </w:p>
    <w:p>
      <w:pPr>
        <w:spacing w:after="0" w:line="64" w:lineRule="exact"/>
        <w:rPr>
          <w:sz w:val="20"/>
          <w:szCs w:val="20"/>
          <w:color w:val="auto"/>
        </w:rPr>
      </w:pPr>
    </w:p>
    <w:p>
      <w:pPr>
        <w:spacing w:after="0"/>
        <w:rPr>
          <w:rFonts w:ascii="Times New Roman" w:cs="Times New Roman" w:eastAsia="Times New Roman" w:hAnsi="Times New Roman"/>
          <w:sz w:val="17"/>
          <w:szCs w:val="17"/>
          <w:u w:val="single" w:color="auto"/>
          <w:color w:val="0000FF"/>
        </w:rPr>
      </w:pPr>
      <w:hyperlink r:id="rId117">
        <w:r>
          <w:rPr>
            <w:rFonts w:ascii="Times New Roman" w:cs="Times New Roman" w:eastAsia="Times New Roman" w:hAnsi="Times New Roman"/>
            <w:sz w:val="17"/>
            <w:szCs w:val="17"/>
            <w:u w:val="single" w:color="auto"/>
            <w:color w:val="0000FF"/>
          </w:rPr>
          <w:t>Second Amended and Restated Bylaws (incorporated by reference to Exhibit 3.1 to Form 8-K filed on August 10, 2021).</w:t>
        </w:r>
      </w:hyperlink>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Description of Securities.</w:t>
      </w:r>
    </w:p>
    <w:p>
      <w:pPr>
        <w:spacing w:after="0" w:line="77" w:lineRule="exact"/>
        <w:rPr>
          <w:sz w:val="20"/>
          <w:szCs w:val="20"/>
          <w:color w:val="auto"/>
        </w:rPr>
      </w:pPr>
    </w:p>
    <w:p>
      <w:pPr>
        <w:ind w:right="379"/>
        <w:spacing w:after="0" w:line="205" w:lineRule="exact"/>
        <w:rPr>
          <w:rFonts w:ascii="Times New Roman" w:cs="Times New Roman" w:eastAsia="Times New Roman" w:hAnsi="Times New Roman"/>
          <w:sz w:val="18"/>
          <w:szCs w:val="18"/>
          <w:u w:val="single" w:color="auto"/>
          <w:color w:val="0000FF"/>
        </w:rPr>
      </w:pPr>
      <w:hyperlink r:id="rId118">
        <w:r>
          <w:rPr>
            <w:rFonts w:ascii="Times New Roman" w:cs="Times New Roman" w:eastAsia="Times New Roman" w:hAnsi="Times New Roman"/>
            <w:sz w:val="18"/>
            <w:szCs w:val="18"/>
            <w:u w:val="single" w:color="auto"/>
            <w:color w:val="0000FF"/>
          </w:rPr>
          <w:t>Mastercard Acceptance Agreement by and between the Company and Mastercard International Incorporated (Portions of</w:t>
        </w:r>
      </w:hyperlink>
      <w:r>
        <w:rPr>
          <w:rFonts w:ascii="Times New Roman" w:cs="Times New Roman" w:eastAsia="Times New Roman" w:hAnsi="Times New Roman"/>
          <w:sz w:val="18"/>
          <w:szCs w:val="18"/>
          <w:u w:val="single" w:color="auto"/>
          <w:color w:val="0000FF"/>
        </w:rPr>
        <w:t xml:space="preserve"> </w:t>
      </w:r>
      <w:hyperlink r:id="rId118">
        <w:r>
          <w:rPr>
            <w:rFonts w:ascii="Times New Roman" w:cs="Times New Roman" w:eastAsia="Times New Roman" w:hAnsi="Times New Roman"/>
            <w:sz w:val="18"/>
            <w:szCs w:val="18"/>
            <w:u w:val="single" w:color="auto"/>
            <w:color w:val="0000FF"/>
          </w:rPr>
          <w:t>this exhibit were redacted pursuant to a confidential treatment request) (incorporated by reference to Exhibit 10.2 to</w:t>
        </w:r>
      </w:hyperlink>
      <w:r>
        <w:rPr>
          <w:rFonts w:ascii="Times New Roman" w:cs="Times New Roman" w:eastAsia="Times New Roman" w:hAnsi="Times New Roman"/>
          <w:sz w:val="18"/>
          <w:szCs w:val="18"/>
          <w:u w:val="single" w:color="auto"/>
          <w:color w:val="0000FF"/>
        </w:rPr>
        <w:t xml:space="preserve"> </w:t>
      </w:r>
      <w:hyperlink r:id="rId118">
        <w:r>
          <w:rPr>
            <w:rFonts w:ascii="Times New Roman" w:cs="Times New Roman" w:eastAsia="Times New Roman" w:hAnsi="Times New Roman"/>
            <w:sz w:val="18"/>
            <w:szCs w:val="18"/>
            <w:u w:val="single" w:color="auto"/>
            <w:color w:val="0000FF"/>
          </w:rPr>
          <w:t>Form 10</w:t>
        </w:r>
        <w:r>
          <w:rPr>
            <w:rFonts w:ascii="MS PGothic" w:cs="MS PGothic" w:eastAsia="MS PGothic" w:hAnsi="MS PGothic"/>
            <w:sz w:val="18"/>
            <w:szCs w:val="18"/>
            <w:u w:val="single" w:color="auto"/>
            <w:color w:val="0000FF"/>
          </w:rPr>
          <w:t>‑</w:t>
        </w:r>
        <w:r>
          <w:rPr>
            <w:rFonts w:ascii="Times New Roman" w:cs="Times New Roman" w:eastAsia="Times New Roman" w:hAnsi="Times New Roman"/>
            <w:sz w:val="18"/>
            <w:szCs w:val="18"/>
            <w:u w:val="single" w:color="auto"/>
            <w:color w:val="0000FF"/>
          </w:rPr>
          <w:t>Q filed May 15, 2015).</w:t>
        </w:r>
      </w:hyperlink>
    </w:p>
    <w:p>
      <w:pPr>
        <w:spacing w:after="0" w:line="35" w:lineRule="exact"/>
        <w:rPr>
          <w:rFonts w:ascii="Times New Roman" w:cs="Times New Roman" w:eastAsia="Times New Roman" w:hAnsi="Times New Roman"/>
          <w:sz w:val="18"/>
          <w:szCs w:val="18"/>
          <w:u w:val="single" w:color="auto"/>
          <w:color w:val="0000FF"/>
        </w:rPr>
      </w:pPr>
    </w:p>
    <w:p>
      <w:pPr>
        <w:ind w:right="599"/>
        <w:spacing w:after="0" w:line="205" w:lineRule="exact"/>
        <w:rPr>
          <w:rFonts w:ascii="Times New Roman" w:cs="Times New Roman" w:eastAsia="Times New Roman" w:hAnsi="Times New Roman"/>
          <w:sz w:val="18"/>
          <w:szCs w:val="18"/>
          <w:u w:val="single" w:color="auto"/>
          <w:color w:val="0000FF"/>
        </w:rPr>
      </w:pPr>
      <w:hyperlink r:id="rId119">
        <w:r>
          <w:rPr>
            <w:rFonts w:ascii="Times New Roman" w:cs="Times New Roman" w:eastAsia="Times New Roman" w:hAnsi="Times New Roman"/>
            <w:sz w:val="18"/>
            <w:szCs w:val="18"/>
            <w:u w:val="single" w:color="auto"/>
            <w:color w:val="0000FF"/>
          </w:rPr>
          <w:t>First Amendment to Mastercard Acceptance Agreement by and between the Company and Mastercard International</w:t>
        </w:r>
      </w:hyperlink>
      <w:r>
        <w:rPr>
          <w:rFonts w:ascii="Times New Roman" w:cs="Times New Roman" w:eastAsia="Times New Roman" w:hAnsi="Times New Roman"/>
          <w:sz w:val="18"/>
          <w:szCs w:val="18"/>
          <w:u w:val="single" w:color="auto"/>
          <w:color w:val="0000FF"/>
        </w:rPr>
        <w:t xml:space="preserve"> </w:t>
      </w:r>
      <w:hyperlink r:id="rId119">
        <w:r>
          <w:rPr>
            <w:rFonts w:ascii="Times New Roman" w:cs="Times New Roman" w:eastAsia="Times New Roman" w:hAnsi="Times New Roman"/>
            <w:sz w:val="18"/>
            <w:szCs w:val="18"/>
            <w:u w:val="single" w:color="auto"/>
            <w:color w:val="0000FF"/>
          </w:rPr>
          <w:t>Incorporated dated April 27, 2015 (Portions of this exhibit were redacted pursuant to a confidential treatment request)</w:t>
        </w:r>
      </w:hyperlink>
      <w:r>
        <w:rPr>
          <w:rFonts w:ascii="Times New Roman" w:cs="Times New Roman" w:eastAsia="Times New Roman" w:hAnsi="Times New Roman"/>
          <w:sz w:val="18"/>
          <w:szCs w:val="18"/>
          <w:u w:val="single" w:color="auto"/>
          <w:color w:val="0000FF"/>
        </w:rPr>
        <w:t xml:space="preserve"> </w:t>
      </w:r>
      <w:hyperlink r:id="rId119">
        <w:r>
          <w:rPr>
            <w:rFonts w:ascii="Times New Roman" w:cs="Times New Roman" w:eastAsia="Times New Roman" w:hAnsi="Times New Roman"/>
            <w:sz w:val="18"/>
            <w:szCs w:val="18"/>
            <w:u w:val="single" w:color="auto"/>
            <w:color w:val="0000FF"/>
          </w:rPr>
          <w:t>(incorporated by reference to Exhibit 10.45 to Form 10</w:t>
        </w:r>
        <w:r>
          <w:rPr>
            <w:rFonts w:ascii="MS PGothic" w:cs="MS PGothic" w:eastAsia="MS PGothic" w:hAnsi="MS PGothic"/>
            <w:sz w:val="18"/>
            <w:szCs w:val="18"/>
            <w:u w:val="single" w:color="auto"/>
            <w:color w:val="0000FF"/>
          </w:rPr>
          <w:t>‑</w:t>
        </w:r>
        <w:r>
          <w:rPr>
            <w:rFonts w:ascii="Times New Roman" w:cs="Times New Roman" w:eastAsia="Times New Roman" w:hAnsi="Times New Roman"/>
            <w:sz w:val="18"/>
            <w:szCs w:val="18"/>
            <w:u w:val="single" w:color="auto"/>
            <w:color w:val="0000FF"/>
          </w:rPr>
          <w:t>K filed September 30, 2015).</w:t>
        </w:r>
      </w:hyperlink>
    </w:p>
    <w:p>
      <w:pPr>
        <w:spacing w:after="0" w:line="35" w:lineRule="exact"/>
        <w:rPr>
          <w:rFonts w:ascii="Times New Roman" w:cs="Times New Roman" w:eastAsia="Times New Roman" w:hAnsi="Times New Roman"/>
          <w:sz w:val="18"/>
          <w:szCs w:val="18"/>
          <w:u w:val="single" w:color="auto"/>
          <w:color w:val="0000FF"/>
        </w:rPr>
      </w:pPr>
    </w:p>
    <w:p>
      <w:pPr>
        <w:ind w:right="539"/>
        <w:spacing w:after="0" w:line="219" w:lineRule="exact"/>
        <w:rPr>
          <w:rFonts w:ascii="Times New Roman" w:cs="Times New Roman" w:eastAsia="Times New Roman" w:hAnsi="Times New Roman"/>
          <w:sz w:val="17"/>
          <w:szCs w:val="17"/>
          <w:u w:val="single" w:color="auto"/>
          <w:color w:val="0000FF"/>
        </w:rPr>
      </w:pPr>
      <w:hyperlink r:id="rId120">
        <w:r>
          <w:rPr>
            <w:rFonts w:ascii="Times New Roman" w:cs="Times New Roman" w:eastAsia="Times New Roman" w:hAnsi="Times New Roman"/>
            <w:sz w:val="17"/>
            <w:szCs w:val="17"/>
            <w:u w:val="single" w:color="auto"/>
            <w:color w:val="0000FF"/>
          </w:rPr>
          <w:t>Second Amendment to Mastercard Acceptance Agreement by and between the Company and Mastercard International</w:t>
        </w:r>
      </w:hyperlink>
      <w:r>
        <w:rPr>
          <w:rFonts w:ascii="Times New Roman" w:cs="Times New Roman" w:eastAsia="Times New Roman" w:hAnsi="Times New Roman"/>
          <w:sz w:val="17"/>
          <w:szCs w:val="17"/>
          <w:u w:val="single" w:color="auto"/>
          <w:color w:val="0000FF"/>
        </w:rPr>
        <w:t xml:space="preserve"> </w:t>
      </w:r>
      <w:hyperlink r:id="rId120">
        <w:r>
          <w:rPr>
            <w:rFonts w:ascii="Times New Roman" w:cs="Times New Roman" w:eastAsia="Times New Roman" w:hAnsi="Times New Roman"/>
            <w:sz w:val="17"/>
            <w:szCs w:val="17"/>
            <w:u w:val="single" w:color="auto"/>
            <w:color w:val="0000FF"/>
          </w:rPr>
          <w:t>Incorporated dated July 13, 2015 (incorporated by reference to Exhibit 10.14.2 to Form 10</w:t>
        </w:r>
        <w:r>
          <w:rPr>
            <w:rFonts w:ascii="MS PGothic" w:cs="MS PGothic" w:eastAsia="MS PGothic" w:hAnsi="MS PGothic"/>
            <w:sz w:val="17"/>
            <w:szCs w:val="17"/>
            <w:u w:val="single" w:color="auto"/>
            <w:color w:val="0000FF"/>
          </w:rPr>
          <w:t>‑</w:t>
        </w:r>
        <w:r>
          <w:rPr>
            <w:rFonts w:ascii="Times New Roman" w:cs="Times New Roman" w:eastAsia="Times New Roman" w:hAnsi="Times New Roman"/>
            <w:sz w:val="17"/>
            <w:szCs w:val="17"/>
            <w:u w:val="single" w:color="auto"/>
            <w:color w:val="0000FF"/>
          </w:rPr>
          <w:t>K filed October 9, 2019).</w:t>
        </w:r>
      </w:hyperlink>
    </w:p>
    <w:p>
      <w:pPr>
        <w:spacing w:after="0" w:line="36" w:lineRule="exact"/>
        <w:rPr>
          <w:sz w:val="20"/>
          <w:szCs w:val="20"/>
          <w:color w:val="auto"/>
        </w:rPr>
      </w:pPr>
    </w:p>
    <w:p>
      <w:pPr>
        <w:jc w:val="both"/>
        <w:ind w:right="679"/>
        <w:spacing w:after="0" w:line="219" w:lineRule="exact"/>
        <w:rPr>
          <w:rFonts w:ascii="Times New Roman" w:cs="Times New Roman" w:eastAsia="Times New Roman" w:hAnsi="Times New Roman"/>
          <w:sz w:val="17"/>
          <w:szCs w:val="17"/>
          <w:u w:val="single" w:color="auto"/>
          <w:color w:val="0000FF"/>
        </w:rPr>
      </w:pPr>
      <w:hyperlink r:id="rId121">
        <w:r>
          <w:rPr>
            <w:rFonts w:ascii="Times New Roman" w:cs="Times New Roman" w:eastAsia="Times New Roman" w:hAnsi="Times New Roman"/>
            <w:sz w:val="17"/>
            <w:szCs w:val="17"/>
            <w:u w:val="single" w:color="auto"/>
            <w:color w:val="0000FF"/>
          </w:rPr>
          <w:t>Third Amendment to Mastercard Acceptance Agreement by and between the Company and Mastercard International</w:t>
        </w:r>
      </w:hyperlink>
      <w:r>
        <w:rPr>
          <w:rFonts w:ascii="Times New Roman" w:cs="Times New Roman" w:eastAsia="Times New Roman" w:hAnsi="Times New Roman"/>
          <w:sz w:val="17"/>
          <w:szCs w:val="17"/>
          <w:u w:val="single" w:color="auto"/>
          <w:color w:val="0000FF"/>
        </w:rPr>
        <w:t xml:space="preserve"> </w:t>
      </w:r>
      <w:hyperlink r:id="rId121">
        <w:r>
          <w:rPr>
            <w:rFonts w:ascii="Times New Roman" w:cs="Times New Roman" w:eastAsia="Times New Roman" w:hAnsi="Times New Roman"/>
            <w:sz w:val="17"/>
            <w:szCs w:val="17"/>
            <w:u w:val="single" w:color="auto"/>
            <w:color w:val="0000FF"/>
          </w:rPr>
          <w:t>Incorporated dated July 17, 2018 (incorporated by reference to Exhibit 10.14.3 to Form 10</w:t>
        </w:r>
        <w:r>
          <w:rPr>
            <w:rFonts w:ascii="MS PGothic" w:cs="MS PGothic" w:eastAsia="MS PGothic" w:hAnsi="MS PGothic"/>
            <w:sz w:val="17"/>
            <w:szCs w:val="17"/>
            <w:u w:val="single" w:color="auto"/>
            <w:color w:val="0000FF"/>
          </w:rPr>
          <w:t>‑</w:t>
        </w:r>
        <w:r>
          <w:rPr>
            <w:rFonts w:ascii="Times New Roman" w:cs="Times New Roman" w:eastAsia="Times New Roman" w:hAnsi="Times New Roman"/>
            <w:sz w:val="17"/>
            <w:szCs w:val="17"/>
            <w:u w:val="single" w:color="auto"/>
            <w:color w:val="0000FF"/>
          </w:rPr>
          <w:t>K filed October 9, 2019).</w:t>
        </w:r>
      </w:hyperlink>
    </w:p>
    <w:p>
      <w:pPr>
        <w:spacing w:after="0" w:line="36" w:lineRule="exact"/>
        <w:rPr>
          <w:sz w:val="20"/>
          <w:szCs w:val="20"/>
          <w:color w:val="auto"/>
        </w:rPr>
      </w:pPr>
    </w:p>
    <w:p>
      <w:pPr>
        <w:ind w:right="619"/>
        <w:spacing w:after="0" w:line="205" w:lineRule="exact"/>
        <w:rPr>
          <w:rFonts w:ascii="Times New Roman" w:cs="Times New Roman" w:eastAsia="Times New Roman" w:hAnsi="Times New Roman"/>
          <w:sz w:val="18"/>
          <w:szCs w:val="18"/>
          <w:u w:val="single" w:color="auto"/>
          <w:color w:val="0000FF"/>
        </w:rPr>
      </w:pPr>
      <w:hyperlink r:id="rId122">
        <w:r>
          <w:rPr>
            <w:rFonts w:ascii="Times New Roman" w:cs="Times New Roman" w:eastAsia="Times New Roman" w:hAnsi="Times New Roman"/>
            <w:sz w:val="18"/>
            <w:szCs w:val="18"/>
            <w:u w:val="single" w:color="auto"/>
            <w:color w:val="0000FF"/>
          </w:rPr>
          <w:t>Third Party Payment Processor Agreement dated April 24, 2015 by and among the Company, JPMorgan Chase Bank,</w:t>
        </w:r>
      </w:hyperlink>
      <w:r>
        <w:rPr>
          <w:rFonts w:ascii="Times New Roman" w:cs="Times New Roman" w:eastAsia="Times New Roman" w:hAnsi="Times New Roman"/>
          <w:sz w:val="18"/>
          <w:szCs w:val="18"/>
          <w:u w:val="single" w:color="auto"/>
          <w:color w:val="0000FF"/>
        </w:rPr>
        <w:t xml:space="preserve"> </w:t>
      </w:r>
      <w:hyperlink r:id="rId122">
        <w:r>
          <w:rPr>
            <w:rFonts w:ascii="Times New Roman" w:cs="Times New Roman" w:eastAsia="Times New Roman" w:hAnsi="Times New Roman"/>
            <w:sz w:val="18"/>
            <w:szCs w:val="18"/>
            <w:u w:val="single" w:color="auto"/>
            <w:color w:val="0000FF"/>
          </w:rPr>
          <w:t>N.A. and Paymentech, LLC (Portions of this exhibit were redacted pursuant to a confidential treatment request)</w:t>
        </w:r>
      </w:hyperlink>
      <w:r>
        <w:rPr>
          <w:rFonts w:ascii="Times New Roman" w:cs="Times New Roman" w:eastAsia="Times New Roman" w:hAnsi="Times New Roman"/>
          <w:sz w:val="18"/>
          <w:szCs w:val="18"/>
          <w:u w:val="single" w:color="auto"/>
          <w:color w:val="0000FF"/>
        </w:rPr>
        <w:t xml:space="preserve"> </w:t>
      </w:r>
      <w:hyperlink r:id="rId122">
        <w:r>
          <w:rPr>
            <w:rFonts w:ascii="Times New Roman" w:cs="Times New Roman" w:eastAsia="Times New Roman" w:hAnsi="Times New Roman"/>
            <w:sz w:val="18"/>
            <w:szCs w:val="18"/>
            <w:u w:val="single" w:color="auto"/>
            <w:color w:val="0000FF"/>
          </w:rPr>
          <w:t>(incorporated by reference to Exhibit 10.46 to Form 10</w:t>
        </w:r>
        <w:r>
          <w:rPr>
            <w:rFonts w:ascii="MS PGothic" w:cs="MS PGothic" w:eastAsia="MS PGothic" w:hAnsi="MS PGothic"/>
            <w:sz w:val="18"/>
            <w:szCs w:val="18"/>
            <w:u w:val="single" w:color="auto"/>
            <w:color w:val="0000FF"/>
          </w:rPr>
          <w:t>‑</w:t>
        </w:r>
        <w:r>
          <w:rPr>
            <w:rFonts w:ascii="Times New Roman" w:cs="Times New Roman" w:eastAsia="Times New Roman" w:hAnsi="Times New Roman"/>
            <w:sz w:val="18"/>
            <w:szCs w:val="18"/>
            <w:u w:val="single" w:color="auto"/>
            <w:color w:val="0000FF"/>
          </w:rPr>
          <w:t>K filed September 30, 2015).</w:t>
        </w:r>
      </w:hyperlink>
    </w:p>
    <w:p>
      <w:pPr>
        <w:spacing w:after="0" w:line="35" w:lineRule="exact"/>
        <w:rPr>
          <w:rFonts w:ascii="Times New Roman" w:cs="Times New Roman" w:eastAsia="Times New Roman" w:hAnsi="Times New Roman"/>
          <w:sz w:val="18"/>
          <w:szCs w:val="18"/>
          <w:u w:val="single" w:color="auto"/>
          <w:color w:val="0000FF"/>
        </w:rPr>
      </w:pPr>
    </w:p>
    <w:p>
      <w:pPr>
        <w:ind w:right="539"/>
        <w:spacing w:after="0" w:line="205" w:lineRule="exact"/>
        <w:rPr>
          <w:rFonts w:ascii="Times New Roman" w:cs="Times New Roman" w:eastAsia="Times New Roman" w:hAnsi="Times New Roman"/>
          <w:sz w:val="18"/>
          <w:szCs w:val="18"/>
          <w:u w:val="single" w:color="auto"/>
          <w:color w:val="0000FF"/>
        </w:rPr>
      </w:pPr>
      <w:hyperlink r:id="rId123">
        <w:r>
          <w:rPr>
            <w:rFonts w:ascii="Times New Roman" w:cs="Times New Roman" w:eastAsia="Times New Roman" w:hAnsi="Times New Roman"/>
            <w:sz w:val="18"/>
            <w:szCs w:val="18"/>
            <w:u w:val="single" w:color="auto"/>
            <w:color w:val="0000FF"/>
          </w:rPr>
          <w:t>Integrator Amendment (2018) to Third Party Payment Processor Agreement dated October 22, 2018 by and among the</w:t>
        </w:r>
      </w:hyperlink>
      <w:r>
        <w:rPr>
          <w:rFonts w:ascii="Times New Roman" w:cs="Times New Roman" w:eastAsia="Times New Roman" w:hAnsi="Times New Roman"/>
          <w:sz w:val="18"/>
          <w:szCs w:val="18"/>
          <w:u w:val="single" w:color="auto"/>
          <w:color w:val="0000FF"/>
        </w:rPr>
        <w:t xml:space="preserve"> </w:t>
      </w:r>
      <w:hyperlink r:id="rId123">
        <w:r>
          <w:rPr>
            <w:rFonts w:ascii="Times New Roman" w:cs="Times New Roman" w:eastAsia="Times New Roman" w:hAnsi="Times New Roman"/>
            <w:sz w:val="18"/>
            <w:szCs w:val="18"/>
            <w:u w:val="single" w:color="auto"/>
            <w:color w:val="0000FF"/>
          </w:rPr>
          <w:t>Company, JPMorgan Chase Bank, N.A. and Paymentech, LLC (incorporated by reference to Exhibit 10.15.1 to Form</w:t>
        </w:r>
      </w:hyperlink>
      <w:r>
        <w:rPr>
          <w:rFonts w:ascii="Times New Roman" w:cs="Times New Roman" w:eastAsia="Times New Roman" w:hAnsi="Times New Roman"/>
          <w:sz w:val="18"/>
          <w:szCs w:val="18"/>
          <w:u w:val="single" w:color="auto"/>
          <w:color w:val="0000FF"/>
        </w:rPr>
        <w:t xml:space="preserve"> </w:t>
      </w:r>
      <w:hyperlink r:id="rId123">
        <w:r>
          <w:rPr>
            <w:rFonts w:ascii="Times New Roman" w:cs="Times New Roman" w:eastAsia="Times New Roman" w:hAnsi="Times New Roman"/>
            <w:sz w:val="18"/>
            <w:szCs w:val="18"/>
            <w:u w:val="single" w:color="auto"/>
            <w:color w:val="0000FF"/>
          </w:rPr>
          <w:t>10</w:t>
        </w:r>
        <w:r>
          <w:rPr>
            <w:rFonts w:ascii="MS PGothic" w:cs="MS PGothic" w:eastAsia="MS PGothic" w:hAnsi="MS PGothic"/>
            <w:sz w:val="18"/>
            <w:szCs w:val="18"/>
            <w:u w:val="single" w:color="auto"/>
            <w:color w:val="0000FF"/>
          </w:rPr>
          <w:t>‑</w:t>
        </w:r>
        <w:r>
          <w:rPr>
            <w:rFonts w:ascii="Times New Roman" w:cs="Times New Roman" w:eastAsia="Times New Roman" w:hAnsi="Times New Roman"/>
            <w:sz w:val="18"/>
            <w:szCs w:val="18"/>
            <w:u w:val="single" w:color="auto"/>
            <w:color w:val="0000FF"/>
          </w:rPr>
          <w:t>K filed October 9, 2019).</w:t>
        </w:r>
      </w:hyperlink>
    </w:p>
    <w:p>
      <w:pPr>
        <w:spacing w:after="0" w:line="35" w:lineRule="exact"/>
        <w:rPr>
          <w:rFonts w:ascii="Times New Roman" w:cs="Times New Roman" w:eastAsia="Times New Roman" w:hAnsi="Times New Roman"/>
          <w:sz w:val="18"/>
          <w:szCs w:val="18"/>
          <w:u w:val="single" w:color="auto"/>
          <w:color w:val="0000FF"/>
        </w:rPr>
      </w:pPr>
    </w:p>
    <w:p>
      <w:pPr>
        <w:ind w:right="559"/>
        <w:spacing w:after="0" w:line="219" w:lineRule="exact"/>
        <w:rPr>
          <w:rFonts w:ascii="Times New Roman" w:cs="Times New Roman" w:eastAsia="Times New Roman" w:hAnsi="Times New Roman"/>
          <w:sz w:val="18"/>
          <w:szCs w:val="18"/>
          <w:u w:val="single" w:color="auto"/>
          <w:color w:val="0000FF"/>
        </w:rPr>
      </w:pPr>
      <w:hyperlink r:id="rId124">
        <w:r>
          <w:rPr>
            <w:rFonts w:ascii="Times New Roman" w:cs="Times New Roman" w:eastAsia="Times New Roman" w:hAnsi="Times New Roman"/>
            <w:sz w:val="18"/>
            <w:szCs w:val="18"/>
            <w:u w:val="single" w:color="auto"/>
            <w:color w:val="0000FF"/>
          </w:rPr>
          <w:t>Merchant Processing Agreement dated April 6, 2018 by and among Cantaloupe Systems, Inc., and Heartland Payment</w:t>
        </w:r>
      </w:hyperlink>
      <w:r>
        <w:rPr>
          <w:rFonts w:ascii="Times New Roman" w:cs="Times New Roman" w:eastAsia="Times New Roman" w:hAnsi="Times New Roman"/>
          <w:sz w:val="18"/>
          <w:szCs w:val="18"/>
          <w:u w:val="single" w:color="auto"/>
          <w:color w:val="0000FF"/>
        </w:rPr>
        <w:t xml:space="preserve"> </w:t>
      </w:r>
      <w:hyperlink r:id="rId124">
        <w:r>
          <w:rPr>
            <w:rFonts w:ascii="Times New Roman" w:cs="Times New Roman" w:eastAsia="Times New Roman" w:hAnsi="Times New Roman"/>
            <w:sz w:val="18"/>
            <w:szCs w:val="18"/>
            <w:u w:val="single" w:color="auto"/>
            <w:color w:val="0000FF"/>
          </w:rPr>
          <w:t>Systems, Inc (incorporated by reference to Exhibit 10.16 to Form 10</w:t>
        </w:r>
        <w:r>
          <w:rPr>
            <w:rFonts w:ascii="MS PGothic" w:cs="MS PGothic" w:eastAsia="MS PGothic" w:hAnsi="MS PGothic"/>
            <w:sz w:val="18"/>
            <w:szCs w:val="18"/>
            <w:u w:val="single" w:color="auto"/>
            <w:color w:val="0000FF"/>
          </w:rPr>
          <w:t>‑</w:t>
        </w:r>
        <w:r>
          <w:rPr>
            <w:rFonts w:ascii="Times New Roman" w:cs="Times New Roman" w:eastAsia="Times New Roman" w:hAnsi="Times New Roman"/>
            <w:sz w:val="18"/>
            <w:szCs w:val="18"/>
            <w:u w:val="single" w:color="auto"/>
            <w:color w:val="0000FF"/>
          </w:rPr>
          <w:t>K filed October 9, 2019).</w:t>
        </w:r>
      </w:hyperlink>
    </w:p>
    <w:p>
      <w:pPr>
        <w:spacing w:after="0" w:line="77" w:lineRule="exact"/>
        <w:rPr>
          <w:sz w:val="20"/>
          <w:szCs w:val="20"/>
          <w:color w:val="auto"/>
        </w:rPr>
      </w:pPr>
    </w:p>
    <w:p>
      <w:pPr>
        <w:ind w:right="419"/>
        <w:spacing w:after="0" w:line="266" w:lineRule="auto"/>
        <w:rPr>
          <w:rFonts w:ascii="Times New Roman" w:cs="Times New Roman" w:eastAsia="Times New Roman" w:hAnsi="Times New Roman"/>
          <w:sz w:val="18"/>
          <w:szCs w:val="18"/>
          <w:u w:val="single" w:color="auto"/>
          <w:color w:val="0000FF"/>
        </w:rPr>
      </w:pPr>
      <w:hyperlink r:id="rId125">
        <w:r>
          <w:rPr>
            <w:rFonts w:ascii="Times New Roman" w:cs="Times New Roman" w:eastAsia="Times New Roman" w:hAnsi="Times New Roman"/>
            <w:sz w:val="18"/>
            <w:szCs w:val="18"/>
            <w:u w:val="single" w:color="auto"/>
            <w:color w:val="0000FF"/>
          </w:rPr>
          <w:t>Credit Agreement by and among the Company, its subsidiaries, and JPMorgan Chase Bank, N.A., dated March 17, 2022</w:t>
        </w:r>
      </w:hyperlink>
      <w:r>
        <w:rPr>
          <w:rFonts w:ascii="Times New Roman" w:cs="Times New Roman" w:eastAsia="Times New Roman" w:hAnsi="Times New Roman"/>
          <w:sz w:val="18"/>
          <w:szCs w:val="18"/>
          <w:u w:val="single" w:color="auto"/>
          <w:color w:val="0000FF"/>
        </w:rPr>
        <w:t xml:space="preserve"> </w:t>
      </w:r>
      <w:hyperlink r:id="rId125">
        <w:r>
          <w:rPr>
            <w:rFonts w:ascii="Times New Roman" w:cs="Times New Roman" w:eastAsia="Times New Roman" w:hAnsi="Times New Roman"/>
            <w:sz w:val="18"/>
            <w:szCs w:val="18"/>
            <w:u w:val="single" w:color="auto"/>
            <w:color w:val="0000FF"/>
          </w:rPr>
          <w:t>(incorporated by reference to Exhibit 10.1 to Form 8-K filed March 24, 2022).</w:t>
        </w:r>
      </w:hyperlink>
    </w:p>
    <w:p>
      <w:pPr>
        <w:spacing w:after="0" w:line="54" w:lineRule="exact"/>
        <w:rPr>
          <w:sz w:val="20"/>
          <w:szCs w:val="20"/>
          <w:color w:val="auto"/>
        </w:rPr>
      </w:pPr>
    </w:p>
    <w:p>
      <w:pPr>
        <w:ind w:right="459"/>
        <w:spacing w:after="0" w:line="250" w:lineRule="auto"/>
        <w:rPr>
          <w:rFonts w:ascii="Times New Roman" w:cs="Times New Roman" w:eastAsia="Times New Roman" w:hAnsi="Times New Roman"/>
          <w:sz w:val="18"/>
          <w:szCs w:val="18"/>
          <w:u w:val="single" w:color="auto"/>
          <w:color w:val="0000FF"/>
        </w:rPr>
      </w:pPr>
      <w:hyperlink r:id="rId126">
        <w:r>
          <w:rPr>
            <w:rFonts w:ascii="Times New Roman" w:cs="Times New Roman" w:eastAsia="Times New Roman" w:hAnsi="Times New Roman"/>
            <w:sz w:val="18"/>
            <w:szCs w:val="18"/>
            <w:u w:val="single" w:color="auto"/>
            <w:color w:val="0000FF"/>
          </w:rPr>
          <w:t>First Amendment to Amended and Restated Credit Agreement, by and among the Company, its subsidiaries, and</w:t>
        </w:r>
      </w:hyperlink>
      <w:r>
        <w:rPr>
          <w:rFonts w:ascii="Times New Roman" w:cs="Times New Roman" w:eastAsia="Times New Roman" w:hAnsi="Times New Roman"/>
          <w:sz w:val="18"/>
          <w:szCs w:val="18"/>
          <w:u w:val="single" w:color="auto"/>
          <w:color w:val="0000FF"/>
        </w:rPr>
        <w:t xml:space="preserve"> </w:t>
      </w:r>
      <w:hyperlink r:id="rId126">
        <w:r>
          <w:rPr>
            <w:rFonts w:ascii="Times New Roman" w:cs="Times New Roman" w:eastAsia="Times New Roman" w:hAnsi="Times New Roman"/>
            <w:sz w:val="18"/>
            <w:szCs w:val="18"/>
            <w:u w:val="single" w:color="auto"/>
            <w:color w:val="0000FF"/>
          </w:rPr>
          <w:t>JPMorgan Bank, N.A., dated December 1, 2022 (incorporated by reference to Exhibit 10.1 to From 8-K filed December</w:t>
        </w:r>
      </w:hyperlink>
      <w:r>
        <w:rPr>
          <w:rFonts w:ascii="Times New Roman" w:cs="Times New Roman" w:eastAsia="Times New Roman" w:hAnsi="Times New Roman"/>
          <w:sz w:val="18"/>
          <w:szCs w:val="18"/>
          <w:u w:val="single" w:color="auto"/>
          <w:color w:val="0000FF"/>
        </w:rPr>
        <w:t xml:space="preserve"> </w:t>
      </w:r>
      <w:hyperlink r:id="rId126">
        <w:r>
          <w:rPr>
            <w:rFonts w:ascii="Times New Roman" w:cs="Times New Roman" w:eastAsia="Times New Roman" w:hAnsi="Times New Roman"/>
            <w:sz w:val="18"/>
            <w:szCs w:val="18"/>
            <w:u w:val="single" w:color="auto"/>
            <w:color w:val="0000FF"/>
          </w:rPr>
          <w:t>5, 2022).</w:t>
        </w:r>
      </w:hyperlink>
    </w:p>
    <w:p>
      <w:pPr>
        <w:spacing w:after="0" w:line="28" w:lineRule="exact"/>
        <w:rPr>
          <w:rFonts w:ascii="Times New Roman" w:cs="Times New Roman" w:eastAsia="Times New Roman" w:hAnsi="Times New Roman"/>
          <w:sz w:val="18"/>
          <w:szCs w:val="18"/>
          <w:u w:val="single" w:color="auto"/>
          <w:color w:val="0000FF"/>
        </w:rPr>
      </w:pPr>
    </w:p>
    <w:p>
      <w:pPr>
        <w:ind w:right="699"/>
        <w:spacing w:after="0" w:line="226" w:lineRule="exact"/>
        <w:rPr>
          <w:rFonts w:ascii="Times New Roman" w:cs="Times New Roman" w:eastAsia="Times New Roman" w:hAnsi="Times New Roman"/>
          <w:sz w:val="18"/>
          <w:szCs w:val="18"/>
          <w:u w:val="single" w:color="auto"/>
          <w:color w:val="0000FF"/>
        </w:rPr>
      </w:pPr>
      <w:hyperlink r:id="rId127">
        <w:r>
          <w:rPr>
            <w:rFonts w:ascii="Times New Roman" w:cs="Times New Roman" w:eastAsia="Times New Roman" w:hAnsi="Times New Roman"/>
            <w:sz w:val="18"/>
            <w:szCs w:val="18"/>
            <w:u w:val="single" w:color="auto"/>
            <w:color w:val="0000FF"/>
          </w:rPr>
          <w:t>USA Technologies, Inc. 2013 Stock Incentive Plan (incorporated by reference to Exhibit 10.6 to Form 10</w:t>
        </w:r>
        <w:r>
          <w:rPr>
            <w:rFonts w:ascii="MS PGothic" w:cs="MS PGothic" w:eastAsia="MS PGothic" w:hAnsi="MS PGothic"/>
            <w:sz w:val="18"/>
            <w:szCs w:val="18"/>
            <w:u w:val="single" w:color="auto"/>
            <w:color w:val="0000FF"/>
          </w:rPr>
          <w:t>‑</w:t>
        </w:r>
        <w:r>
          <w:rPr>
            <w:rFonts w:ascii="Times New Roman" w:cs="Times New Roman" w:eastAsia="Times New Roman" w:hAnsi="Times New Roman"/>
            <w:sz w:val="18"/>
            <w:szCs w:val="18"/>
            <w:u w:val="single" w:color="auto"/>
            <w:color w:val="0000FF"/>
          </w:rPr>
          <w:t>K filed on</w:t>
        </w:r>
      </w:hyperlink>
      <w:r>
        <w:rPr>
          <w:rFonts w:ascii="Times New Roman" w:cs="Times New Roman" w:eastAsia="Times New Roman" w:hAnsi="Times New Roman"/>
          <w:sz w:val="18"/>
          <w:szCs w:val="18"/>
          <w:u w:val="single" w:color="auto"/>
          <w:color w:val="0000FF"/>
        </w:rPr>
        <w:t xml:space="preserve"> </w:t>
      </w:r>
      <w:hyperlink r:id="rId127">
        <w:r>
          <w:rPr>
            <w:rFonts w:ascii="Times New Roman" w:cs="Times New Roman" w:eastAsia="Times New Roman" w:hAnsi="Times New Roman"/>
            <w:sz w:val="18"/>
            <w:szCs w:val="18"/>
            <w:u w:val="single" w:color="auto"/>
            <w:color w:val="0000FF"/>
          </w:rPr>
          <w:t>September 30, 2013).</w:t>
        </w:r>
      </w:hyperlink>
    </w:p>
    <w:p>
      <w:pPr>
        <w:spacing w:after="0" w:line="63" w:lineRule="exact"/>
        <w:rPr>
          <w:sz w:val="20"/>
          <w:szCs w:val="20"/>
          <w:color w:val="auto"/>
        </w:rPr>
      </w:pPr>
    </w:p>
    <w:p>
      <w:pPr>
        <w:ind w:right="499"/>
        <w:spacing w:after="0" w:line="237" w:lineRule="auto"/>
        <w:rPr>
          <w:rFonts w:ascii="Times New Roman" w:cs="Times New Roman" w:eastAsia="Times New Roman" w:hAnsi="Times New Roman"/>
          <w:sz w:val="18"/>
          <w:szCs w:val="18"/>
          <w:u w:val="single" w:color="auto"/>
          <w:color w:val="0000FF"/>
        </w:rPr>
      </w:pPr>
      <w:hyperlink r:id="rId128">
        <w:r>
          <w:rPr>
            <w:rFonts w:ascii="Times New Roman" w:cs="Times New Roman" w:eastAsia="Times New Roman" w:hAnsi="Times New Roman"/>
            <w:sz w:val="18"/>
            <w:szCs w:val="18"/>
            <w:u w:val="single" w:color="auto"/>
            <w:color w:val="0000FF"/>
          </w:rPr>
          <w:t>USA Technologies, Inc. 2014 Stock Option Incentive Plan (incorporated by reference to Appendix A to the Company’s</w:t>
        </w:r>
      </w:hyperlink>
      <w:r>
        <w:rPr>
          <w:rFonts w:ascii="Times New Roman" w:cs="Times New Roman" w:eastAsia="Times New Roman" w:hAnsi="Times New Roman"/>
          <w:sz w:val="18"/>
          <w:szCs w:val="18"/>
          <w:u w:val="single" w:color="auto"/>
          <w:color w:val="0000FF"/>
        </w:rPr>
        <w:t xml:space="preserve"> </w:t>
      </w:r>
      <w:hyperlink r:id="rId128">
        <w:r>
          <w:rPr>
            <w:rFonts w:ascii="Times New Roman" w:cs="Times New Roman" w:eastAsia="Times New Roman" w:hAnsi="Times New Roman"/>
            <w:sz w:val="18"/>
            <w:szCs w:val="18"/>
            <w:u w:val="single" w:color="auto"/>
            <w:color w:val="0000FF"/>
          </w:rPr>
          <w:t>Definitive Proxy Statement on form DEF 14A filed on May 15, 2014).</w:t>
        </w:r>
      </w:hyperlink>
    </w:p>
    <w:p>
      <w:pPr>
        <w:spacing w:after="0" w:line="64" w:lineRule="exact"/>
        <w:rPr>
          <w:sz w:val="20"/>
          <w:szCs w:val="20"/>
          <w:color w:val="auto"/>
        </w:rPr>
      </w:pPr>
    </w:p>
    <w:p>
      <w:pPr>
        <w:ind w:right="979"/>
        <w:spacing w:after="0" w:line="237" w:lineRule="auto"/>
        <w:rPr>
          <w:rFonts w:ascii="Times New Roman" w:cs="Times New Roman" w:eastAsia="Times New Roman" w:hAnsi="Times New Roman"/>
          <w:sz w:val="18"/>
          <w:szCs w:val="18"/>
          <w:u w:val="single" w:color="auto"/>
          <w:color w:val="0000FF"/>
        </w:rPr>
      </w:pPr>
      <w:hyperlink r:id="rId129">
        <w:r>
          <w:rPr>
            <w:rFonts w:ascii="Times New Roman" w:cs="Times New Roman" w:eastAsia="Times New Roman" w:hAnsi="Times New Roman"/>
            <w:sz w:val="18"/>
            <w:szCs w:val="18"/>
            <w:u w:val="single" w:color="auto"/>
            <w:color w:val="0000FF"/>
          </w:rPr>
          <w:t>USA Technologies, Inc. 2015 Equity Incentive Plan (incorporated by reference to Appendix A to the Company’s</w:t>
        </w:r>
      </w:hyperlink>
      <w:r>
        <w:rPr>
          <w:rFonts w:ascii="Times New Roman" w:cs="Times New Roman" w:eastAsia="Times New Roman" w:hAnsi="Times New Roman"/>
          <w:sz w:val="18"/>
          <w:szCs w:val="18"/>
          <w:u w:val="single" w:color="auto"/>
          <w:color w:val="0000FF"/>
        </w:rPr>
        <w:t xml:space="preserve"> </w:t>
      </w:r>
      <w:hyperlink r:id="rId129">
        <w:r>
          <w:rPr>
            <w:rFonts w:ascii="Times New Roman" w:cs="Times New Roman" w:eastAsia="Times New Roman" w:hAnsi="Times New Roman"/>
            <w:sz w:val="18"/>
            <w:szCs w:val="18"/>
            <w:u w:val="single" w:color="auto"/>
            <w:color w:val="0000FF"/>
          </w:rPr>
          <w:t>Definitive Proxy Statement filed on May 15, 2015).</w:t>
        </w:r>
      </w:hyperlink>
    </w:p>
    <w:p>
      <w:pPr>
        <w:spacing w:after="0" w:line="64" w:lineRule="exact"/>
        <w:rPr>
          <w:sz w:val="20"/>
          <w:szCs w:val="20"/>
          <w:color w:val="auto"/>
        </w:rPr>
      </w:pPr>
    </w:p>
    <w:p>
      <w:pPr>
        <w:ind w:right="979"/>
        <w:spacing w:after="0" w:line="237" w:lineRule="auto"/>
        <w:rPr>
          <w:rFonts w:ascii="Times New Roman" w:cs="Times New Roman" w:eastAsia="Times New Roman" w:hAnsi="Times New Roman"/>
          <w:sz w:val="18"/>
          <w:szCs w:val="18"/>
          <w:u w:val="single" w:color="auto"/>
          <w:color w:val="0000FF"/>
        </w:rPr>
      </w:pPr>
      <w:hyperlink r:id="rId130">
        <w:r>
          <w:rPr>
            <w:rFonts w:ascii="Times New Roman" w:cs="Times New Roman" w:eastAsia="Times New Roman" w:hAnsi="Times New Roman"/>
            <w:sz w:val="18"/>
            <w:szCs w:val="18"/>
            <w:u w:val="single" w:color="auto"/>
            <w:color w:val="0000FF"/>
          </w:rPr>
          <w:t>USA Technologies, Inc. 2018 Equity Incentive Plan (incorporated by reference to Appendix A to the Company’s</w:t>
        </w:r>
      </w:hyperlink>
      <w:r>
        <w:rPr>
          <w:rFonts w:ascii="Times New Roman" w:cs="Times New Roman" w:eastAsia="Times New Roman" w:hAnsi="Times New Roman"/>
          <w:sz w:val="18"/>
          <w:szCs w:val="18"/>
          <w:u w:val="single" w:color="auto"/>
          <w:color w:val="0000FF"/>
        </w:rPr>
        <w:t xml:space="preserve"> </w:t>
      </w:r>
      <w:hyperlink r:id="rId130">
        <w:r>
          <w:rPr>
            <w:rFonts w:ascii="Times New Roman" w:cs="Times New Roman" w:eastAsia="Times New Roman" w:hAnsi="Times New Roman"/>
            <w:sz w:val="18"/>
            <w:szCs w:val="18"/>
            <w:u w:val="single" w:color="auto"/>
            <w:color w:val="0000FF"/>
          </w:rPr>
          <w:t>Definitive Proxy Statement filed on April 2, 2018).</w:t>
        </w:r>
      </w:hyperlink>
    </w:p>
    <w:p>
      <w:pPr>
        <w:spacing w:after="0" w:line="64" w:lineRule="exact"/>
        <w:rPr>
          <w:sz w:val="20"/>
          <w:szCs w:val="20"/>
          <w:color w:val="auto"/>
        </w:rPr>
      </w:pPr>
    </w:p>
    <w:p>
      <w:pPr>
        <w:ind w:right="519"/>
        <w:spacing w:after="0" w:line="237" w:lineRule="auto"/>
        <w:rPr>
          <w:rFonts w:ascii="Times New Roman" w:cs="Times New Roman" w:eastAsia="Times New Roman" w:hAnsi="Times New Roman"/>
          <w:sz w:val="18"/>
          <w:szCs w:val="18"/>
          <w:u w:val="single" w:color="auto"/>
          <w:color w:val="0000FF"/>
        </w:rPr>
      </w:pPr>
      <w:hyperlink r:id="rId131">
        <w:r>
          <w:rPr>
            <w:rFonts w:ascii="Times New Roman" w:cs="Times New Roman" w:eastAsia="Times New Roman" w:hAnsi="Times New Roman"/>
            <w:sz w:val="18"/>
            <w:szCs w:val="18"/>
            <w:u w:val="single" w:color="auto"/>
            <w:color w:val="0000FF"/>
          </w:rPr>
          <w:t>First Amendment to the USA Technologies, Inc. 2018 Equity Incentive Plan (incorporated by reference to Exhibit 10.1</w:t>
        </w:r>
      </w:hyperlink>
      <w:r>
        <w:rPr>
          <w:rFonts w:ascii="Times New Roman" w:cs="Times New Roman" w:eastAsia="Times New Roman" w:hAnsi="Times New Roman"/>
          <w:sz w:val="18"/>
          <w:szCs w:val="18"/>
          <w:u w:val="single" w:color="auto"/>
          <w:color w:val="0000FF"/>
        </w:rPr>
        <w:t xml:space="preserve"> </w:t>
      </w:r>
      <w:hyperlink r:id="rId131">
        <w:r>
          <w:rPr>
            <w:rFonts w:ascii="Times New Roman" w:cs="Times New Roman" w:eastAsia="Times New Roman" w:hAnsi="Times New Roman"/>
            <w:sz w:val="18"/>
            <w:szCs w:val="18"/>
            <w:u w:val="single" w:color="auto"/>
            <w:color w:val="0000FF"/>
          </w:rPr>
          <w:t>to Form 8-K filed on May 26, 2020).</w:t>
        </w:r>
      </w:hyperlink>
    </w:p>
    <w:p>
      <w:pPr>
        <w:spacing w:after="0" w:line="64" w:lineRule="exact"/>
        <w:rPr>
          <w:sz w:val="20"/>
          <w:szCs w:val="20"/>
          <w:color w:val="auto"/>
        </w:rPr>
      </w:pPr>
    </w:p>
    <w:p>
      <w:pPr>
        <w:ind w:right="419"/>
        <w:spacing w:after="0" w:line="237" w:lineRule="auto"/>
        <w:rPr>
          <w:rFonts w:ascii="Times New Roman" w:cs="Times New Roman" w:eastAsia="Times New Roman" w:hAnsi="Times New Roman"/>
          <w:sz w:val="18"/>
          <w:szCs w:val="18"/>
          <w:u w:val="single" w:color="auto"/>
          <w:color w:val="0000FF"/>
        </w:rPr>
      </w:pPr>
      <w:hyperlink r:id="rId132">
        <w:r>
          <w:rPr>
            <w:rFonts w:ascii="Times New Roman" w:cs="Times New Roman" w:eastAsia="Times New Roman" w:hAnsi="Times New Roman"/>
            <w:sz w:val="18"/>
            <w:szCs w:val="18"/>
            <w:u w:val="single" w:color="auto"/>
            <w:color w:val="0000FF"/>
          </w:rPr>
          <w:t>Second Amendment to the Cantaloupe, Inc. 2018 Equity Incentive Plan (incorporated by reference to Appendix A to the</w:t>
        </w:r>
      </w:hyperlink>
      <w:r>
        <w:rPr>
          <w:rFonts w:ascii="Times New Roman" w:cs="Times New Roman" w:eastAsia="Times New Roman" w:hAnsi="Times New Roman"/>
          <w:sz w:val="18"/>
          <w:szCs w:val="18"/>
          <w:u w:val="single" w:color="auto"/>
          <w:color w:val="0000FF"/>
        </w:rPr>
        <w:t xml:space="preserve"> </w:t>
      </w:r>
      <w:hyperlink r:id="rId132">
        <w:r>
          <w:rPr>
            <w:rFonts w:ascii="Times New Roman" w:cs="Times New Roman" w:eastAsia="Times New Roman" w:hAnsi="Times New Roman"/>
            <w:sz w:val="18"/>
            <w:szCs w:val="18"/>
            <w:u w:val="single" w:color="auto"/>
            <w:color w:val="0000FF"/>
          </w:rPr>
          <w:t>Company’s Definitive Proxy Statement on form DEF14A filed on October 28, 2022).</w:t>
        </w:r>
      </w:hyperlink>
    </w:p>
    <w:p>
      <w:pPr>
        <w:spacing w:after="0" w:line="64" w:lineRule="exact"/>
        <w:rPr>
          <w:sz w:val="20"/>
          <w:szCs w:val="20"/>
          <w:color w:val="auto"/>
        </w:rPr>
      </w:pPr>
    </w:p>
    <w:p>
      <w:pPr>
        <w:ind w:right="519"/>
        <w:spacing w:after="0" w:line="266" w:lineRule="auto"/>
        <w:rPr>
          <w:sz w:val="20"/>
          <w:szCs w:val="20"/>
          <w:color w:val="auto"/>
        </w:rPr>
      </w:pPr>
      <w:r>
        <w:rPr>
          <w:rFonts w:ascii="Times New Roman" w:cs="Times New Roman" w:eastAsia="Times New Roman" w:hAnsi="Times New Roman"/>
          <w:sz w:val="18"/>
          <w:szCs w:val="18"/>
          <w:u w:val="single" w:color="auto"/>
          <w:color w:val="0000FF"/>
        </w:rPr>
        <w:t>Form of Nonqualified Stock Option Award Agreement under the Cantaloupe, Inc. (f/k/a USA Technologies, Inc.) 2018 Equity Incentive Plan.</w:t>
      </w:r>
    </w:p>
    <w:p>
      <w:pPr>
        <w:spacing w:after="0" w:line="54" w:lineRule="exact"/>
        <w:rPr>
          <w:sz w:val="20"/>
          <w:szCs w:val="20"/>
          <w:color w:val="auto"/>
        </w:rPr>
      </w:pPr>
    </w:p>
    <w:p>
      <w:pPr>
        <w:ind w:right="399"/>
        <w:spacing w:after="0" w:line="266" w:lineRule="auto"/>
        <w:rPr>
          <w:sz w:val="20"/>
          <w:szCs w:val="20"/>
          <w:color w:val="auto"/>
        </w:rPr>
      </w:pPr>
      <w:r>
        <w:rPr>
          <w:rFonts w:ascii="Times New Roman" w:cs="Times New Roman" w:eastAsia="Times New Roman" w:hAnsi="Times New Roman"/>
          <w:sz w:val="18"/>
          <w:szCs w:val="18"/>
          <w:u w:val="single" w:color="auto"/>
          <w:color w:val="0000FF"/>
        </w:rPr>
        <w:t>Form of Restricted Stock Unit Award Agreement under the Cantaloupe, Inc. (f/k/a USA Technologies, Inc.) 2018 Equity Incentive Plan.</w:t>
      </w:r>
    </w:p>
    <w:p>
      <w:pPr>
        <w:spacing w:after="0" w:line="200" w:lineRule="exact"/>
        <w:rPr>
          <w:sz w:val="20"/>
          <w:szCs w:val="20"/>
          <w:color w:val="auto"/>
        </w:rPr>
      </w:pPr>
    </w:p>
    <w:p>
      <w:pPr>
        <w:sectPr>
          <w:pgSz w:w="11900" w:h="16838" w:orient="portrait"/>
          <w:cols w:equalWidth="0" w:num="2">
            <w:col w:w="660" w:space="400"/>
            <w:col w:w="9079"/>
          </w:cols>
          <w:pgMar w:left="320" w:top="1103" w:right="1440" w:bottom="1440" w:gutter="0" w:footer="0" w:header="0"/>
          <w:type w:val="continuous"/>
        </w:sectPr>
      </w:pPr>
    </w:p>
    <w:p>
      <w:pPr>
        <w:spacing w:after="0" w:line="200" w:lineRule="exact"/>
        <w:rPr>
          <w:sz w:val="20"/>
          <w:szCs w:val="20"/>
          <w:color w:val="auto"/>
        </w:rPr>
      </w:pPr>
    </w:p>
    <w:p>
      <w:pPr>
        <w:spacing w:after="0" w:line="27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03" w:right="1440" w:bottom="1440" w:gutter="0" w:footer="0" w:header="0"/>
          <w:type w:val="continuous"/>
        </w:sectPr>
      </w:pPr>
    </w:p>
    <w:bookmarkStart w:id="83" w:name="page84"/>
    <w:bookmarkEnd w:id="83"/>
    <w:p>
      <w:pPr>
        <w:spacing w:after="0" w:line="1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10.10†</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10.11†</w:t>
      </w:r>
    </w:p>
    <w:p>
      <w:pPr>
        <w:spacing w:after="0" w:line="20" w:lineRule="exact"/>
        <w:rPr>
          <w:sz w:val="20"/>
          <w:szCs w:val="20"/>
          <w:color w:val="auto"/>
        </w:rPr>
      </w:pPr>
      <w:r>
        <w:rPr>
          <w:sz w:val="20"/>
          <w:szCs w:val="20"/>
          <w:color w:val="auto"/>
        </w:rPr>
        <w:br w:type="column"/>
      </w:r>
    </w:p>
    <w:p>
      <w:pPr>
        <w:ind w:right="919"/>
        <w:spacing w:after="0" w:line="237" w:lineRule="auto"/>
        <w:rPr>
          <w:rFonts w:ascii="Times New Roman" w:cs="Times New Roman" w:eastAsia="Times New Roman" w:hAnsi="Times New Roman"/>
          <w:sz w:val="18"/>
          <w:szCs w:val="18"/>
          <w:u w:val="single" w:color="auto"/>
          <w:color w:val="0000FF"/>
        </w:rPr>
      </w:pPr>
      <w:hyperlink r:id="rId134">
        <w:r>
          <w:rPr>
            <w:rFonts w:ascii="Times New Roman" w:cs="Times New Roman" w:eastAsia="Times New Roman" w:hAnsi="Times New Roman"/>
            <w:sz w:val="18"/>
            <w:szCs w:val="18"/>
            <w:u w:val="single" w:color="auto"/>
            <w:color w:val="0000FF"/>
          </w:rPr>
          <w:t>Employment Agreement, dated May 8, 2020, between USA Technologies, Inc. and Sean Feeney (incorporated by</w:t>
        </w:r>
      </w:hyperlink>
      <w:r>
        <w:rPr>
          <w:rFonts w:ascii="Times New Roman" w:cs="Times New Roman" w:eastAsia="Times New Roman" w:hAnsi="Times New Roman"/>
          <w:sz w:val="18"/>
          <w:szCs w:val="18"/>
          <w:u w:val="single" w:color="auto"/>
          <w:color w:val="0000FF"/>
        </w:rPr>
        <w:t xml:space="preserve"> </w:t>
      </w:r>
      <w:hyperlink r:id="rId134">
        <w:r>
          <w:rPr>
            <w:rFonts w:ascii="Times New Roman" w:cs="Times New Roman" w:eastAsia="Times New Roman" w:hAnsi="Times New Roman"/>
            <w:sz w:val="18"/>
            <w:szCs w:val="18"/>
            <w:u w:val="single" w:color="auto"/>
            <w:color w:val="0000FF"/>
          </w:rPr>
          <w:t>reference to Exhibit 10.2 to Form 8-K filed on May 13, 2020).</w:t>
        </w:r>
      </w:hyperlink>
    </w:p>
    <w:p>
      <w:pPr>
        <w:spacing w:after="0" w:line="64" w:lineRule="exact"/>
        <w:rPr>
          <w:sz w:val="20"/>
          <w:szCs w:val="20"/>
          <w:color w:val="auto"/>
        </w:rPr>
      </w:pPr>
    </w:p>
    <w:p>
      <w:pPr>
        <w:ind w:right="1039"/>
        <w:spacing w:after="0" w:line="237" w:lineRule="auto"/>
        <w:rPr>
          <w:rFonts w:ascii="Times New Roman" w:cs="Times New Roman" w:eastAsia="Times New Roman" w:hAnsi="Times New Roman"/>
          <w:sz w:val="18"/>
          <w:szCs w:val="18"/>
          <w:u w:val="single" w:color="auto"/>
          <w:color w:val="0000FF"/>
        </w:rPr>
      </w:pPr>
      <w:hyperlink r:id="rId135">
        <w:r>
          <w:rPr>
            <w:rFonts w:ascii="Times New Roman" w:cs="Times New Roman" w:eastAsia="Times New Roman" w:hAnsi="Times New Roman"/>
            <w:sz w:val="18"/>
            <w:szCs w:val="18"/>
            <w:u w:val="single" w:color="auto"/>
            <w:color w:val="0000FF"/>
          </w:rPr>
          <w:t>Non-Qualified Stock Option Agreement, dated May 8, 2020, between USA Technologies, Inc. and Sean Feeney</w:t>
        </w:r>
      </w:hyperlink>
      <w:r>
        <w:rPr>
          <w:rFonts w:ascii="Times New Roman" w:cs="Times New Roman" w:eastAsia="Times New Roman" w:hAnsi="Times New Roman"/>
          <w:sz w:val="18"/>
          <w:szCs w:val="18"/>
          <w:u w:val="single" w:color="auto"/>
          <w:color w:val="0000FF"/>
        </w:rPr>
        <w:t xml:space="preserve"> </w:t>
      </w:r>
      <w:hyperlink r:id="rId135">
        <w:r>
          <w:rPr>
            <w:rFonts w:ascii="Times New Roman" w:cs="Times New Roman" w:eastAsia="Times New Roman" w:hAnsi="Times New Roman"/>
            <w:sz w:val="18"/>
            <w:szCs w:val="18"/>
            <w:u w:val="single" w:color="auto"/>
            <w:color w:val="0000FF"/>
          </w:rPr>
          <w:t>(incorporated by reference to Exhibit 10.3 to Form 8-K filed on May 13, 2020).</w:t>
        </w:r>
      </w:hyperlink>
    </w:p>
    <w:p>
      <w:pPr>
        <w:spacing w:after="0" w:line="105" w:lineRule="exact"/>
        <w:rPr>
          <w:sz w:val="20"/>
          <w:szCs w:val="20"/>
          <w:color w:val="auto"/>
        </w:rPr>
      </w:pPr>
    </w:p>
    <w:p>
      <w:pPr>
        <w:sectPr>
          <w:pgSz w:w="11900" w:h="16838" w:orient="portrait"/>
          <w:cols w:equalWidth="0" w:num="2">
            <w:col w:w="520" w:space="540"/>
            <w:col w:w="9079"/>
          </w:cols>
          <w:pgMar w:left="320" w:top="1026" w:right="1440" w:bottom="1440" w:gutter="0" w:footer="0" w:header="0"/>
        </w:sectPr>
      </w:pPr>
    </w:p>
    <w:tbl>
      <w:tblPr>
        <w:tblLayout w:type="fixed"/>
        <w:tblInd w:w="20" w:type="dxa"/>
        <w:tblCellMar>
          <w:top w:w="0" w:type="dxa"/>
          <w:left w:w="0" w:type="dxa"/>
          <w:bottom w:w="0" w:type="dxa"/>
          <w:right w:w="0" w:type="dxa"/>
        </w:tblCellMar>
      </w:tblPr>
      <w:tr>
        <w:trPr>
          <w:trHeight w:val="207"/>
        </w:trPr>
        <w:tc>
          <w:tcPr>
            <w:tcW w:w="1040" w:type="dxa"/>
            <w:vAlign w:val="bottom"/>
          </w:tcPr>
          <w:p>
            <w:pPr>
              <w:spacing w:after="0"/>
              <w:rPr>
                <w:sz w:val="17"/>
                <w:szCs w:val="17"/>
                <w:color w:val="auto"/>
              </w:rPr>
            </w:pPr>
          </w:p>
        </w:tc>
        <w:tc>
          <w:tcPr>
            <w:tcW w:w="8580" w:type="dxa"/>
            <w:vAlign w:val="bottom"/>
            <w:gridSpan w:val="5"/>
          </w:tcPr>
          <w:p>
            <w:pPr>
              <w:spacing w:after="0"/>
              <w:rPr>
                <w:rFonts w:ascii="Times New Roman" w:cs="Times New Roman" w:eastAsia="Times New Roman" w:hAnsi="Times New Roman"/>
                <w:sz w:val="18"/>
                <w:szCs w:val="18"/>
                <w:color w:val="0000FF"/>
                <w:w w:val="99"/>
              </w:rPr>
            </w:pPr>
            <w:hyperlink r:id="rId136">
              <w:r>
                <w:rPr>
                  <w:rFonts w:ascii="Times New Roman" w:cs="Times New Roman" w:eastAsia="Times New Roman" w:hAnsi="Times New Roman"/>
                  <w:sz w:val="18"/>
                  <w:szCs w:val="18"/>
                  <w:color w:val="0000FF"/>
                  <w:w w:val="99"/>
                </w:rPr>
                <w:t>Payment Solutions Agreement between the Company, First Data Merchant Services LLC and Wells Fargo Bank, N.A.,</w:t>
              </w:r>
            </w:hyperlink>
          </w:p>
        </w:tc>
        <w:tc>
          <w:tcPr>
            <w:tcW w:w="0" w:type="dxa"/>
            <w:vAlign w:val="bottom"/>
          </w:tcPr>
          <w:p>
            <w:pPr>
              <w:spacing w:after="0"/>
              <w:rPr>
                <w:sz w:val="1"/>
                <w:szCs w:val="1"/>
                <w:color w:val="auto"/>
              </w:rPr>
            </w:pPr>
          </w:p>
        </w:tc>
      </w:tr>
      <w:tr>
        <w:trPr>
          <w:trHeight w:val="156"/>
        </w:trPr>
        <w:tc>
          <w:tcPr>
            <w:tcW w:w="1040" w:type="dxa"/>
            <w:vAlign w:val="bottom"/>
            <w:vMerge w:val="restart"/>
          </w:tcPr>
          <w:p>
            <w:pPr>
              <w:jc w:val="right"/>
              <w:ind w:right="530"/>
              <w:spacing w:after="0"/>
              <w:rPr>
                <w:sz w:val="20"/>
                <w:szCs w:val="20"/>
                <w:color w:val="auto"/>
              </w:rPr>
            </w:pPr>
            <w:r>
              <w:rPr>
                <w:rFonts w:ascii="Times New Roman" w:cs="Times New Roman" w:eastAsia="Times New Roman" w:hAnsi="Times New Roman"/>
                <w:sz w:val="18"/>
                <w:szCs w:val="18"/>
                <w:color w:val="auto"/>
                <w:w w:val="98"/>
              </w:rPr>
              <w:t>10.12</w:t>
            </w:r>
          </w:p>
        </w:tc>
        <w:tc>
          <w:tcPr>
            <w:tcW w:w="854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9"/>
              </w:rPr>
            </w:pPr>
            <w:hyperlink r:id="rId136">
              <w:r>
                <w:rPr>
                  <w:rFonts w:ascii="Times New Roman" w:cs="Times New Roman" w:eastAsia="Times New Roman" w:hAnsi="Times New Roman"/>
                  <w:sz w:val="18"/>
                  <w:szCs w:val="18"/>
                  <w:color w:val="0000FF"/>
                  <w:w w:val="99"/>
                </w:rPr>
                <w:t>dated March 20, 2020 (portions of this exhibit were redacted pursuant to a confidential treatment request)(incorporated</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40" w:type="dxa"/>
            <w:vAlign w:val="bottom"/>
            <w:vMerge w:val="continue"/>
          </w:tcPr>
          <w:p>
            <w:pPr>
              <w:spacing w:after="0"/>
              <w:rPr>
                <w:sz w:val="13"/>
                <w:szCs w:val="13"/>
                <w:color w:val="auto"/>
              </w:rPr>
            </w:pPr>
          </w:p>
        </w:tc>
        <w:tc>
          <w:tcPr>
            <w:tcW w:w="4800" w:type="dxa"/>
            <w:vAlign w:val="bottom"/>
            <w:tcBorders>
              <w:bottom w:val="single" w:sz="8" w:color="0000FF"/>
            </w:tcBorders>
          </w:tcPr>
          <w:p>
            <w:pPr>
              <w:spacing w:after="0" w:line="142" w:lineRule="exact"/>
              <w:rPr>
                <w:rFonts w:ascii="Times New Roman" w:cs="Times New Roman" w:eastAsia="Times New Roman" w:hAnsi="Times New Roman"/>
                <w:sz w:val="16"/>
                <w:szCs w:val="16"/>
                <w:color w:val="0000FF"/>
              </w:rPr>
            </w:pPr>
            <w:hyperlink r:id="rId136">
              <w:r>
                <w:rPr>
                  <w:rFonts w:ascii="Times New Roman" w:cs="Times New Roman" w:eastAsia="Times New Roman" w:hAnsi="Times New Roman"/>
                  <w:sz w:val="16"/>
                  <w:szCs w:val="16"/>
                  <w:color w:val="0000FF"/>
                </w:rPr>
                <w:t>by reference to Exhibit 10.1 to Form 10-Q filed on June 24, 2020).</w:t>
              </w:r>
            </w:hyperlink>
          </w:p>
        </w:tc>
        <w:tc>
          <w:tcPr>
            <w:tcW w:w="37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0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w w:val="98"/>
              </w:rPr>
              <w:t>10.13</w:t>
            </w:r>
          </w:p>
        </w:tc>
        <w:tc>
          <w:tcPr>
            <w:tcW w:w="8240" w:type="dxa"/>
            <w:vAlign w:val="bottom"/>
            <w:tcBorders>
              <w:bottom w:val="single" w:sz="8" w:color="0000FF"/>
            </w:tcBorders>
            <w:gridSpan w:val="2"/>
          </w:tcPr>
          <w:p>
            <w:pPr>
              <w:spacing w:after="0"/>
              <w:rPr>
                <w:rFonts w:ascii="Times New Roman" w:cs="Times New Roman" w:eastAsia="Times New Roman" w:hAnsi="Times New Roman"/>
                <w:sz w:val="18"/>
                <w:szCs w:val="18"/>
                <w:color w:val="0000FF"/>
                <w:w w:val="99"/>
              </w:rPr>
            </w:pPr>
            <w:hyperlink r:id="rId137">
              <w:r>
                <w:rPr>
                  <w:rFonts w:ascii="Times New Roman" w:cs="Times New Roman" w:eastAsia="Times New Roman" w:hAnsi="Times New Roman"/>
                  <w:sz w:val="18"/>
                  <w:szCs w:val="18"/>
                  <w:color w:val="0000FF"/>
                  <w:w w:val="99"/>
                </w:rPr>
                <w:t>Form of Subscription Agreement (incorporated by reference to Exhibit 10.1 to Form 8-K filed February 25, 2021).</w:t>
              </w:r>
            </w:hyperlink>
          </w:p>
        </w:tc>
        <w:tc>
          <w:tcPr>
            <w:tcW w:w="3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sectPr>
          <w:pgSz w:w="11900" w:h="16838" w:orient="portrait"/>
          <w:cols w:equalWidth="0" w:num="1">
            <w:col w:w="10139"/>
          </w:cols>
          <w:pgMar w:left="320" w:top="1026" w:right="1440" w:bottom="1440" w:gutter="0" w:footer="0" w:header="0"/>
          <w:type w:val="continuous"/>
        </w:sectPr>
      </w:pPr>
    </w:p>
    <w:p>
      <w:pPr>
        <w:spacing w:after="0" w:line="1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10.14†</w:t>
      </w:r>
    </w:p>
    <w:p>
      <w:pPr>
        <w:spacing w:after="0" w:line="3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10.15†</w:t>
      </w:r>
    </w:p>
    <w:p>
      <w:pPr>
        <w:spacing w:after="0" w:line="20" w:lineRule="exact"/>
        <w:rPr>
          <w:sz w:val="20"/>
          <w:szCs w:val="20"/>
          <w:color w:val="auto"/>
        </w:rPr>
      </w:pPr>
      <w:r>
        <w:rPr>
          <w:sz w:val="20"/>
          <w:szCs w:val="20"/>
          <w:color w:val="auto"/>
        </w:rPr>
        <w:br w:type="column"/>
      </w:r>
    </w:p>
    <w:p>
      <w:pPr>
        <w:ind w:right="579"/>
        <w:spacing w:after="0" w:line="237" w:lineRule="auto"/>
        <w:rPr>
          <w:rFonts w:ascii="Times New Roman" w:cs="Times New Roman" w:eastAsia="Times New Roman" w:hAnsi="Times New Roman"/>
          <w:sz w:val="18"/>
          <w:szCs w:val="18"/>
          <w:u w:val="single" w:color="auto"/>
          <w:color w:val="0000FF"/>
        </w:rPr>
      </w:pPr>
      <w:hyperlink r:id="rId138">
        <w:r>
          <w:rPr>
            <w:rFonts w:ascii="Times New Roman" w:cs="Times New Roman" w:eastAsia="Times New Roman" w:hAnsi="Times New Roman"/>
            <w:sz w:val="18"/>
            <w:szCs w:val="18"/>
            <w:u w:val="single" w:color="auto"/>
            <w:color w:val="0000FF"/>
          </w:rPr>
          <w:t>Employment Agreement, between Cantaloupe, Inc. and Ravi Venkatesan (incorporated by reference to Exhibit 10.5 to</w:t>
        </w:r>
      </w:hyperlink>
      <w:r>
        <w:rPr>
          <w:rFonts w:ascii="Times New Roman" w:cs="Times New Roman" w:eastAsia="Times New Roman" w:hAnsi="Times New Roman"/>
          <w:sz w:val="18"/>
          <w:szCs w:val="18"/>
          <w:u w:val="single" w:color="auto"/>
          <w:color w:val="0000FF"/>
        </w:rPr>
        <w:t xml:space="preserve"> </w:t>
      </w:r>
      <w:hyperlink r:id="rId138">
        <w:r>
          <w:rPr>
            <w:rFonts w:ascii="Times New Roman" w:cs="Times New Roman" w:eastAsia="Times New Roman" w:hAnsi="Times New Roman"/>
            <w:sz w:val="18"/>
            <w:szCs w:val="18"/>
            <w:u w:val="single" w:color="auto"/>
            <w:color w:val="0000FF"/>
          </w:rPr>
          <w:t>Form 8-K filed February 3, 2022).</w:t>
        </w:r>
      </w:hyperlink>
    </w:p>
    <w:p>
      <w:pPr>
        <w:spacing w:after="0" w:line="104" w:lineRule="exact"/>
        <w:rPr>
          <w:sz w:val="20"/>
          <w:szCs w:val="20"/>
          <w:color w:val="auto"/>
        </w:rPr>
      </w:pPr>
    </w:p>
    <w:p>
      <w:pPr>
        <w:ind w:right="439"/>
        <w:spacing w:after="0" w:line="237" w:lineRule="auto"/>
        <w:rPr>
          <w:rFonts w:ascii="Times New Roman" w:cs="Times New Roman" w:eastAsia="Times New Roman" w:hAnsi="Times New Roman"/>
          <w:sz w:val="18"/>
          <w:szCs w:val="18"/>
          <w:u w:val="single" w:color="auto"/>
          <w:color w:val="0000FF"/>
        </w:rPr>
      </w:pPr>
      <w:hyperlink r:id="rId139">
        <w:r>
          <w:rPr>
            <w:rFonts w:ascii="Times New Roman" w:cs="Times New Roman" w:eastAsia="Times New Roman" w:hAnsi="Times New Roman"/>
            <w:sz w:val="18"/>
            <w:szCs w:val="18"/>
            <w:u w:val="single" w:color="auto"/>
            <w:color w:val="0000FF"/>
          </w:rPr>
          <w:t>Promotion Letter, between Cantaloupe, Inc. and Ravi Venkatesan (incorporated by reference to Exhibit 10.2 to the Form</w:t>
        </w:r>
      </w:hyperlink>
      <w:r>
        <w:rPr>
          <w:rFonts w:ascii="Times New Roman" w:cs="Times New Roman" w:eastAsia="Times New Roman" w:hAnsi="Times New Roman"/>
          <w:sz w:val="18"/>
          <w:szCs w:val="18"/>
          <w:u w:val="single" w:color="auto"/>
          <w:color w:val="0000FF"/>
        </w:rPr>
        <w:t xml:space="preserve"> </w:t>
      </w:r>
      <w:hyperlink r:id="rId139">
        <w:r>
          <w:rPr>
            <w:rFonts w:ascii="Times New Roman" w:cs="Times New Roman" w:eastAsia="Times New Roman" w:hAnsi="Times New Roman"/>
            <w:sz w:val="18"/>
            <w:szCs w:val="18"/>
            <w:u w:val="single" w:color="auto"/>
            <w:color w:val="0000FF"/>
          </w:rPr>
          <w:t>8-K filed September 8, 2022).</w:t>
        </w:r>
      </w:hyperlink>
    </w:p>
    <w:p>
      <w:pPr>
        <w:spacing w:after="0" w:line="91" w:lineRule="exact"/>
        <w:rPr>
          <w:sz w:val="20"/>
          <w:szCs w:val="20"/>
          <w:color w:val="auto"/>
        </w:rPr>
      </w:pPr>
    </w:p>
    <w:p>
      <w:pPr>
        <w:sectPr>
          <w:pgSz w:w="11900" w:h="16838" w:orient="portrait"/>
          <w:cols w:equalWidth="0" w:num="2">
            <w:col w:w="520" w:space="540"/>
            <w:col w:w="9079"/>
          </w:cols>
          <w:pgMar w:left="320" w:top="1026" w:right="1440" w:bottom="1440" w:gutter="0" w:footer="0" w:header="0"/>
          <w:type w:val="continuous"/>
        </w:sectPr>
      </w:pPr>
    </w:p>
    <w:tbl>
      <w:tblPr>
        <w:tblLayout w:type="fixed"/>
        <w:tblInd w:w="20" w:type="dxa"/>
        <w:tblCellMar>
          <w:top w:w="0" w:type="dxa"/>
          <w:left w:w="0" w:type="dxa"/>
          <w:bottom w:w="0" w:type="dxa"/>
          <w:right w:w="0" w:type="dxa"/>
        </w:tblCellMar>
      </w:tblPr>
      <w:tr>
        <w:trPr>
          <w:trHeight w:val="20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16.1</w:t>
            </w:r>
          </w:p>
        </w:tc>
        <w:tc>
          <w:tcPr>
            <w:tcW w:w="7040" w:type="dxa"/>
            <w:vAlign w:val="bottom"/>
            <w:tcBorders>
              <w:bottom w:val="single" w:sz="8" w:color="0000FF"/>
            </w:tcBorders>
            <w:gridSpan w:val="8"/>
          </w:tcPr>
          <w:p>
            <w:pPr>
              <w:spacing w:after="0"/>
              <w:rPr>
                <w:rFonts w:ascii="Times New Roman" w:cs="Times New Roman" w:eastAsia="Times New Roman" w:hAnsi="Times New Roman"/>
                <w:sz w:val="18"/>
                <w:szCs w:val="18"/>
                <w:color w:val="0000FF"/>
                <w:w w:val="99"/>
              </w:rPr>
            </w:pPr>
            <w:hyperlink r:id="rId140">
              <w:r>
                <w:rPr>
                  <w:rFonts w:ascii="Times New Roman" w:cs="Times New Roman" w:eastAsia="Times New Roman" w:hAnsi="Times New Roman"/>
                  <w:sz w:val="18"/>
                  <w:szCs w:val="18"/>
                  <w:color w:val="0000FF"/>
                  <w:w w:val="99"/>
                </w:rPr>
                <w:t>Letter from BDO USA, P.C. Dated October 13, 2023 Regarding Change in Certifying Accountant</w:t>
              </w:r>
            </w:hyperlink>
          </w:p>
        </w:tc>
        <w:tc>
          <w:tcPr>
            <w:tcW w:w="16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19.1</w:t>
            </w:r>
          </w:p>
        </w:tc>
        <w:tc>
          <w:tcPr>
            <w:tcW w:w="870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Insider trading policies and procedures</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33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List of significant subsidiaries of the Company</w:t>
            </w:r>
          </w:p>
        </w:tc>
        <w:tc>
          <w:tcPr>
            <w:tcW w:w="5320" w:type="dxa"/>
            <w:vAlign w:val="bottom"/>
            <w:gridSpan w:val="8"/>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870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Consent of Deloitte &amp; Touche LLP, Independent Registered Public Accounting Firm.</w:t>
            </w:r>
          </w:p>
        </w:tc>
        <w:tc>
          <w:tcPr>
            <w:tcW w:w="0" w:type="dxa"/>
            <w:vAlign w:val="bottom"/>
          </w:tcPr>
          <w:p>
            <w:pPr>
              <w:spacing w:after="0"/>
              <w:rPr>
                <w:sz w:val="1"/>
                <w:szCs w:val="1"/>
                <w:color w:val="auto"/>
              </w:rPr>
            </w:pPr>
          </w:p>
        </w:tc>
      </w:tr>
      <w:tr>
        <w:trPr>
          <w:trHeight w:val="26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612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Consent of BDO USA, P.C. Independent Registered Public Accounting Firm.</w:t>
            </w:r>
          </w:p>
        </w:tc>
        <w:tc>
          <w:tcPr>
            <w:tcW w:w="2580" w:type="dxa"/>
            <w:vAlign w:val="bottom"/>
            <w:gridSpan w:val="6"/>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60" w:type="dxa"/>
            <w:vAlign w:val="bottom"/>
            <w:gridSpan w:val="3"/>
            <w:shd w:val="clear" w:color="auto" w:fill="0000FF"/>
          </w:tcPr>
          <w:p>
            <w:pPr>
              <w:spacing w:after="0" w:line="20" w:lineRule="exact"/>
              <w:rPr>
                <w:sz w:val="1"/>
                <w:szCs w:val="1"/>
                <w:color w:val="auto"/>
              </w:rPr>
            </w:pPr>
          </w:p>
        </w:tc>
        <w:tc>
          <w:tcPr>
            <w:tcW w:w="24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8700" w:type="dxa"/>
            <w:vAlign w:val="bottom"/>
            <w:gridSpan w:val="13"/>
          </w:tcPr>
          <w:p>
            <w:pPr>
              <w:spacing w:after="0" w:line="207" w:lineRule="exact"/>
              <w:rPr>
                <w:sz w:val="20"/>
                <w:szCs w:val="20"/>
                <w:color w:val="auto"/>
              </w:rPr>
            </w:pPr>
            <w:r>
              <w:rPr>
                <w:rFonts w:ascii="Times New Roman" w:cs="Times New Roman" w:eastAsia="Times New Roman" w:hAnsi="Times New Roman"/>
                <w:sz w:val="18"/>
                <w:szCs w:val="18"/>
                <w:color w:val="0000FF"/>
              </w:rPr>
              <w:t>Certifications of Chief Executive Officer pursuant to Rule 13a</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14(a) under the Securities Exchange Act of 1934.</w:t>
            </w:r>
          </w:p>
        </w:tc>
        <w:tc>
          <w:tcPr>
            <w:tcW w:w="0" w:type="dxa"/>
            <w:vAlign w:val="bottom"/>
          </w:tcPr>
          <w:p>
            <w:pPr>
              <w:spacing w:after="0"/>
              <w:rPr>
                <w:sz w:val="1"/>
                <w:szCs w:val="1"/>
                <w:color w:val="auto"/>
              </w:rPr>
            </w:pPr>
          </w:p>
        </w:tc>
      </w:tr>
      <w:tr>
        <w:trPr>
          <w:trHeight w:val="26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8060" w:type="dxa"/>
            <w:vAlign w:val="bottom"/>
            <w:tcBorders>
              <w:top w:val="single" w:sz="8" w:color="0000FF"/>
              <w:bottom w:val="single" w:sz="8" w:color="0000FF"/>
            </w:tcBorders>
            <w:gridSpan w:val="9"/>
          </w:tcPr>
          <w:p>
            <w:pPr>
              <w:spacing w:after="0" w:line="207" w:lineRule="exact"/>
              <w:rPr>
                <w:sz w:val="20"/>
                <w:szCs w:val="20"/>
                <w:color w:val="auto"/>
              </w:rPr>
            </w:pPr>
            <w:r>
              <w:rPr>
                <w:rFonts w:ascii="Times New Roman" w:cs="Times New Roman" w:eastAsia="Times New Roman" w:hAnsi="Times New Roman"/>
                <w:sz w:val="18"/>
                <w:szCs w:val="18"/>
                <w:color w:val="0000FF"/>
                <w:w w:val="99"/>
              </w:rPr>
              <w:t>Certifications of Chief Financial Officer pursuant to Rule 13a</w:t>
            </w:r>
            <w:r>
              <w:rPr>
                <w:rFonts w:ascii="MS PGothic" w:cs="MS PGothic" w:eastAsia="MS PGothic" w:hAnsi="MS PGothic"/>
                <w:sz w:val="18"/>
                <w:szCs w:val="18"/>
                <w:color w:val="0000FF"/>
                <w:w w:val="99"/>
              </w:rPr>
              <w:t>‑</w:t>
            </w:r>
            <w:r>
              <w:rPr>
                <w:rFonts w:ascii="Times New Roman" w:cs="Times New Roman" w:eastAsia="Times New Roman" w:hAnsi="Times New Roman"/>
                <w:sz w:val="18"/>
                <w:szCs w:val="18"/>
                <w:color w:val="0000FF"/>
                <w:w w:val="99"/>
              </w:rPr>
              <w:t>14(a) under the Securities Exchange Act of 1934.</w:t>
            </w:r>
          </w:p>
        </w:tc>
        <w:tc>
          <w:tcPr>
            <w:tcW w:w="40" w:type="dxa"/>
            <w:vAlign w:val="bottom"/>
            <w:tcBorders>
              <w:top w:val="single" w:sz="8" w:color="0000FF"/>
            </w:tcBorders>
          </w:tcPr>
          <w:p>
            <w:pPr>
              <w:spacing w:after="0"/>
              <w:rPr>
                <w:sz w:val="22"/>
                <w:szCs w:val="22"/>
                <w:color w:val="auto"/>
              </w:rPr>
            </w:pPr>
          </w:p>
        </w:tc>
        <w:tc>
          <w:tcPr>
            <w:tcW w:w="600" w:type="dxa"/>
            <w:vAlign w:val="bottom"/>
            <w:gridSpan w:val="3"/>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32.1**</w:t>
            </w:r>
          </w:p>
        </w:tc>
        <w:tc>
          <w:tcPr>
            <w:tcW w:w="870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9"/>
              </w:rPr>
              <w:t>Certification by the Chief Executive Officer pursuant to 18 USC Section 1350, as adopted pursuant to Section 906 of the</w:t>
            </w:r>
          </w:p>
        </w:tc>
        <w:tc>
          <w:tcPr>
            <w:tcW w:w="0" w:type="dxa"/>
            <w:vAlign w:val="bottom"/>
          </w:tcPr>
          <w:p>
            <w:pPr>
              <w:spacing w:after="0"/>
              <w:rPr>
                <w:sz w:val="1"/>
                <w:szCs w:val="1"/>
                <w:color w:val="auto"/>
              </w:rPr>
            </w:pPr>
          </w:p>
        </w:tc>
      </w:tr>
      <w:tr>
        <w:trPr>
          <w:trHeight w:val="155"/>
        </w:trPr>
        <w:tc>
          <w:tcPr>
            <w:tcW w:w="1040" w:type="dxa"/>
            <w:vAlign w:val="bottom"/>
            <w:vMerge w:val="continue"/>
          </w:tcPr>
          <w:p>
            <w:pPr>
              <w:spacing w:after="0"/>
              <w:rPr>
                <w:sz w:val="13"/>
                <w:szCs w:val="13"/>
                <w:color w:val="auto"/>
              </w:rPr>
            </w:pPr>
          </w:p>
        </w:tc>
        <w:tc>
          <w:tcPr>
            <w:tcW w:w="2120" w:type="dxa"/>
            <w:vAlign w:val="bottom"/>
            <w:tcBorders>
              <w:top w:val="single" w:sz="8" w:color="0000FF"/>
              <w:bottom w:val="single" w:sz="8" w:color="0000FF"/>
            </w:tcBorders>
            <w:gridSpan w:val="3"/>
          </w:tcPr>
          <w:p>
            <w:pPr>
              <w:spacing w:after="0" w:line="142" w:lineRule="exact"/>
              <w:rPr>
                <w:sz w:val="20"/>
                <w:szCs w:val="20"/>
                <w:color w:val="auto"/>
              </w:rPr>
            </w:pPr>
            <w:r>
              <w:rPr>
                <w:rFonts w:ascii="Times New Roman" w:cs="Times New Roman" w:eastAsia="Times New Roman" w:hAnsi="Times New Roman"/>
                <w:sz w:val="16"/>
                <w:szCs w:val="16"/>
                <w:color w:val="0000FF"/>
              </w:rPr>
              <w:t>Sarbanes-Oxley Act of 2002.</w:t>
            </w:r>
          </w:p>
        </w:tc>
        <w:tc>
          <w:tcPr>
            <w:tcW w:w="6520" w:type="dxa"/>
            <w:vAlign w:val="bottom"/>
            <w:tcBorders>
              <w:top w:val="single" w:sz="8" w:color="0000FF"/>
            </w:tcBorders>
            <w:gridSpan w:val="8"/>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32.2**</w:t>
            </w:r>
          </w:p>
        </w:tc>
        <w:tc>
          <w:tcPr>
            <w:tcW w:w="870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Certification by the Chief Financial Officer pursuant to 18 USC Section 1350, as adopted pursuant to Section 906 of the</w:t>
            </w:r>
          </w:p>
        </w:tc>
        <w:tc>
          <w:tcPr>
            <w:tcW w:w="0" w:type="dxa"/>
            <w:vAlign w:val="bottom"/>
          </w:tcPr>
          <w:p>
            <w:pPr>
              <w:spacing w:after="0"/>
              <w:rPr>
                <w:sz w:val="1"/>
                <w:szCs w:val="1"/>
                <w:color w:val="auto"/>
              </w:rPr>
            </w:pPr>
          </w:p>
        </w:tc>
      </w:tr>
      <w:tr>
        <w:trPr>
          <w:trHeight w:val="156"/>
        </w:trPr>
        <w:tc>
          <w:tcPr>
            <w:tcW w:w="1040" w:type="dxa"/>
            <w:vAlign w:val="bottom"/>
            <w:vMerge w:val="continue"/>
          </w:tcPr>
          <w:p>
            <w:pPr>
              <w:spacing w:after="0"/>
              <w:rPr>
                <w:sz w:val="13"/>
                <w:szCs w:val="13"/>
                <w:color w:val="auto"/>
              </w:rPr>
            </w:pPr>
          </w:p>
        </w:tc>
        <w:tc>
          <w:tcPr>
            <w:tcW w:w="2100" w:type="dxa"/>
            <w:vAlign w:val="bottom"/>
            <w:tcBorders>
              <w:top w:val="single" w:sz="8" w:color="0000FF"/>
              <w:bottom w:val="single" w:sz="8" w:color="0000FF"/>
            </w:tcBorders>
            <w:gridSpan w:val="2"/>
          </w:tcPr>
          <w:p>
            <w:pPr>
              <w:spacing w:after="0" w:line="142" w:lineRule="exact"/>
              <w:rPr>
                <w:sz w:val="20"/>
                <w:szCs w:val="20"/>
                <w:color w:val="auto"/>
              </w:rPr>
            </w:pPr>
            <w:r>
              <w:rPr>
                <w:rFonts w:ascii="Times New Roman" w:cs="Times New Roman" w:eastAsia="Times New Roman" w:hAnsi="Times New Roman"/>
                <w:sz w:val="16"/>
                <w:szCs w:val="16"/>
                <w:color w:val="0000FF"/>
              </w:rPr>
              <w:t>Sarbanes-Oxley Act of 2002.</w:t>
            </w:r>
          </w:p>
        </w:tc>
        <w:tc>
          <w:tcPr>
            <w:tcW w:w="6540" w:type="dxa"/>
            <w:vAlign w:val="bottom"/>
            <w:tcBorders>
              <w:top w:val="single" w:sz="8" w:color="0000FF"/>
            </w:tcBorders>
            <w:gridSpan w:val="9"/>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97.1*</w:t>
            </w:r>
          </w:p>
        </w:tc>
        <w:tc>
          <w:tcPr>
            <w:tcW w:w="12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Clawback Policy</w:t>
            </w:r>
          </w:p>
        </w:tc>
        <w:tc>
          <w:tcPr>
            <w:tcW w:w="748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1"/>
                <w:szCs w:val="21"/>
                <w:color w:val="auto"/>
              </w:rPr>
            </w:pPr>
          </w:p>
        </w:tc>
        <w:tc>
          <w:tcPr>
            <w:tcW w:w="87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87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tags are embedded within the Inline XBRL document</w:t>
            </w:r>
          </w:p>
        </w:tc>
        <w:tc>
          <w:tcPr>
            <w:tcW w:w="0" w:type="dxa"/>
            <w:vAlign w:val="bottom"/>
          </w:tcPr>
          <w:p>
            <w:pPr>
              <w:spacing w:after="0"/>
              <w:rPr>
                <w:sz w:val="1"/>
                <w:szCs w:val="1"/>
                <w:color w:val="auto"/>
              </w:rPr>
            </w:pPr>
          </w:p>
        </w:tc>
      </w:tr>
      <w:tr>
        <w:trPr>
          <w:trHeight w:val="28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87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Schema</w:t>
            </w:r>
          </w:p>
        </w:tc>
        <w:tc>
          <w:tcPr>
            <w:tcW w:w="0" w:type="dxa"/>
            <w:vAlign w:val="bottom"/>
          </w:tcPr>
          <w:p>
            <w:pPr>
              <w:spacing w:after="0"/>
              <w:rPr>
                <w:sz w:val="1"/>
                <w:szCs w:val="1"/>
                <w:color w:val="auto"/>
              </w:rPr>
            </w:pPr>
          </w:p>
        </w:tc>
      </w:tr>
      <w:tr>
        <w:trPr>
          <w:trHeight w:val="28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87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c>
          <w:tcPr>
            <w:tcW w:w="0" w:type="dxa"/>
            <w:vAlign w:val="bottom"/>
          </w:tcPr>
          <w:p>
            <w:pPr>
              <w:spacing w:after="0"/>
              <w:rPr>
                <w:sz w:val="1"/>
                <w:szCs w:val="1"/>
                <w:color w:val="auto"/>
              </w:rPr>
            </w:pPr>
          </w:p>
        </w:tc>
      </w:tr>
      <w:tr>
        <w:trPr>
          <w:trHeight w:val="28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87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c>
          <w:tcPr>
            <w:tcW w:w="0" w:type="dxa"/>
            <w:vAlign w:val="bottom"/>
          </w:tcPr>
          <w:p>
            <w:pPr>
              <w:spacing w:after="0"/>
              <w:rPr>
                <w:sz w:val="1"/>
                <w:szCs w:val="1"/>
                <w:color w:val="auto"/>
              </w:rPr>
            </w:pPr>
          </w:p>
        </w:tc>
      </w:tr>
      <w:tr>
        <w:trPr>
          <w:trHeight w:val="28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87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c>
          <w:tcPr>
            <w:tcW w:w="0" w:type="dxa"/>
            <w:vAlign w:val="bottom"/>
          </w:tcPr>
          <w:p>
            <w:pPr>
              <w:spacing w:after="0"/>
              <w:rPr>
                <w:sz w:val="1"/>
                <w:szCs w:val="1"/>
                <w:color w:val="auto"/>
              </w:rPr>
            </w:pPr>
          </w:p>
        </w:tc>
      </w:tr>
      <w:tr>
        <w:trPr>
          <w:trHeight w:val="28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87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c>
          <w:tcPr>
            <w:tcW w:w="0" w:type="dxa"/>
            <w:vAlign w:val="bottom"/>
          </w:tcPr>
          <w:p>
            <w:pPr>
              <w:spacing w:after="0"/>
              <w:rPr>
                <w:sz w:val="1"/>
                <w:szCs w:val="1"/>
                <w:color w:val="auto"/>
              </w:rPr>
            </w:pPr>
          </w:p>
        </w:tc>
      </w:tr>
      <w:tr>
        <w:trPr>
          <w:trHeight w:val="28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87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27"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Filed herewith.</w:t>
      </w:r>
    </w:p>
    <w:p>
      <w:pPr>
        <w:spacing w:after="0" w:line="9"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Furnished herewith.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Management contract or compensatory plan or arrangement.</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26" w:right="1440" w:bottom="1440" w:gutter="0" w:footer="0" w:header="0"/>
          <w:type w:val="continuous"/>
        </w:sectPr>
      </w:pPr>
    </w:p>
    <w:bookmarkStart w:id="84" w:name="page85"/>
    <w:bookmarkEnd w:id="8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accordance with Section 13 or 15(d) of the Exchange Act, the registrant has duly caused this report to be signed on its behalf by the undersigned, thereunto duly authorized.</w:t>
      </w:r>
    </w:p>
    <w:p>
      <w:pPr>
        <w:spacing w:after="0" w:line="8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Cantaloupe, Inc.</w:t>
      </w:r>
    </w:p>
    <w:p>
      <w:pPr>
        <w:spacing w:after="0" w:line="7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Ravi Venkatesan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17145</wp:posOffset>
            </wp:positionV>
            <wp:extent cx="355727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2">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Ravi Venkatesan, Chief Executive Officer</w:t>
      </w:r>
    </w:p>
    <w:p>
      <w:pPr>
        <w:spacing w:after="0" w:line="33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80" w:type="dxa"/>
            <w:vAlign w:val="bottom"/>
          </w:tcPr>
          <w:p>
            <w:pPr>
              <w:ind w:left="1680"/>
              <w:spacing w:after="0"/>
              <w:rPr>
                <w:sz w:val="20"/>
                <w:szCs w:val="20"/>
                <w:color w:val="auto"/>
              </w:rPr>
            </w:pPr>
            <w:r>
              <w:rPr>
                <w:rFonts w:ascii="Times New Roman" w:cs="Times New Roman" w:eastAsia="Times New Roman" w:hAnsi="Times New Roman"/>
                <w:sz w:val="14"/>
                <w:szCs w:val="14"/>
                <w:b w:val="1"/>
                <w:bCs w:val="1"/>
                <w:color w:val="auto"/>
              </w:rPr>
              <w:t>SIGNATURES</w:t>
            </w:r>
          </w:p>
        </w:tc>
        <w:tc>
          <w:tcPr>
            <w:tcW w:w="100" w:type="dxa"/>
            <w:vAlign w:val="bottom"/>
          </w:tcPr>
          <w:p>
            <w:pPr>
              <w:spacing w:after="0"/>
              <w:rPr>
                <w:sz w:val="16"/>
                <w:szCs w:val="16"/>
                <w:color w:val="auto"/>
              </w:rPr>
            </w:pPr>
          </w:p>
        </w:tc>
        <w:tc>
          <w:tcPr>
            <w:tcW w:w="4300" w:type="dxa"/>
            <w:vAlign w:val="bottom"/>
            <w:gridSpan w:val="2"/>
          </w:tcPr>
          <w:p>
            <w:pPr>
              <w:ind w:left="188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560" w:type="dxa"/>
            <w:vAlign w:val="bottom"/>
          </w:tcPr>
          <w:p>
            <w:pPr>
              <w:ind w:left="1080"/>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37"/>
        </w:trPr>
        <w:tc>
          <w:tcPr>
            <w:tcW w:w="42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2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61"/>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Ravi Venkatesan</w:t>
            </w:r>
          </w:p>
        </w:tc>
        <w:tc>
          <w:tcPr>
            <w:tcW w:w="100" w:type="dxa"/>
            <w:vAlign w:val="bottom"/>
          </w:tcPr>
          <w:p>
            <w:pPr>
              <w:spacing w:after="0"/>
              <w:rPr>
                <w:sz w:val="24"/>
                <w:szCs w:val="24"/>
                <w:color w:val="auto"/>
              </w:rPr>
            </w:pPr>
          </w:p>
        </w:tc>
        <w:tc>
          <w:tcPr>
            <w:tcW w:w="4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2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September 10, 2024</w:t>
            </w:r>
          </w:p>
        </w:tc>
        <w:tc>
          <w:tcPr>
            <w:tcW w:w="0" w:type="dxa"/>
            <w:vAlign w:val="bottom"/>
          </w:tcPr>
          <w:p>
            <w:pPr>
              <w:spacing w:after="0"/>
              <w:rPr>
                <w:sz w:val="1"/>
                <w:szCs w:val="1"/>
                <w:color w:val="auto"/>
              </w:rPr>
            </w:pPr>
          </w:p>
        </w:tc>
      </w:tr>
      <w:tr>
        <w:trPr>
          <w:trHeight w:val="45"/>
        </w:trPr>
        <w:tc>
          <w:tcPr>
            <w:tcW w:w="428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4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5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42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Ravi Venkatesan</w:t>
            </w:r>
          </w:p>
        </w:tc>
        <w:tc>
          <w:tcPr>
            <w:tcW w:w="100" w:type="dxa"/>
            <w:vAlign w:val="bottom"/>
            <w:vMerge w:val="continue"/>
          </w:tcPr>
          <w:p>
            <w:pPr>
              <w:spacing w:after="0"/>
              <w:rPr>
                <w:sz w:val="14"/>
                <w:szCs w:val="14"/>
                <w:color w:val="auto"/>
              </w:rPr>
            </w:pPr>
          </w:p>
        </w:tc>
        <w:tc>
          <w:tcPr>
            <w:tcW w:w="4300" w:type="dxa"/>
            <w:vAlign w:val="bottom"/>
            <w:gridSpan w:val="2"/>
            <w:vMerge w:val="continue"/>
          </w:tcPr>
          <w:p>
            <w:pPr>
              <w:spacing w:after="0"/>
              <w:rPr>
                <w:sz w:val="14"/>
                <w:szCs w:val="14"/>
                <w:color w:val="auto"/>
              </w:rPr>
            </w:pPr>
          </w:p>
        </w:tc>
        <w:tc>
          <w:tcPr>
            <w:tcW w:w="2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42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4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6"/>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Scott Stewart</w:t>
            </w:r>
          </w:p>
        </w:tc>
        <w:tc>
          <w:tcPr>
            <w:tcW w:w="100" w:type="dxa"/>
            <w:vAlign w:val="bottom"/>
          </w:tcPr>
          <w:p>
            <w:pPr>
              <w:spacing w:after="0"/>
              <w:rPr>
                <w:sz w:val="24"/>
                <w:szCs w:val="24"/>
                <w:color w:val="auto"/>
              </w:rPr>
            </w:pPr>
          </w:p>
        </w:tc>
        <w:tc>
          <w:tcPr>
            <w:tcW w:w="4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2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September 10, 2024</w:t>
            </w:r>
          </w:p>
        </w:tc>
        <w:tc>
          <w:tcPr>
            <w:tcW w:w="0" w:type="dxa"/>
            <w:vAlign w:val="bottom"/>
          </w:tcPr>
          <w:p>
            <w:pPr>
              <w:spacing w:after="0"/>
              <w:rPr>
                <w:sz w:val="1"/>
                <w:szCs w:val="1"/>
                <w:color w:val="auto"/>
              </w:rPr>
            </w:pPr>
          </w:p>
        </w:tc>
      </w:tr>
      <w:tr>
        <w:trPr>
          <w:trHeight w:val="45"/>
        </w:trPr>
        <w:tc>
          <w:tcPr>
            <w:tcW w:w="428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4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25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42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Scott Stewart</w:t>
            </w:r>
          </w:p>
        </w:tc>
        <w:tc>
          <w:tcPr>
            <w:tcW w:w="100" w:type="dxa"/>
            <w:vAlign w:val="bottom"/>
            <w:vMerge w:val="continue"/>
          </w:tcPr>
          <w:p>
            <w:pPr>
              <w:spacing w:after="0"/>
              <w:rPr>
                <w:sz w:val="14"/>
                <w:szCs w:val="14"/>
                <w:color w:val="auto"/>
              </w:rPr>
            </w:pPr>
          </w:p>
        </w:tc>
        <w:tc>
          <w:tcPr>
            <w:tcW w:w="4300" w:type="dxa"/>
            <w:vAlign w:val="bottom"/>
            <w:gridSpan w:val="2"/>
            <w:vMerge w:val="continue"/>
          </w:tcPr>
          <w:p>
            <w:pPr>
              <w:spacing w:after="0"/>
              <w:rPr>
                <w:sz w:val="14"/>
                <w:szCs w:val="14"/>
                <w:color w:val="auto"/>
              </w:rPr>
            </w:pPr>
          </w:p>
        </w:tc>
        <w:tc>
          <w:tcPr>
            <w:tcW w:w="2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42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4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6"/>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Jared Grachek</w:t>
            </w:r>
          </w:p>
        </w:tc>
        <w:tc>
          <w:tcPr>
            <w:tcW w:w="100" w:type="dxa"/>
            <w:vAlign w:val="bottom"/>
          </w:tcPr>
          <w:p>
            <w:pPr>
              <w:spacing w:after="0"/>
              <w:rPr>
                <w:sz w:val="24"/>
                <w:szCs w:val="24"/>
                <w:color w:val="auto"/>
              </w:rPr>
            </w:pPr>
          </w:p>
        </w:tc>
        <w:tc>
          <w:tcPr>
            <w:tcW w:w="4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Accounting Officer</w:t>
            </w:r>
          </w:p>
        </w:tc>
        <w:tc>
          <w:tcPr>
            <w:tcW w:w="2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September 10, 2024</w:t>
            </w:r>
          </w:p>
        </w:tc>
        <w:tc>
          <w:tcPr>
            <w:tcW w:w="0" w:type="dxa"/>
            <w:vAlign w:val="bottom"/>
          </w:tcPr>
          <w:p>
            <w:pPr>
              <w:spacing w:after="0"/>
              <w:rPr>
                <w:sz w:val="1"/>
                <w:szCs w:val="1"/>
                <w:color w:val="auto"/>
              </w:rPr>
            </w:pPr>
          </w:p>
        </w:tc>
      </w:tr>
      <w:tr>
        <w:trPr>
          <w:trHeight w:val="45"/>
        </w:trPr>
        <w:tc>
          <w:tcPr>
            <w:tcW w:w="428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4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25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42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Jared Grachek</w:t>
            </w:r>
          </w:p>
        </w:tc>
        <w:tc>
          <w:tcPr>
            <w:tcW w:w="100" w:type="dxa"/>
            <w:vAlign w:val="bottom"/>
            <w:vMerge w:val="continue"/>
          </w:tcPr>
          <w:p>
            <w:pPr>
              <w:spacing w:after="0"/>
              <w:rPr>
                <w:sz w:val="14"/>
                <w:szCs w:val="14"/>
                <w:color w:val="auto"/>
              </w:rPr>
            </w:pPr>
          </w:p>
        </w:tc>
        <w:tc>
          <w:tcPr>
            <w:tcW w:w="4300" w:type="dxa"/>
            <w:vAlign w:val="bottom"/>
            <w:gridSpan w:val="2"/>
            <w:vMerge w:val="continue"/>
          </w:tcPr>
          <w:p>
            <w:pPr>
              <w:spacing w:after="0"/>
              <w:rPr>
                <w:sz w:val="14"/>
                <w:szCs w:val="14"/>
                <w:color w:val="auto"/>
              </w:rPr>
            </w:pPr>
          </w:p>
        </w:tc>
        <w:tc>
          <w:tcPr>
            <w:tcW w:w="2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42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4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4"/>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Lisa P. Baird</w:t>
            </w:r>
          </w:p>
        </w:tc>
        <w:tc>
          <w:tcPr>
            <w:tcW w:w="100" w:type="dxa"/>
            <w:vAlign w:val="bottom"/>
          </w:tcPr>
          <w:p>
            <w:pPr>
              <w:spacing w:after="0"/>
              <w:rPr>
                <w:sz w:val="24"/>
                <w:szCs w:val="24"/>
                <w:color w:val="auto"/>
              </w:rPr>
            </w:pPr>
          </w:p>
        </w:tc>
        <w:tc>
          <w:tcPr>
            <w:tcW w:w="4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September 10, 2024</w:t>
            </w:r>
          </w:p>
        </w:tc>
        <w:tc>
          <w:tcPr>
            <w:tcW w:w="0" w:type="dxa"/>
            <w:vAlign w:val="bottom"/>
          </w:tcPr>
          <w:p>
            <w:pPr>
              <w:spacing w:after="0"/>
              <w:rPr>
                <w:sz w:val="1"/>
                <w:szCs w:val="1"/>
                <w:color w:val="auto"/>
              </w:rPr>
            </w:pPr>
          </w:p>
        </w:tc>
      </w:tr>
      <w:tr>
        <w:trPr>
          <w:trHeight w:val="27"/>
        </w:trPr>
        <w:tc>
          <w:tcPr>
            <w:tcW w:w="4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Lisa P. Baird</w:t>
            </w:r>
          </w:p>
        </w:tc>
        <w:tc>
          <w:tcPr>
            <w:tcW w:w="10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Douglas G. Bergeron</w:t>
            </w:r>
          </w:p>
        </w:tc>
        <w:tc>
          <w:tcPr>
            <w:tcW w:w="100" w:type="dxa"/>
            <w:vAlign w:val="bottom"/>
          </w:tcPr>
          <w:p>
            <w:pPr>
              <w:spacing w:after="0"/>
              <w:rPr>
                <w:sz w:val="24"/>
                <w:szCs w:val="24"/>
                <w:color w:val="auto"/>
              </w:rPr>
            </w:pPr>
          </w:p>
        </w:tc>
        <w:tc>
          <w:tcPr>
            <w:tcW w:w="4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Chairman of the Board of Directors</w:t>
            </w:r>
          </w:p>
        </w:tc>
        <w:tc>
          <w:tcPr>
            <w:tcW w:w="2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September 10, 2024</w:t>
            </w:r>
          </w:p>
        </w:tc>
        <w:tc>
          <w:tcPr>
            <w:tcW w:w="0" w:type="dxa"/>
            <w:vAlign w:val="bottom"/>
          </w:tcPr>
          <w:p>
            <w:pPr>
              <w:spacing w:after="0"/>
              <w:rPr>
                <w:sz w:val="1"/>
                <w:szCs w:val="1"/>
                <w:color w:val="auto"/>
              </w:rPr>
            </w:pPr>
          </w:p>
        </w:tc>
      </w:tr>
      <w:tr>
        <w:trPr>
          <w:trHeight w:val="27"/>
        </w:trPr>
        <w:tc>
          <w:tcPr>
            <w:tcW w:w="4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Douglas G. Bergeron</w:t>
            </w:r>
          </w:p>
        </w:tc>
        <w:tc>
          <w:tcPr>
            <w:tcW w:w="10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Ian Harris</w:t>
            </w:r>
          </w:p>
        </w:tc>
        <w:tc>
          <w:tcPr>
            <w:tcW w:w="100" w:type="dxa"/>
            <w:vAlign w:val="bottom"/>
          </w:tcPr>
          <w:p>
            <w:pPr>
              <w:spacing w:after="0"/>
              <w:rPr>
                <w:sz w:val="24"/>
                <w:szCs w:val="24"/>
                <w:color w:val="auto"/>
              </w:rPr>
            </w:pPr>
          </w:p>
        </w:tc>
        <w:tc>
          <w:tcPr>
            <w:tcW w:w="4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September 10, 2024</w:t>
            </w:r>
          </w:p>
        </w:tc>
        <w:tc>
          <w:tcPr>
            <w:tcW w:w="0" w:type="dxa"/>
            <w:vAlign w:val="bottom"/>
          </w:tcPr>
          <w:p>
            <w:pPr>
              <w:spacing w:after="0"/>
              <w:rPr>
                <w:sz w:val="1"/>
                <w:szCs w:val="1"/>
                <w:color w:val="auto"/>
              </w:rPr>
            </w:pPr>
          </w:p>
        </w:tc>
      </w:tr>
      <w:tr>
        <w:trPr>
          <w:trHeight w:val="27"/>
        </w:trPr>
        <w:tc>
          <w:tcPr>
            <w:tcW w:w="4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Ian Harris</w:t>
            </w:r>
          </w:p>
        </w:tc>
        <w:tc>
          <w:tcPr>
            <w:tcW w:w="10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Jacob Lamm</w:t>
            </w:r>
          </w:p>
        </w:tc>
        <w:tc>
          <w:tcPr>
            <w:tcW w:w="100" w:type="dxa"/>
            <w:vAlign w:val="bottom"/>
          </w:tcPr>
          <w:p>
            <w:pPr>
              <w:spacing w:after="0"/>
              <w:rPr>
                <w:sz w:val="24"/>
                <w:szCs w:val="24"/>
                <w:color w:val="auto"/>
              </w:rPr>
            </w:pPr>
          </w:p>
        </w:tc>
        <w:tc>
          <w:tcPr>
            <w:tcW w:w="4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September 10, 2024</w:t>
            </w:r>
          </w:p>
        </w:tc>
        <w:tc>
          <w:tcPr>
            <w:tcW w:w="0" w:type="dxa"/>
            <w:vAlign w:val="bottom"/>
          </w:tcPr>
          <w:p>
            <w:pPr>
              <w:spacing w:after="0"/>
              <w:rPr>
                <w:sz w:val="1"/>
                <w:szCs w:val="1"/>
                <w:color w:val="auto"/>
              </w:rPr>
            </w:pPr>
          </w:p>
        </w:tc>
      </w:tr>
      <w:tr>
        <w:trPr>
          <w:trHeight w:val="27"/>
        </w:trPr>
        <w:tc>
          <w:tcPr>
            <w:tcW w:w="4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Jacob Lamm</w:t>
            </w:r>
          </w:p>
        </w:tc>
        <w:tc>
          <w:tcPr>
            <w:tcW w:w="10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Michael K. Passilla</w:t>
            </w:r>
          </w:p>
        </w:tc>
        <w:tc>
          <w:tcPr>
            <w:tcW w:w="100" w:type="dxa"/>
            <w:vAlign w:val="bottom"/>
          </w:tcPr>
          <w:p>
            <w:pPr>
              <w:spacing w:after="0"/>
              <w:rPr>
                <w:sz w:val="24"/>
                <w:szCs w:val="24"/>
                <w:color w:val="auto"/>
              </w:rPr>
            </w:pPr>
          </w:p>
        </w:tc>
        <w:tc>
          <w:tcPr>
            <w:tcW w:w="4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September 10, 2024</w:t>
            </w:r>
          </w:p>
        </w:tc>
        <w:tc>
          <w:tcPr>
            <w:tcW w:w="0" w:type="dxa"/>
            <w:vAlign w:val="bottom"/>
          </w:tcPr>
          <w:p>
            <w:pPr>
              <w:spacing w:after="0"/>
              <w:rPr>
                <w:sz w:val="1"/>
                <w:szCs w:val="1"/>
                <w:color w:val="auto"/>
              </w:rPr>
            </w:pPr>
          </w:p>
        </w:tc>
      </w:tr>
      <w:tr>
        <w:trPr>
          <w:trHeight w:val="27"/>
        </w:trPr>
        <w:tc>
          <w:tcPr>
            <w:tcW w:w="4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K. Passilla</w:t>
            </w:r>
          </w:p>
        </w:tc>
        <w:tc>
          <w:tcPr>
            <w:tcW w:w="10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Ellen Richey</w:t>
            </w:r>
          </w:p>
        </w:tc>
        <w:tc>
          <w:tcPr>
            <w:tcW w:w="100" w:type="dxa"/>
            <w:vAlign w:val="bottom"/>
          </w:tcPr>
          <w:p>
            <w:pPr>
              <w:spacing w:after="0"/>
              <w:rPr>
                <w:sz w:val="24"/>
                <w:szCs w:val="24"/>
                <w:color w:val="auto"/>
              </w:rPr>
            </w:pPr>
          </w:p>
        </w:tc>
        <w:tc>
          <w:tcPr>
            <w:tcW w:w="4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September 10, 2024</w:t>
            </w:r>
          </w:p>
        </w:tc>
        <w:tc>
          <w:tcPr>
            <w:tcW w:w="0" w:type="dxa"/>
            <w:vAlign w:val="bottom"/>
          </w:tcPr>
          <w:p>
            <w:pPr>
              <w:spacing w:after="0"/>
              <w:rPr>
                <w:sz w:val="1"/>
                <w:szCs w:val="1"/>
                <w:color w:val="auto"/>
              </w:rPr>
            </w:pPr>
          </w:p>
        </w:tc>
      </w:tr>
      <w:tr>
        <w:trPr>
          <w:trHeight w:val="27"/>
        </w:trPr>
        <w:tc>
          <w:tcPr>
            <w:tcW w:w="4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Ellen Richey</w:t>
            </w:r>
          </w:p>
        </w:tc>
        <w:tc>
          <w:tcPr>
            <w:tcW w:w="10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Anne M. Smalling</w:t>
            </w:r>
          </w:p>
        </w:tc>
        <w:tc>
          <w:tcPr>
            <w:tcW w:w="100" w:type="dxa"/>
            <w:vAlign w:val="bottom"/>
          </w:tcPr>
          <w:p>
            <w:pPr>
              <w:spacing w:after="0"/>
              <w:rPr>
                <w:sz w:val="24"/>
                <w:szCs w:val="24"/>
                <w:color w:val="auto"/>
              </w:rPr>
            </w:pPr>
          </w:p>
        </w:tc>
        <w:tc>
          <w:tcPr>
            <w:tcW w:w="4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September 10, 2024</w:t>
            </w:r>
          </w:p>
        </w:tc>
        <w:tc>
          <w:tcPr>
            <w:tcW w:w="0" w:type="dxa"/>
            <w:vAlign w:val="bottom"/>
          </w:tcPr>
          <w:p>
            <w:pPr>
              <w:spacing w:after="0"/>
              <w:rPr>
                <w:sz w:val="1"/>
                <w:szCs w:val="1"/>
                <w:color w:val="auto"/>
              </w:rPr>
            </w:pPr>
          </w:p>
        </w:tc>
      </w:tr>
      <w:tr>
        <w:trPr>
          <w:trHeight w:val="27"/>
        </w:trPr>
        <w:tc>
          <w:tcPr>
            <w:tcW w:w="4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Anne M. Smalling</w:t>
            </w:r>
          </w:p>
        </w:tc>
        <w:tc>
          <w:tcPr>
            <w:tcW w:w="10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Shannon S. Warren</w:t>
            </w:r>
          </w:p>
        </w:tc>
        <w:tc>
          <w:tcPr>
            <w:tcW w:w="100" w:type="dxa"/>
            <w:vAlign w:val="bottom"/>
          </w:tcPr>
          <w:p>
            <w:pPr>
              <w:spacing w:after="0"/>
              <w:rPr>
                <w:sz w:val="24"/>
                <w:szCs w:val="24"/>
                <w:color w:val="auto"/>
              </w:rPr>
            </w:pPr>
          </w:p>
        </w:tc>
        <w:tc>
          <w:tcPr>
            <w:tcW w:w="4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September 10, 2024</w:t>
            </w:r>
          </w:p>
        </w:tc>
        <w:tc>
          <w:tcPr>
            <w:tcW w:w="0" w:type="dxa"/>
            <w:vAlign w:val="bottom"/>
          </w:tcPr>
          <w:p>
            <w:pPr>
              <w:spacing w:after="0"/>
              <w:rPr>
                <w:sz w:val="1"/>
                <w:szCs w:val="1"/>
                <w:color w:val="auto"/>
              </w:rPr>
            </w:pPr>
          </w:p>
        </w:tc>
      </w:tr>
      <w:tr>
        <w:trPr>
          <w:trHeight w:val="27"/>
        </w:trPr>
        <w:tc>
          <w:tcPr>
            <w:tcW w:w="4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Shannon S. Warren</w:t>
            </w:r>
          </w:p>
        </w:tc>
        <w:tc>
          <w:tcPr>
            <w:tcW w:w="10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240"/>
          </w:cols>
          <w:pgMar w:left="320" w:top="1103" w:right="33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20"/>
          <w:szCs w:val="20"/>
          <w:b w:val="1"/>
          <w:bCs w:val="1"/>
          <w:color w:val="auto"/>
        </w:rPr>
        <w:t>Exhibit 4.1</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DESCRIPTION OF SECURITIES REGISTERED PURSUANT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SECTION 12 OF SECURITIES EXCHANGE ACT OF 1934</w:t>
      </w:r>
    </w:p>
    <w:p>
      <w:pPr>
        <w:spacing w:after="0" w:line="268"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0"/>
          <w:szCs w:val="20"/>
          <w:color w:val="auto"/>
        </w:rPr>
        <w:t>As of June 30, 2023, Cantaloupe, Inc. has two classes of securities registered under Section 12 of the Securities Exchange Act of 1934, as amended (the “Exchange Act”): (1) our Common Stock; (2) our Preferred Stock.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Authorized Capital Shares</w:t>
      </w:r>
    </w:p>
    <w:p>
      <w:pPr>
        <w:spacing w:after="0" w:line="274"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20"/>
          <w:szCs w:val="20"/>
          <w:color w:val="auto"/>
        </w:rPr>
        <w:t>Our authorized capital shares consist of 640,000,000 shares of common stock, no par value (“Common Stock”), and 1,800,000 shares of undesignated preferred stock. As of the date hereof, 900,000 preferred shares have been designated as series A convertible preferred stock, no par value (“Preferred Stock”). The outstanding shares of our Common Stock are fully paid and nonassessable.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Description of Common Stock</w:t>
      </w:r>
    </w:p>
    <w:p>
      <w:pPr>
        <w:spacing w:after="0" w:line="274" w:lineRule="exact"/>
        <w:rPr>
          <w:sz w:val="20"/>
          <w:szCs w:val="20"/>
          <w:color w:val="auto"/>
        </w:rPr>
      </w:pPr>
    </w:p>
    <w:p>
      <w:pPr>
        <w:ind w:right="300"/>
        <w:spacing w:after="0" w:line="277" w:lineRule="auto"/>
        <w:rPr>
          <w:sz w:val="20"/>
          <w:szCs w:val="20"/>
          <w:color w:val="auto"/>
        </w:rPr>
      </w:pPr>
      <w:r>
        <w:rPr>
          <w:rFonts w:ascii="Times New Roman" w:cs="Times New Roman" w:eastAsia="Times New Roman" w:hAnsi="Times New Roman"/>
          <w:sz w:val="20"/>
          <w:szCs w:val="20"/>
          <w:color w:val="auto"/>
        </w:rPr>
        <w:t>The following description of our Common Stock sets forth certain general terms and provisions of our Common Stock to which any prospectus supplement may relate, including a prospectus supplement providing that Common Stock will be issuable upon conversion or exchange of our debt securities or Preferred Stock or upon the exercise of warrants or rights to purchase our Common Stock. All shares of our Common Stock covered by this prospectus will be duly authorized, fully paid and nonassessable</w:t>
      </w:r>
      <w:r>
        <w:rPr>
          <w:rFonts w:ascii="Times New Roman" w:cs="Times New Roman" w:eastAsia="Times New Roman" w:hAnsi="Times New Roman"/>
          <w:sz w:val="20"/>
          <w:szCs w:val="20"/>
          <w:b w:val="1"/>
          <w:bCs w:val="1"/>
          <w:color w:val="auto"/>
        </w:rPr>
        <w: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Voting Rights</w:t>
      </w:r>
    </w:p>
    <w:p>
      <w:pPr>
        <w:spacing w:after="0" w:line="274"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0"/>
          <w:szCs w:val="20"/>
          <w:color w:val="auto"/>
        </w:rPr>
        <w:t>The holder of each share of Common Stock is entitled to one vote on all matters submitted to a vote of the shareholders, including the election of directors. There is no cumulative voting for directors.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Dividend Rights</w:t>
      </w:r>
    </w:p>
    <w:p>
      <w:pPr>
        <w:spacing w:after="0" w:line="27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20"/>
          <w:szCs w:val="20"/>
          <w:color w:val="auto"/>
        </w:rPr>
        <w:t>No dividend may be paid on the Common Stock until all accumulated and unpaid dividends on the Preferred Stock have been paid. Each holder of our Common Stock is entitled to receive such dividends as the Board of Directors may from time to time declare out of funds legally available for payment of dividends.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Liquidation Rights</w:t>
      </w:r>
    </w:p>
    <w:p>
      <w:pPr>
        <w:spacing w:after="0" w:line="27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0"/>
          <w:szCs w:val="20"/>
          <w:color w:val="auto"/>
        </w:rPr>
        <w:t xml:space="preserve">Subject to any preferential rights of outstanding shares of Preferred Stock, holders of Common Stock will share ratably in all assets legally available for distribution to our shareholders in the event of dissolution. Upon any liquidation, dissolution or winding up of the Company, holders of our Common Stock are entitled to receive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all of the assets of the Company available for distribution, subject to the liquidation preference of the Preferred Stock of $10 per share, and any unpaid and accumulated dividends on the Preferred Stock.</w:t>
      </w:r>
    </w:p>
    <w:p>
      <w:pPr>
        <w:sectPr>
          <w:pgSz w:w="11900" w:h="16838" w:orient="portrait"/>
          <w:cols w:equalWidth="0" w:num="1">
            <w:col w:w="11240"/>
          </w:cols>
          <w:pgMar w:left="320" w:top="1422"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20"/>
          <w:szCs w:val="20"/>
          <w:b w:val="1"/>
          <w:bCs w:val="1"/>
          <w:color w:val="auto"/>
        </w:rPr>
        <w:t>Other Rights and Preferences</w:t>
      </w:r>
    </w:p>
    <w:p>
      <w:pPr>
        <w:spacing w:after="0" w:line="274"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0"/>
          <w:szCs w:val="20"/>
          <w:color w:val="auto"/>
        </w:rPr>
        <w:t>Our Common Stock has no sinking fund or redemption provisions or preemptive, conversion or exchange rights. Holders of our Common Stock may act by unanimous written consent.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Listing</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Common Stock is quoted on the Nasdaq Global Select Market under the trading symbol, “CLTP”.</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Description of Preferred Stock</w:t>
      </w:r>
    </w:p>
    <w:p>
      <w:pPr>
        <w:spacing w:after="0" w:line="274"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9"/>
          <w:szCs w:val="19"/>
          <w:color w:val="auto"/>
        </w:rPr>
        <w:t>Our charter authorizes our board of directors to classify any unissued shares of Preferred Stock and to reclassify any previously classified but unissued shares of any series. Prior to issuance of shares of each series, our board of directors is required by the PBCL and our charter to set the preferences, voting powers, designations, restrictions, limitations and relative rights for each such series. Thus, our board of directors could authorize the issuance of shares of Preferred Stock with terms and conditions that could have the effect of delaying, deferring or preventing a transaction or a change of control of our company that might involve a premium price for holders of our Common Stock or that stockholders believe may be in their best interests. As of the date hereof, 445,063 shares of our Series A Preferred Stock are outstanding. Our Preferred Stock will, when issued, be fully paid and nonassessable and will not have, or be subject to, any preemptive or similar rights.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Voting Rights</w:t>
      </w:r>
    </w:p>
    <w:p>
      <w:pPr>
        <w:spacing w:after="0" w:line="27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0"/>
          <w:szCs w:val="20"/>
          <w:color w:val="auto"/>
        </w:rPr>
        <w:t>The holders of our Preferred Stock have the number of votes per share equal to the number of shares of Common Stock into which each such share is convertible, and are entitled to vote on all matters submitted to the vote of the shareholders of the Company, including the election of directors.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Dividend Rights</w:t>
      </w:r>
    </w:p>
    <w:p>
      <w:pPr>
        <w:spacing w:after="0" w:line="27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color w:val="auto"/>
        </w:rPr>
        <w:t>The holders of our Preferred Stock are entitled to an annual cumulative cash dividend of $1.50 per annum, payable when, as and if declared by the Board of Directors. No dividend may be paid on the Common Stock until all accumulated and unpaid dividends on the Preferred Stock have been paid. The record dates for payment of dividends on the Preferred Stock are February 1 ($0.75) and August 1 ($0.75) of each year. Any and all accumulated and unpaid cash dividends on the Preferred Stock must be declared and paid prior to the declaration and payment of any dividends on the Common Stock. Any unpaid and accumulated dividends will not bear interest.</w:t>
      </w:r>
    </w:p>
    <w:p>
      <w:pPr>
        <w:sectPr>
          <w:pgSz w:w="11900" w:h="16838" w:orient="portrait"/>
          <w:cols w:equalWidth="0" w:num="1">
            <w:col w:w="11240"/>
          </w:cols>
          <w:pgMar w:left="320" w:top="1422"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20"/>
          <w:szCs w:val="20"/>
          <w:b w:val="1"/>
          <w:bCs w:val="1"/>
          <w:color w:val="auto"/>
        </w:rPr>
        <w:t>Liquidation Rights</w:t>
      </w:r>
    </w:p>
    <w:p>
      <w:pPr>
        <w:spacing w:after="0" w:line="27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0"/>
          <w:szCs w:val="20"/>
          <w:color w:val="auto"/>
        </w:rPr>
        <w:t>Upon any liquidation, dissolution, or winding-up of the Company, the holders of our Preferred Stock are entitled to receive a distribution in preference to the Common Stock in the amount of $10 per share plus any accumulated and unpaid dividends. As more fully described in our Articles of Incorporation, the holders of at least 60% of the outstanding shares of our Preferred Stock could elect to treat the occurrence of any of the following events as a liquidation: (i) consolidation or merger of the Company with another corporation; (ii) sale of substantially all of the Company’s assets, or (iii) disposition by the Company of more than 50% of voting power of the Company.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Other Rights and Preferences</w:t>
      </w:r>
    </w:p>
    <w:p>
      <w:pPr>
        <w:spacing w:after="0" w:line="27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0"/>
          <w:szCs w:val="20"/>
          <w:color w:val="auto"/>
        </w:rPr>
        <w:t>Shares of our Preferred Stock are convertible at any time into shares of fully issued and non-assessable Common Stock as provided in our Articles of Incorporation. Accrued and unpaid dividends earned on shares of Preferred Stock being converted into Common Stock are also convertible into Common Stock at the rate of $1,000 per share of Common Stock at the time of conversion, and whether or not such dividends have then been declared by the Company.</w:t>
      </w:r>
    </w:p>
    <w:p>
      <w:pPr>
        <w:spacing w:after="0" w:line="20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0"/>
          <w:szCs w:val="20"/>
          <w:color w:val="auto"/>
        </w:rPr>
        <w:t>We have the right, at any time, to redeem all or any part of the issued and outstanding Preferred Stock for the sum of $11 per share plus any and all unpaid and accumulated dividends thereon. Upon notice by the Company of such call, the holders of the Preferred Stock so called will have the opportunity to convert their shares and any unpaid and accumulated dividends thereon into shares of Common Stock. There is no restriction on our right to repurchase or redeem our Common Stock while there is an arrearage in the payment of dividends to the holders of our Preferred Stock.</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Listing</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Preferred Stock is quoted on the OTC Markets' Pink Open Market under the trading symbol, “CLTPP”.</w:t>
      </w:r>
    </w:p>
    <w:p>
      <w:pPr>
        <w:sectPr>
          <w:pgSz w:w="11900" w:h="16838" w:orient="portrait"/>
          <w:cols w:equalWidth="0" w:num="1">
            <w:col w:w="11240"/>
          </w:cols>
          <w:pgMar w:left="320" w:top="1422" w:right="33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22"/>
          <w:szCs w:val="22"/>
          <w:b w:val="1"/>
          <w:bCs w:val="1"/>
          <w:color w:val="auto"/>
        </w:rPr>
        <w:t>Exhibit 10.9.3</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CANTALOUPE, INC.</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2018 EQUITY INCENTIVE PLAN</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NOTICE OF NON-QUALIFIED STOCK OPTION GRANT AND</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NON-QUALIFIED STOCK OPTION AGREEMENT</w:t>
      </w:r>
    </w:p>
    <w:p>
      <w:pPr>
        <w:spacing w:after="0" w:line="223" w:lineRule="exact"/>
        <w:rPr>
          <w:sz w:val="20"/>
          <w:szCs w:val="20"/>
          <w:color w:val="auto"/>
        </w:rPr>
      </w:pPr>
    </w:p>
    <w:p>
      <w:pPr>
        <w:jc w:val="both"/>
        <w:ind w:firstLine="321"/>
        <w:spacing w:after="0" w:line="250" w:lineRule="auto"/>
        <w:rPr>
          <w:sz w:val="20"/>
          <w:szCs w:val="20"/>
          <w:color w:val="auto"/>
        </w:rPr>
      </w:pPr>
      <w:r>
        <w:rPr>
          <w:rFonts w:ascii="Times New Roman" w:cs="Times New Roman" w:eastAsia="Times New Roman" w:hAnsi="Times New Roman"/>
          <w:sz w:val="22"/>
          <w:szCs w:val="22"/>
          <w:color w:val="auto"/>
        </w:rPr>
        <w:t>Cantaloupe, Inc., a Pennsylvania corporation, f/k/a USA Technologies, Inc. (the “Company”), pursuant to its 2018 Equity Incentive Plan (as amended from time to time, the “Plan”) hereby grants to the holder listed below (the “Participant”) a non-qualified stock option (the “Option”) to purchase the number of shares of common stock, no par value, of the Company (the “Shares”) set forth below. The Option is subject to the terms and conditions set forth herein, including in the Notice of Non-Qualified Stock Option Grant attached at the end of this document (the “Notice”) and the following Non-Qualified Stock Option Agreement (together with the Notice, the “Agreement”), and in the Plan, each of which is incorporated herein by reference. Capitalized terms used but not defined in this document shall have the meanings given to them in the Plan.</w:t>
      </w:r>
    </w:p>
    <w:p>
      <w:pPr>
        <w:spacing w:after="0" w:line="207" w:lineRule="exact"/>
        <w:rPr>
          <w:sz w:val="20"/>
          <w:szCs w:val="20"/>
          <w:color w:val="auto"/>
        </w:rPr>
      </w:pPr>
    </w:p>
    <w:p>
      <w:pPr>
        <w:jc w:val="both"/>
        <w:ind w:firstLine="250"/>
        <w:spacing w:after="0" w:line="251" w:lineRule="auto"/>
        <w:rPr>
          <w:sz w:val="20"/>
          <w:szCs w:val="20"/>
          <w:color w:val="auto"/>
        </w:rPr>
      </w:pPr>
      <w:r>
        <w:rPr>
          <w:rFonts w:ascii="Times New Roman" w:cs="Times New Roman" w:eastAsia="Times New Roman" w:hAnsi="Times New Roman"/>
          <w:sz w:val="22"/>
          <w:szCs w:val="22"/>
          <w:color w:val="auto"/>
        </w:rPr>
        <w:t>By Participant’s electronic acceptance on this site, Participant agrees to be bound by the terms and conditions of the Plan and the Agreement (including, without limitation, the Notice). Participant has reviewed the Plan and the Agreement (including, without limitation, the Notice) in their entirety, has had an opportunity to obtain the advice of counsel prior to executing the Agreement, and fully understands all provisions of the Plan and the Agreement (including, without limitation, the Notice). Participant hereby accepts as binding, conclusive, and final all decisions or interpretations of the Committee upon any questions arising under the Plan or the Agreement (including, without limitation, the Notice).</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Your detailed award information can be found in the Notice, which is attached at the end of this document</w:t>
      </w:r>
      <w:r>
        <w:rPr>
          <w:rFonts w:ascii="Times New Roman" w:cs="Times New Roman" w:eastAsia="Times New Roman" w:hAnsi="Times New Roman"/>
          <w:sz w:val="22"/>
          <w:szCs w:val="22"/>
          <w:color w:val="auto"/>
        </w:rPr>
        <w:t>.</w:t>
      </w:r>
    </w:p>
    <w:p>
      <w:pPr>
        <w:sectPr>
          <w:pgSz w:w="11900" w:h="16838" w:orient="portrait"/>
          <w:cols w:equalWidth="0" w:num="1">
            <w:col w:w="11240"/>
          </w:cols>
          <w:pgMar w:left="320" w:top="1418" w:right="33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22"/>
          <w:szCs w:val="22"/>
          <w:b w:val="1"/>
          <w:bCs w:val="1"/>
          <w:color w:val="auto"/>
        </w:rPr>
        <w:t>CANTALOUPE, INC.</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NON-QUALIFIED STOCK OPTION AGREEMENT</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2018 EQUITY INCENTIVE PLAN</w:t>
      </w:r>
    </w:p>
    <w:p>
      <w:pPr>
        <w:spacing w:after="0" w:line="33"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This Non-Qualified Stock Option Agreement (together with the Notice of Non-Qualified Stock Option Grant (“Notice”) attached hereto , the “Agreement”) made as of the Grant Date set forth in the Notice, by and between the Participant set forth in the Notice (the “Original Grantee,” or together with any permitted assignee or transferee of this option under Section 9 hereof, the “Grantee”) and CANTALOUPE, INC., a Pennsylvania corporation, f/k/a USA Technologies, Inc. (the “Company”).</w:t>
      </w: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BACKGROUND</w:t>
      </w:r>
    </w:p>
    <w:p>
      <w:pPr>
        <w:spacing w:after="0" w:line="5" w:lineRule="exact"/>
        <w:rPr>
          <w:sz w:val="20"/>
          <w:szCs w:val="20"/>
          <w:color w:val="auto"/>
        </w:rPr>
      </w:pPr>
    </w:p>
    <w:p>
      <w:pPr>
        <w:jc w:val="both"/>
        <w:ind w:firstLine="238"/>
        <w:spacing w:after="0" w:line="246" w:lineRule="auto"/>
        <w:rPr>
          <w:sz w:val="20"/>
          <w:szCs w:val="20"/>
          <w:color w:val="auto"/>
        </w:rPr>
      </w:pPr>
      <w:r>
        <w:rPr>
          <w:rFonts w:ascii="Times New Roman" w:cs="Times New Roman" w:eastAsia="Times New Roman" w:hAnsi="Times New Roman"/>
          <w:sz w:val="22"/>
          <w:szCs w:val="22"/>
          <w:color w:val="auto"/>
        </w:rPr>
        <w:t>Original Grantee is providing services to the Company. The Company’s 2018 Equity Incentive Plan (as amended from time to time, the “Plan”) provides for Awards based upon the Common Stock of the Company. The Company has determined to make an award to Original Grantee of an Option to purchase Shares, as further set forth below. Capitalized terms used but not defined herein shall have the meanings given to such terms in the Plan.</w:t>
      </w: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AGREEMENT</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NOW, THEREFORE, in consideration of the covenants set forth herein, and intending to be legally bound hereby, the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Company and Original Grantee agree as follows:</w:t>
      </w:r>
    </w:p>
    <w:p>
      <w:pPr>
        <w:spacing w:after="0" w:line="15" w:lineRule="exact"/>
        <w:rPr>
          <w:sz w:val="20"/>
          <w:szCs w:val="20"/>
          <w:color w:val="auto"/>
        </w:rPr>
      </w:pPr>
    </w:p>
    <w:p>
      <w:pPr>
        <w:jc w:val="both"/>
        <w:ind w:firstLine="8"/>
        <w:spacing w:after="0" w:line="245" w:lineRule="auto"/>
        <w:tabs>
          <w:tab w:leader="none" w:pos="216"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Grant of Option</w:t>
      </w:r>
      <w:r>
        <w:rPr>
          <w:rFonts w:ascii="Times New Roman" w:cs="Times New Roman" w:eastAsia="Times New Roman" w:hAnsi="Times New Roman"/>
          <w:sz w:val="22"/>
          <w:szCs w:val="22"/>
          <w:color w:val="auto"/>
        </w:rPr>
        <w:t>. Subject to the terms hereof, the Company hereby grants to the Original Grantee an Option to purchase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number of Shares set forth in the Notice, at an exercise price per Share set forth in the Notice, pursuant to the Plan. The Option is not currently vested or exercisable and is subject to vesting and forfeiture as more fully described in Section 2 below. The number of Shares subject to, and the exercise price of, the Option shall be subject to adjustment as provided in the Plan.</w:t>
      </w:r>
    </w:p>
    <w:p>
      <w:pPr>
        <w:spacing w:after="0" w:line="221" w:lineRule="exact"/>
        <w:rPr>
          <w:rFonts w:ascii="Times New Roman" w:cs="Times New Roman" w:eastAsia="Times New Roman" w:hAnsi="Times New Roman"/>
          <w:sz w:val="22"/>
          <w:szCs w:val="22"/>
          <w:color w:val="auto"/>
        </w:rPr>
      </w:pPr>
    </w:p>
    <w:p>
      <w:pPr>
        <w:ind w:left="220" w:hanging="212"/>
        <w:spacing w:after="0"/>
        <w:tabs>
          <w:tab w:leader="none" w:pos="22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Exercisability of Option</w:t>
      </w:r>
      <w:r>
        <w:rPr>
          <w:rFonts w:ascii="Times New Roman" w:cs="Times New Roman" w:eastAsia="Times New Roman" w:hAnsi="Times New Roman"/>
          <w:sz w:val="22"/>
          <w:szCs w:val="22"/>
          <w:color w:val="auto"/>
        </w:rPr>
        <w:t>.</w:t>
      </w:r>
    </w:p>
    <w:p>
      <w:pPr>
        <w:spacing w:after="0" w:line="264" w:lineRule="exact"/>
        <w:rPr>
          <w:sz w:val="20"/>
          <w:szCs w:val="20"/>
          <w:color w:val="auto"/>
        </w:rPr>
      </w:pPr>
    </w:p>
    <w:p>
      <w:pPr>
        <w:jc w:val="both"/>
        <w:ind w:firstLine="8"/>
        <w:spacing w:after="0" w:line="256" w:lineRule="auto"/>
        <w:tabs>
          <w:tab w:leader="none" w:pos="321"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provided in the Plan, the Option shall vest and become exercisable as provided in the Notice. Any portion of the Option that is not vested pursuant to the preceding sentence on the date of Original Grantee’s termination of Service for any reason shall be immediately forfeited on the date of such termination for no consideration. Upon a Change of Control that occurs after the Grant Date, Section 9 of the Plan shall apply.</w:t>
      </w:r>
    </w:p>
    <w:p>
      <w:pPr>
        <w:spacing w:after="0" w:line="203" w:lineRule="exact"/>
        <w:rPr>
          <w:rFonts w:ascii="Times New Roman" w:cs="Times New Roman" w:eastAsia="Times New Roman" w:hAnsi="Times New Roman"/>
          <w:sz w:val="22"/>
          <w:szCs w:val="22"/>
          <w:color w:val="auto"/>
        </w:rPr>
      </w:pPr>
    </w:p>
    <w:p>
      <w:pPr>
        <w:jc w:val="both"/>
        <w:ind w:firstLine="8"/>
        <w:spacing w:after="0" w:line="257" w:lineRule="auto"/>
        <w:tabs>
          <w:tab w:leader="none" w:pos="319"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in this Agreement, if Original Grantee’s Service is terminated for Cause (as defined below), the Option shall immediately terminate and be forfeited for no consideration (regardless of whether the Option, or any portion thereof, is then vested or unvested).</w:t>
      </w:r>
    </w:p>
    <w:p>
      <w:pPr>
        <w:sectPr>
          <w:pgSz w:w="11900" w:h="16838" w:orient="portrait"/>
          <w:cols w:equalWidth="0" w:num="1">
            <w:col w:w="11240"/>
          </w:cols>
          <w:pgMar w:left="320" w:top="1418" w:right="339" w:bottom="1440" w:gutter="0" w:footer="0" w:header="0"/>
        </w:sectPr>
      </w:pPr>
    </w:p>
    <w:bookmarkStart w:id="90" w:name="page91"/>
    <w:bookmarkEnd w:id="90"/>
    <w:p>
      <w:pPr>
        <w:spacing w:after="0" w:line="22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If Original Grantee is party to an employment or severance agreement with the Company that contains a definition of “cause” for termination of employment, for the purposes of this Agreement, “Cause” shall have the meaning ascribed to such term in such agreement. Otherwise, for the purposes of this Agreement, the term “Cause” shall mean, with respect to the termination of Original Grantee’s employment, termination of such employment by the Company for any of the following reasons, as determined by the Committee: (i) any material act or omission by Original Grantee involving malfeasance or gross negligence in the performance of Original Grantee’s duties to, or material deviation from, any of the provisions of the Employee Handbook or Code of Business Conduct and Ethics, or policies or directives of, the Company; (ii) the conviction of Original Grantee of, or plea of guilty or nolo contendere to, any felony or any other crime involving moral turpitude, whether or not relating to Original Grantee’s employment; (iii) fraud, embezzlement, theft or dishonesty by Original Grantee against the Company; or (iv) violation of any applicable written proprietary information, confidentiality, non-competition and/or non-solicitation agreements with the Company.</w:t>
      </w:r>
    </w:p>
    <w:p>
      <w:pPr>
        <w:spacing w:after="0" w:line="212" w:lineRule="exact"/>
        <w:rPr>
          <w:sz w:val="20"/>
          <w:szCs w:val="20"/>
          <w:color w:val="auto"/>
        </w:rPr>
      </w:pPr>
    </w:p>
    <w:p>
      <w:pPr>
        <w:ind w:left="220" w:hanging="212"/>
        <w:spacing w:after="0"/>
        <w:tabs>
          <w:tab w:leader="none" w:pos="22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Term of Option</w:t>
      </w:r>
      <w:r>
        <w:rPr>
          <w:rFonts w:ascii="Times New Roman" w:cs="Times New Roman" w:eastAsia="Times New Roman" w:hAnsi="Times New Roman"/>
          <w:sz w:val="22"/>
          <w:szCs w:val="22"/>
          <w:color w:val="auto"/>
        </w:rPr>
        <w:t>.</w:t>
      </w:r>
    </w:p>
    <w:p>
      <w:pPr>
        <w:spacing w:after="0" w:line="32" w:lineRule="exact"/>
        <w:rPr>
          <w:sz w:val="20"/>
          <w:szCs w:val="20"/>
          <w:color w:val="auto"/>
        </w:rPr>
      </w:pPr>
    </w:p>
    <w:p>
      <w:pPr>
        <w:jc w:val="both"/>
        <w:ind w:firstLine="287"/>
        <w:spacing w:after="0" w:line="246" w:lineRule="auto"/>
        <w:rPr>
          <w:sz w:val="20"/>
          <w:szCs w:val="20"/>
          <w:color w:val="auto"/>
        </w:rPr>
      </w:pPr>
      <w:r>
        <w:rPr>
          <w:rFonts w:ascii="Times New Roman" w:cs="Times New Roman" w:eastAsia="Times New Roman" w:hAnsi="Times New Roman"/>
          <w:sz w:val="22"/>
          <w:szCs w:val="22"/>
          <w:color w:val="auto"/>
        </w:rPr>
        <w:t>Unless the Option is terminated at an earlier date pursuant to the provisions of the Agreement or the Plan, the Option shall expire on the Expiration Date set forth in the Notice. In no event may the Option be exercised after the Expiration Date. Notwithstanding the foregoing, the Option shall automatically terminate prior to the Expiration Date upon the happening of any of the following events:</w:t>
      </w:r>
    </w:p>
    <w:p>
      <w:pPr>
        <w:spacing w:after="0" w:line="2" w:lineRule="exact"/>
        <w:rPr>
          <w:sz w:val="20"/>
          <w:szCs w:val="20"/>
          <w:color w:val="auto"/>
        </w:rPr>
      </w:pPr>
    </w:p>
    <w:p>
      <w:pPr>
        <w:ind w:firstLine="8"/>
        <w:spacing w:after="0" w:line="248" w:lineRule="auto"/>
        <w:tabs>
          <w:tab w:leader="none" w:pos="321"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expiration of the three (3)-month period following the Original Grantee’s termination of Service, if the termination of Service is for any reason whatsoever other than death or disability (as defined in Section 22(e)(3) of the Code), or</w:t>
      </w:r>
    </w:p>
    <w:p>
      <w:pPr>
        <w:spacing w:after="0" w:line="209" w:lineRule="exact"/>
        <w:rPr>
          <w:rFonts w:ascii="Times New Roman" w:cs="Times New Roman" w:eastAsia="Times New Roman" w:hAnsi="Times New Roman"/>
          <w:sz w:val="22"/>
          <w:szCs w:val="22"/>
          <w:color w:val="auto"/>
        </w:rPr>
      </w:pPr>
    </w:p>
    <w:p>
      <w:pPr>
        <w:ind w:firstLine="8"/>
        <w:spacing w:after="0" w:line="284" w:lineRule="auto"/>
        <w:tabs>
          <w:tab w:leader="none" w:pos="319"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expiration of the twelve (12)-month period after the Original Grantee’s termination of Service on account of the Grantee’s death or disability (as defined in Section 22(e)(3) of the Code).</w:t>
      </w:r>
    </w:p>
    <w:p>
      <w:pPr>
        <w:spacing w:after="0" w:line="167" w:lineRule="exact"/>
        <w:rPr>
          <w:sz w:val="20"/>
          <w:szCs w:val="20"/>
          <w:color w:val="auto"/>
        </w:rPr>
      </w:pPr>
    </w:p>
    <w:p>
      <w:pPr>
        <w:ind w:left="220" w:hanging="212"/>
        <w:spacing w:after="0"/>
        <w:tabs>
          <w:tab w:leader="none" w:pos="22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Exercise Procedures</w:t>
      </w:r>
      <w:r>
        <w:rPr>
          <w:rFonts w:ascii="Times New Roman" w:cs="Times New Roman" w:eastAsia="Times New Roman" w:hAnsi="Times New Roman"/>
          <w:sz w:val="22"/>
          <w:szCs w:val="22"/>
          <w:color w:val="auto"/>
        </w:rPr>
        <w:t>.</w:t>
      </w:r>
    </w:p>
    <w:p>
      <w:pPr>
        <w:spacing w:after="0" w:line="250" w:lineRule="exact"/>
        <w:rPr>
          <w:rFonts w:ascii="Times New Roman" w:cs="Times New Roman" w:eastAsia="Times New Roman" w:hAnsi="Times New Roman"/>
          <w:sz w:val="22"/>
          <w:szCs w:val="22"/>
          <w:color w:val="auto"/>
        </w:rPr>
      </w:pPr>
    </w:p>
    <w:p>
      <w:pPr>
        <w:jc w:val="both"/>
        <w:ind w:firstLine="290"/>
        <w:spacing w:after="0" w:line="256" w:lineRule="auto"/>
        <w:tabs>
          <w:tab w:leader="none" w:pos="593" w:val="left"/>
        </w:tabs>
        <w:numPr>
          <w:ilvl w:val="2"/>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Grantee may exercise the vested portion of the Option only in the following manner: from time to time prior to the Expiration Date of the Option, the Grantee may give written notice (or notice in another form approved by the Committee, including electronic notice) to the Company of Grantee’s election to purchase some or all of the Shares purchasable at the time of such notice. This notice shall specify the number of Shares to be purchased.</w:t>
      </w:r>
    </w:p>
    <w:p>
      <w:pPr>
        <w:spacing w:after="0" w:line="203" w:lineRule="exact"/>
        <w:rPr>
          <w:rFonts w:ascii="Times New Roman" w:cs="Times New Roman" w:eastAsia="Times New Roman" w:hAnsi="Times New Roman"/>
          <w:sz w:val="22"/>
          <w:szCs w:val="22"/>
          <w:color w:val="auto"/>
        </w:rPr>
      </w:pPr>
    </w:p>
    <w:p>
      <w:pPr>
        <w:jc w:val="both"/>
        <w:ind w:firstLine="264"/>
        <w:spacing w:after="0" w:line="252" w:lineRule="auto"/>
        <w:tabs>
          <w:tab w:leader="none" w:pos="572"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exercise price of the Option may be payable: (i) in cash by personal check, bank draft or money order payable to the order of the Company, by money transfers or direct account debits; (ii) through the delivery or deemed delivery based on attestation to the ownership of previously acquired Shares with a Fair Market Value equal to the total payment due from the Grantee; (iii) authorizing the Company to withhold whole Shares, which would otherwise be</w:t>
      </w:r>
    </w:p>
    <w:p>
      <w:pPr>
        <w:sectPr>
          <w:pgSz w:w="11900" w:h="16838" w:orient="portrait"/>
          <w:cols w:equalWidth="0" w:num="1">
            <w:col w:w="11240"/>
          </w:cols>
          <w:pgMar w:left="320" w:top="1440" w:right="339" w:bottom="1440" w:gutter="0" w:footer="0" w:header="0"/>
        </w:sectPr>
      </w:pPr>
    </w:p>
    <w:bookmarkStart w:id="91" w:name="page92"/>
    <w:bookmarkEnd w:id="91"/>
    <w:p>
      <w:pPr>
        <w:jc w:val="both"/>
        <w:spacing w:after="0" w:line="256" w:lineRule="auto"/>
        <w:rPr>
          <w:sz w:val="20"/>
          <w:szCs w:val="20"/>
          <w:color w:val="auto"/>
        </w:rPr>
      </w:pPr>
      <w:r>
        <w:rPr>
          <w:rFonts w:ascii="Times New Roman" w:cs="Times New Roman" w:eastAsia="Times New Roman" w:hAnsi="Times New Roman"/>
          <w:sz w:val="22"/>
          <w:szCs w:val="22"/>
          <w:color w:val="auto"/>
        </w:rPr>
        <w:t>delivered, having an aggregate Fair Market Value, determined as of the date of exercise, equal to the amount necessary to satisfy such obligation; (iv) by a combination of the methods described in (i), (ii) and (iii) above; (v) except as may be prohibited by applicable law, in cash by a broker-dealer acceptable to the Company to whom the Grantee has submitted an irrevocable notice of exercise; or (vi) by such other methods as the Committee may deem appropriate.</w:t>
      </w:r>
    </w:p>
    <w:p>
      <w:pPr>
        <w:spacing w:after="0" w:line="203" w:lineRule="exact"/>
        <w:rPr>
          <w:sz w:val="20"/>
          <w:szCs w:val="20"/>
          <w:color w:val="auto"/>
        </w:rPr>
      </w:pPr>
    </w:p>
    <w:p>
      <w:pPr>
        <w:jc w:val="both"/>
        <w:ind w:firstLine="239"/>
        <w:spacing w:after="0" w:line="249" w:lineRule="auto"/>
        <w:tabs>
          <w:tab w:leader="none" w:pos="529" w:val="left"/>
        </w:tabs>
        <w:numPr>
          <w:ilvl w:val="2"/>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transfer to the Grantee on the records of the Company or of the transfer agent of the Shares will be contingent upon (i) the Company’s receipt from the Grantee of the full purchase price for the Shares, as set forth above, (ii) the fulfillment of any other requirements contained herein or in the Plan or in any other agreement or provision of laws, and (iii) the receipt by the Company of any agreement, statement or other evidence that the Company may require to satisfy itself that the issuance of Shares to be purchased pursuant to the exercise of the Option under the Plan and any subsequent resale of the Shares will be in compliance with applicable laws and regulations. In the event the Grantee chooses to pay the purchase price by previously-owned Shares through the attestation method, the number of Shares transferred to the Grantee upon the exercise of the Option shall be net of the Shares attested to.</w:t>
      </w:r>
    </w:p>
    <w:p>
      <w:pPr>
        <w:spacing w:after="0" w:line="208" w:lineRule="exact"/>
        <w:rPr>
          <w:rFonts w:ascii="Times New Roman" w:cs="Times New Roman" w:eastAsia="Times New Roman" w:hAnsi="Times New Roman"/>
          <w:sz w:val="22"/>
          <w:szCs w:val="22"/>
          <w:color w:val="auto"/>
        </w:rPr>
      </w:pPr>
    </w:p>
    <w:p>
      <w:pPr>
        <w:jc w:val="both"/>
        <w:ind w:firstLine="280"/>
        <w:spacing w:after="0" w:line="253" w:lineRule="auto"/>
        <w:tabs>
          <w:tab w:leader="none" w:pos="592" w:val="left"/>
        </w:tabs>
        <w:numPr>
          <w:ilvl w:val="3"/>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Grantee shall not be deemed to be the holder of, or to have any of the rights of a holder with respect to, any Shares subject to the Option unless and until the Option shall have been exercised pursuant to the terms hereof, the Company or the transfer agent shall have transferred the shares to the Grantee, and the Grantee’s name shall have been entered as the shareholder of record on the books of the Company. Thereupon, the Grantee shall have full voting and other ownership rights with respect to such Shares.</w:t>
      </w:r>
    </w:p>
    <w:p>
      <w:pPr>
        <w:spacing w:after="0" w:line="219" w:lineRule="exact"/>
        <w:rPr>
          <w:rFonts w:ascii="Times New Roman" w:cs="Times New Roman" w:eastAsia="Times New Roman" w:hAnsi="Times New Roman"/>
          <w:sz w:val="22"/>
          <w:szCs w:val="22"/>
          <w:color w:val="auto"/>
        </w:rPr>
      </w:pPr>
    </w:p>
    <w:p>
      <w:pPr>
        <w:ind w:firstLine="228"/>
        <w:spacing w:after="0" w:line="284" w:lineRule="auto"/>
        <w:tabs>
          <w:tab w:leader="none" w:pos="515"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other provision hereof or of the Plan, no portion of the Option shall be exercisable after the Expiration Date hereof.</w:t>
      </w:r>
    </w:p>
    <w:p>
      <w:pPr>
        <w:spacing w:after="0" w:line="166" w:lineRule="exact"/>
        <w:rPr>
          <w:rFonts w:ascii="Times New Roman" w:cs="Times New Roman" w:eastAsia="Times New Roman" w:hAnsi="Times New Roman"/>
          <w:sz w:val="22"/>
          <w:szCs w:val="22"/>
          <w:color w:val="auto"/>
        </w:rPr>
      </w:pPr>
    </w:p>
    <w:p>
      <w:pPr>
        <w:ind w:right="20" w:firstLine="8"/>
        <w:spacing w:after="0" w:line="275" w:lineRule="auto"/>
        <w:tabs>
          <w:tab w:leader="none" w:pos="229"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Nature of the Option</w:t>
      </w:r>
      <w:r>
        <w:rPr>
          <w:rFonts w:ascii="Times New Roman" w:cs="Times New Roman" w:eastAsia="Times New Roman" w:hAnsi="Times New Roman"/>
          <w:sz w:val="22"/>
          <w:szCs w:val="22"/>
          <w:color w:val="auto"/>
        </w:rPr>
        <w:t>. The Option is not intended to constitute, and shall not be treated at any time by the Grantee or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as, an incentive stock option, as defined under Section 422(b) of the Code.</w:t>
      </w:r>
    </w:p>
    <w:p>
      <w:pPr>
        <w:spacing w:after="0" w:line="176" w:lineRule="exact"/>
        <w:rPr>
          <w:rFonts w:ascii="Times New Roman" w:cs="Times New Roman" w:eastAsia="Times New Roman" w:hAnsi="Times New Roman"/>
          <w:sz w:val="22"/>
          <w:szCs w:val="22"/>
          <w:color w:val="auto"/>
        </w:rPr>
      </w:pPr>
    </w:p>
    <w:p>
      <w:pPr>
        <w:ind w:left="220" w:hanging="212"/>
        <w:spacing w:after="0"/>
        <w:tabs>
          <w:tab w:leader="none" w:pos="22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Tax Withholding</w:t>
      </w:r>
      <w:r>
        <w:rPr>
          <w:rFonts w:ascii="Times New Roman" w:cs="Times New Roman" w:eastAsia="Times New Roman" w:hAnsi="Times New Roman"/>
          <w:sz w:val="22"/>
          <w:szCs w:val="22"/>
          <w:color w:val="auto"/>
        </w:rPr>
        <w:t>.</w:t>
      </w:r>
    </w:p>
    <w:p>
      <w:pPr>
        <w:spacing w:after="0" w:line="250" w:lineRule="exact"/>
        <w:rPr>
          <w:rFonts w:ascii="Times New Roman" w:cs="Times New Roman" w:eastAsia="Times New Roman" w:hAnsi="Times New Roman"/>
          <w:sz w:val="22"/>
          <w:szCs w:val="22"/>
          <w:color w:val="auto"/>
        </w:rPr>
      </w:pPr>
    </w:p>
    <w:p>
      <w:pPr>
        <w:jc w:val="both"/>
        <w:ind w:firstLine="656"/>
        <w:spacing w:after="0" w:line="253" w:lineRule="auto"/>
        <w:tabs>
          <w:tab w:leader="none" w:pos="949" w:val="left"/>
        </w:tabs>
        <w:numPr>
          <w:ilvl w:val="4"/>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does not represent or warrant that the Option (or the purchase or sale of the Shares subject hereto) will be subject to any particular tax treatment. The Grantee acknowledges that the Grantee: (i) has reviewed, or has had the opportunity to review, the tax treatment of the Option (including the purchase and sale of Shares subject hereto) with the Grantee’s own tax advisors; and (ii) is relying solely on those advisors in that regard. The Grantee understands that the Grantee (and not the Company) will be responsible for the Grantee’s own tax liabilities arising in connection with the Option.</w:t>
      </w:r>
    </w:p>
    <w:p>
      <w:pPr>
        <w:spacing w:after="0" w:line="205" w:lineRule="exact"/>
        <w:rPr>
          <w:rFonts w:ascii="Times New Roman" w:cs="Times New Roman" w:eastAsia="Times New Roman" w:hAnsi="Times New Roman"/>
          <w:sz w:val="22"/>
          <w:szCs w:val="22"/>
          <w:color w:val="auto"/>
        </w:rPr>
      </w:pPr>
    </w:p>
    <w:p>
      <w:pPr>
        <w:jc w:val="both"/>
        <w:ind w:firstLine="656"/>
        <w:spacing w:after="0" w:line="263" w:lineRule="auto"/>
        <w:tabs>
          <w:tab w:leader="none" w:pos="966" w:val="left"/>
        </w:tabs>
        <w:numPr>
          <w:ilvl w:val="4"/>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Grantee shall, not later than the date as of which the exercise of the Option becomes a taxable event for Federal income tax purposes, pay to the Company or make arrangements satisfactory to the Company for payment of any Federal, state, and local taxes</w:t>
      </w:r>
    </w:p>
    <w:p>
      <w:pPr>
        <w:sectPr>
          <w:pgSz w:w="11900" w:h="16838" w:orient="portrait"/>
          <w:cols w:equalWidth="0" w:num="1">
            <w:col w:w="11240"/>
          </w:cols>
          <w:pgMar w:left="320" w:top="1422" w:right="339" w:bottom="1440" w:gutter="0" w:footer="0" w:header="0"/>
        </w:sectPr>
      </w:pPr>
    </w:p>
    <w:bookmarkStart w:id="92" w:name="page93"/>
    <w:bookmarkEnd w:id="92"/>
    <w:p>
      <w:pPr>
        <w:spacing w:after="0" w:line="254" w:lineRule="auto"/>
        <w:rPr>
          <w:sz w:val="20"/>
          <w:szCs w:val="20"/>
          <w:color w:val="auto"/>
        </w:rPr>
      </w:pPr>
      <w:r>
        <w:rPr>
          <w:rFonts w:ascii="Times New Roman" w:cs="Times New Roman" w:eastAsia="Times New Roman" w:hAnsi="Times New Roman"/>
          <w:sz w:val="22"/>
          <w:szCs w:val="22"/>
          <w:color w:val="auto"/>
        </w:rPr>
        <w:t>required by law to be withheld on account of such taxable event in accordance with procedures described in Section 10 of the Plan.</w:t>
      </w:r>
    </w:p>
    <w:p>
      <w:pPr>
        <w:spacing w:after="0" w:line="2" w:lineRule="exact"/>
        <w:rPr>
          <w:sz w:val="20"/>
          <w:szCs w:val="20"/>
          <w:color w:val="auto"/>
        </w:rPr>
      </w:pPr>
    </w:p>
    <w:p>
      <w:pPr>
        <w:jc w:val="both"/>
        <w:ind w:firstLine="8"/>
        <w:spacing w:after="0" w:line="247" w:lineRule="auto"/>
        <w:tabs>
          <w:tab w:leader="none" w:pos="229"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Grant Subject to Plan Provisions</w:t>
      </w:r>
      <w:r>
        <w:rPr>
          <w:rFonts w:ascii="Times New Roman" w:cs="Times New Roman" w:eastAsia="Times New Roman" w:hAnsi="Times New Roman"/>
          <w:sz w:val="22"/>
          <w:szCs w:val="22"/>
          <w:color w:val="auto"/>
        </w:rPr>
        <w:t>. This grant is made pursuant to the Plan, the terms of which are incorporated herein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reference, and in all respects shall be interpreted in accordance with the Plan. The grant and exercise of the Option are subject to interpretations, regulations, and determinations concerning the Plan established from time to time by the Committee in accordance with the provisions of the Plan. The Committee shall have the authority to interpret and construe the Option pursuant to the terms of the Plan, and its decisions shall be conclusive as to any questions arising hereunder.</w:t>
      </w:r>
    </w:p>
    <w:p>
      <w:pPr>
        <w:spacing w:after="0" w:line="209" w:lineRule="exact"/>
        <w:rPr>
          <w:rFonts w:ascii="Times New Roman" w:cs="Times New Roman" w:eastAsia="Times New Roman" w:hAnsi="Times New Roman"/>
          <w:sz w:val="22"/>
          <w:szCs w:val="22"/>
          <w:color w:val="auto"/>
        </w:rPr>
      </w:pPr>
    </w:p>
    <w:p>
      <w:pPr>
        <w:jc w:val="both"/>
        <w:ind w:firstLine="8"/>
        <w:spacing w:after="0" w:line="254" w:lineRule="auto"/>
        <w:tabs>
          <w:tab w:leader="none" w:pos="243"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 Right to Continued Service; No Rights as Shareholder</w:t>
      </w:r>
      <w:r>
        <w:rPr>
          <w:rFonts w:ascii="Times New Roman" w:cs="Times New Roman" w:eastAsia="Times New Roman" w:hAnsi="Times New Roman"/>
          <w:sz w:val="22"/>
          <w:szCs w:val="22"/>
          <w:color w:val="auto"/>
        </w:rPr>
        <w:t>. Neither the Plan nor this Agreement shall confer upon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Grantee any right to be retained in any capacity as a service provider to the Company or any of its affiliates. The Grantee shall not have any rights as a shareholder with respect to any Shares subject to the Option unless and until certificates representing the Shares have been issued by the Company following exercise of the Option to the holder of such Shares, or the Shares have otherwise been recorded on the books of the Company or of a duly authorized transfer agent as owned by such holder.</w:t>
      </w:r>
    </w:p>
    <w:p>
      <w:pPr>
        <w:spacing w:after="0" w:line="200" w:lineRule="exact"/>
        <w:rPr>
          <w:rFonts w:ascii="Times New Roman" w:cs="Times New Roman" w:eastAsia="Times New Roman" w:hAnsi="Times New Roman"/>
          <w:sz w:val="22"/>
          <w:szCs w:val="22"/>
          <w:color w:val="auto"/>
        </w:rPr>
      </w:pPr>
    </w:p>
    <w:p>
      <w:pPr>
        <w:ind w:left="220" w:hanging="212"/>
        <w:spacing w:after="0"/>
        <w:tabs>
          <w:tab w:leader="none" w:pos="22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Assignment and Transfers</w:t>
      </w:r>
      <w:r>
        <w:rPr>
          <w:rFonts w:ascii="Times New Roman" w:cs="Times New Roman" w:eastAsia="Times New Roman" w:hAnsi="Times New Roman"/>
          <w:sz w:val="22"/>
          <w:szCs w:val="22"/>
          <w:color w:val="auto"/>
        </w:rPr>
        <w:t>.</w:t>
      </w:r>
    </w:p>
    <w:p>
      <w:pPr>
        <w:spacing w:after="0" w:line="250" w:lineRule="exact"/>
        <w:rPr>
          <w:rFonts w:ascii="Times New Roman" w:cs="Times New Roman" w:eastAsia="Times New Roman" w:hAnsi="Times New Roman"/>
          <w:sz w:val="22"/>
          <w:szCs w:val="22"/>
          <w:color w:val="auto"/>
        </w:rPr>
      </w:pPr>
    </w:p>
    <w:p>
      <w:pPr>
        <w:jc w:val="both"/>
        <w:ind w:firstLine="656"/>
        <w:spacing w:after="0" w:line="263" w:lineRule="auto"/>
        <w:tabs>
          <w:tab w:leader="none" w:pos="965"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rights and interests of the Grantee under this Agreement may not be sold, assigned, encumbered, or otherwise transferred, except in the event of the death of the Grantee, by will, or by the laws of descent and distribution, provided that the transferees, devisees, or beneficiaries are Immediate Family (as defined in subsection (c) below).</w:t>
      </w:r>
    </w:p>
    <w:p>
      <w:pPr>
        <w:spacing w:after="0" w:line="194" w:lineRule="exact"/>
        <w:rPr>
          <w:rFonts w:ascii="Times New Roman" w:cs="Times New Roman" w:eastAsia="Times New Roman" w:hAnsi="Times New Roman"/>
          <w:sz w:val="22"/>
          <w:szCs w:val="22"/>
          <w:color w:val="auto"/>
        </w:rPr>
      </w:pPr>
    </w:p>
    <w:p>
      <w:pPr>
        <w:jc w:val="both"/>
        <w:ind w:firstLine="656"/>
        <w:spacing w:after="0" w:line="256" w:lineRule="auto"/>
        <w:tabs>
          <w:tab w:leader="none" w:pos="964"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subsection (a) above, the Grantee may transfer the Option through a gift or domestic relations order to the Immediate Family (as defined in subsection (c) below), and each transferee shall remain subject to all terms and conditions applicable to the Option prior to such transfer, and each transferee shall so acknowledge in writing as a condition precedent to the effectiveness of such transfer.</w:t>
      </w:r>
    </w:p>
    <w:p>
      <w:pPr>
        <w:spacing w:after="0" w:line="203" w:lineRule="exact"/>
        <w:rPr>
          <w:rFonts w:ascii="Times New Roman" w:cs="Times New Roman" w:eastAsia="Times New Roman" w:hAnsi="Times New Roman"/>
          <w:sz w:val="22"/>
          <w:szCs w:val="22"/>
          <w:color w:val="auto"/>
        </w:rPr>
      </w:pPr>
    </w:p>
    <w:p>
      <w:pPr>
        <w:jc w:val="both"/>
        <w:ind w:firstLine="656"/>
        <w:spacing w:after="0" w:line="251" w:lineRule="auto"/>
        <w:tabs>
          <w:tab w:leader="none" w:pos="985"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 “Immediate Family” shall mean the Original Grantee’s child, stepchild, grandchild, parent, stepparent, grandparent, spouse, former spouse, sibling, niece, nephew, mother-in-law, father-in-law, son-in-law, daughter-in-law, brother-in-law, or sister-in-law, including adoptive relationships, any person sharing the Original Grantee’s household (other than a tenant or employee), a trust in which these persons have more than fifty percent of the beneficial interest, a foundation in which these persons (or the Original Grantee) control the management of assets, and any other entity in which these persons (or the Original Grantee) own more than fifty percent of the voting interests.</w:t>
      </w:r>
    </w:p>
    <w:p>
      <w:pPr>
        <w:spacing w:after="0" w:line="208" w:lineRule="exact"/>
        <w:rPr>
          <w:rFonts w:ascii="Times New Roman" w:cs="Times New Roman" w:eastAsia="Times New Roman" w:hAnsi="Times New Roman"/>
          <w:sz w:val="22"/>
          <w:szCs w:val="22"/>
          <w:color w:val="auto"/>
        </w:rPr>
      </w:pPr>
    </w:p>
    <w:p>
      <w:pPr>
        <w:ind w:left="960" w:hanging="304"/>
        <w:spacing w:after="0"/>
        <w:tabs>
          <w:tab w:leader="none" w:pos="960" w:val="left"/>
        </w:tabs>
        <w:numPr>
          <w:ilvl w:val="1"/>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Option may not be transferred for value by the Grantee. The following transactions are not prohibited transfers for</w:t>
      </w:r>
    </w:p>
    <w:p>
      <w:pPr>
        <w:spacing w:after="0" w:line="39" w:lineRule="exact"/>
        <w:rPr>
          <w:rFonts w:ascii="Times New Roman" w:cs="Times New Roman" w:eastAsia="Times New Roman" w:hAnsi="Times New Roman"/>
          <w:sz w:val="21"/>
          <w:szCs w:val="21"/>
          <w:color w:val="auto"/>
        </w:rPr>
      </w:pPr>
    </w:p>
    <w:p>
      <w:pPr>
        <w:ind w:right="20"/>
        <w:spacing w:after="0" w:line="248"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value: (i) a transfer to Immediate Family under a domestic relations order in settlement of marital property rights; and (ii) a transfer to an entity in</w:t>
      </w:r>
    </w:p>
    <w:p>
      <w:pPr>
        <w:sectPr>
          <w:pgSz w:w="11900" w:h="16838" w:orient="portrait"/>
          <w:cols w:equalWidth="0" w:num="1">
            <w:col w:w="11240"/>
          </w:cols>
          <w:pgMar w:left="320" w:top="1422" w:right="339" w:bottom="1440" w:gutter="0" w:footer="0" w:header="0"/>
        </w:sectPr>
      </w:pPr>
    </w:p>
    <w:bookmarkStart w:id="93" w:name="page94"/>
    <w:bookmarkEnd w:id="93"/>
    <w:p>
      <w:pPr>
        <w:ind w:right="20"/>
        <w:spacing w:after="0" w:line="271" w:lineRule="auto"/>
        <w:rPr>
          <w:sz w:val="20"/>
          <w:szCs w:val="20"/>
          <w:color w:val="auto"/>
        </w:rPr>
      </w:pPr>
      <w:r>
        <w:rPr>
          <w:rFonts w:ascii="Times New Roman" w:cs="Times New Roman" w:eastAsia="Times New Roman" w:hAnsi="Times New Roman"/>
          <w:sz w:val="22"/>
          <w:szCs w:val="22"/>
          <w:color w:val="auto"/>
        </w:rPr>
        <w:t>which more than fifty percent of the voting interests are owned by the Immediate Family (or the Original Grantee) in exchange for an interest in that entity.</w:t>
      </w:r>
    </w:p>
    <w:p>
      <w:pPr>
        <w:spacing w:after="0" w:line="185" w:lineRule="exact"/>
        <w:rPr>
          <w:sz w:val="20"/>
          <w:szCs w:val="20"/>
          <w:color w:val="auto"/>
        </w:rPr>
      </w:pPr>
    </w:p>
    <w:p>
      <w:pPr>
        <w:jc w:val="both"/>
        <w:ind w:firstLine="656"/>
        <w:spacing w:after="0" w:line="263" w:lineRule="auto"/>
        <w:tabs>
          <w:tab w:leader="none" w:pos="955"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order to transfer any portion of the Option in accordance with the provisions of subsection (b) above, the Grantee must notify the Company of such transfer, and the Grantee and proposed transferee must execute and deliver to the Company such certification and documentation deemed necessary by and approved by the Company.</w:t>
      </w:r>
    </w:p>
    <w:p>
      <w:pPr>
        <w:spacing w:after="0" w:line="194" w:lineRule="exact"/>
        <w:rPr>
          <w:rFonts w:ascii="Times New Roman" w:cs="Times New Roman" w:eastAsia="Times New Roman" w:hAnsi="Times New Roman"/>
          <w:sz w:val="22"/>
          <w:szCs w:val="22"/>
          <w:color w:val="auto"/>
        </w:rPr>
      </w:pPr>
    </w:p>
    <w:p>
      <w:pPr>
        <w:ind w:firstLine="656"/>
        <w:spacing w:after="0" w:line="295" w:lineRule="auto"/>
        <w:tabs>
          <w:tab w:leader="none" w:pos="923" w:val="left"/>
        </w:tabs>
        <w:numPr>
          <w:ilvl w:val="1"/>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else set forth in this Agreement or the Plan, in no event shall the Option be held at any time by, transferred to, or exercised by, any person or entity unless such person or entity is the Original Grantee or Immediate Family.</w:t>
      </w:r>
    </w:p>
    <w:p>
      <w:pPr>
        <w:spacing w:after="0" w:line="162" w:lineRule="exact"/>
        <w:rPr>
          <w:rFonts w:ascii="Times New Roman" w:cs="Times New Roman" w:eastAsia="Times New Roman" w:hAnsi="Times New Roman"/>
          <w:sz w:val="21"/>
          <w:szCs w:val="21"/>
          <w:color w:val="auto"/>
        </w:rPr>
      </w:pPr>
    </w:p>
    <w:p>
      <w:pPr>
        <w:jc w:val="both"/>
        <w:ind w:firstLine="656"/>
        <w:spacing w:after="0" w:line="251" w:lineRule="auto"/>
        <w:tabs>
          <w:tab w:leader="none" w:pos="971"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provided otherwise in this Section 9, during the Original Grantee’s lifetime: (i) only the Original Grantee (or, in the event of legal incapacity or incompetency, the Grantee’s guardian or representative) may exercise the Option; (ii) the Option shall not be assigned, pledged, or hypothecated in any way (whether by operation of law or otherwise); and (iii) the Option shall not be subject to execution, attachment, or similar process. Any attempted transfer, assignment, pledge, hypothecation, or other disposition of the Option or of any rights granted hereunder contrary to the provisions of this Section 9 shall be null and void. Any levy of an attachment or similar process upon the Option shall be null and void.</w:t>
      </w:r>
    </w:p>
    <w:p>
      <w:pPr>
        <w:spacing w:after="0" w:line="208" w:lineRule="exact"/>
        <w:rPr>
          <w:rFonts w:ascii="Times New Roman" w:cs="Times New Roman" w:eastAsia="Times New Roman" w:hAnsi="Times New Roman"/>
          <w:sz w:val="22"/>
          <w:szCs w:val="22"/>
          <w:color w:val="auto"/>
        </w:rPr>
      </w:pPr>
    </w:p>
    <w:p>
      <w:pPr>
        <w:jc w:val="both"/>
        <w:ind w:firstLine="656"/>
        <w:spacing w:after="0" w:line="255" w:lineRule="auto"/>
        <w:tabs>
          <w:tab w:leader="none" w:pos="962"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rights and protections of the Company hereunder shall extend to any successors and assigns of the Company and to the Company’s parents, subsidiaries, and affiliates. The Company may assign this Agreement without the consent of the Grantee.</w:t>
      </w:r>
    </w:p>
    <w:p>
      <w:pPr>
        <w:jc w:val="both"/>
        <w:ind w:firstLine="8"/>
        <w:spacing w:after="0" w:line="247" w:lineRule="auto"/>
        <w:tabs>
          <w:tab w:leader="none" w:pos="351"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Data Privacy Consent</w:t>
      </w:r>
      <w:r>
        <w:rPr>
          <w:rFonts w:ascii="Times New Roman" w:cs="Times New Roman" w:eastAsia="Times New Roman" w:hAnsi="Times New Roman"/>
          <w:sz w:val="22"/>
          <w:szCs w:val="22"/>
          <w:color w:val="auto"/>
        </w:rPr>
        <w:t>. In order to administer the Plan and this Agreement and to implement or structure future equity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or this Agreement (the “Relevant Information”). By entering into this Agreement, the Grantee: (i) authorizes the Company to collect, process, register, and transfer to the Relevant Companies all Relevant Information; (ii) waives any privacy rights that the Grantee may have with respect to the Relevant Information; and (iii) authorizes the Relevant Companies to store and transmit such information in electronic form. The Grantee shall have access to, and the right to change, the Relevant Information. Relevant Information will only be used in accordance with applicable law.</w:t>
      </w:r>
    </w:p>
    <w:p>
      <w:pPr>
        <w:spacing w:after="0" w:line="207" w:lineRule="exact"/>
        <w:rPr>
          <w:rFonts w:ascii="Times New Roman" w:cs="Times New Roman" w:eastAsia="Times New Roman" w:hAnsi="Times New Roman"/>
          <w:sz w:val="22"/>
          <w:szCs w:val="22"/>
          <w:color w:val="auto"/>
        </w:rPr>
      </w:pPr>
    </w:p>
    <w:p>
      <w:pPr>
        <w:jc w:val="both"/>
        <w:ind w:firstLine="8"/>
        <w:spacing w:after="0" w:line="251" w:lineRule="auto"/>
        <w:tabs>
          <w:tab w:leader="none" w:pos="316"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Compliance with Law</w:t>
      </w:r>
      <w:r>
        <w:rPr>
          <w:rFonts w:ascii="Times New Roman" w:cs="Times New Roman" w:eastAsia="Times New Roman" w:hAnsi="Times New Roman"/>
          <w:sz w:val="22"/>
          <w:szCs w:val="22"/>
          <w:color w:val="auto"/>
        </w:rPr>
        <w:t>. The issuance of Shares upon exercise of the Option shall be subject to compliance by the Company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the Grantee with all applicable requirements of federal and state securities laws and with all applicable requirements of any stock exchange on which the Shares may be listed. No Shares shall be issued or transferred unless and until any then applicable requirements of state or federal laws and regulatory agencies have been fully complied with to the satisfaction of the Company and its counsel. Grantee understands that the</w:t>
      </w:r>
    </w:p>
    <w:p>
      <w:pPr>
        <w:sectPr>
          <w:pgSz w:w="11900" w:h="16838" w:orient="portrait"/>
          <w:cols w:equalWidth="0" w:num="1">
            <w:col w:w="11240"/>
          </w:cols>
          <w:pgMar w:left="320" w:top="1422" w:right="339" w:bottom="1440" w:gutter="0" w:footer="0" w:header="0"/>
        </w:sectPr>
      </w:pPr>
    </w:p>
    <w:bookmarkStart w:id="94" w:name="page95"/>
    <w:bookmarkEnd w:id="94"/>
    <w:p>
      <w:pPr>
        <w:spacing w:after="0" w:line="271" w:lineRule="auto"/>
        <w:rPr>
          <w:sz w:val="20"/>
          <w:szCs w:val="20"/>
          <w:color w:val="auto"/>
        </w:rPr>
      </w:pPr>
      <w:r>
        <w:rPr>
          <w:rFonts w:ascii="Times New Roman" w:cs="Times New Roman" w:eastAsia="Times New Roman" w:hAnsi="Times New Roman"/>
          <w:sz w:val="22"/>
          <w:szCs w:val="22"/>
          <w:color w:val="auto"/>
        </w:rPr>
        <w:t>Company is under no obligation to register any Shares with the Securities and Exchange Commission, any state securities commission or any stock exchange to effect such compliance.</w:t>
      </w:r>
    </w:p>
    <w:p>
      <w:pPr>
        <w:spacing w:after="0" w:line="181" w:lineRule="exact"/>
        <w:rPr>
          <w:sz w:val="20"/>
          <w:szCs w:val="20"/>
          <w:color w:val="auto"/>
        </w:rPr>
      </w:pPr>
    </w:p>
    <w:p>
      <w:pPr>
        <w:jc w:val="both"/>
        <w:ind w:firstLine="8"/>
        <w:spacing w:after="0" w:line="254" w:lineRule="auto"/>
        <w:tabs>
          <w:tab w:leader="none" w:pos="351"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Notice</w:t>
      </w:r>
      <w:r>
        <w:rPr>
          <w:rFonts w:ascii="Times New Roman" w:cs="Times New Roman" w:eastAsia="Times New Roman" w:hAnsi="Times New Roman"/>
          <w:sz w:val="22"/>
          <w:szCs w:val="22"/>
          <w:color w:val="auto"/>
        </w:rPr>
        <w:t>. Any notice to the Company provided for in this Agreement shall be addressed to the Company in care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Secretary at the corporate headquarters of the Company, and any notice to the Grantee shall be addressed to such Grantee at the current address shown in the Company’s records, or to such other address as the Grantee may designate to the Company in writing. Any notice shall be delivered by hand, sent by telecopy, or enclosed in a properly sealed envelope addressed as stated above, registered and deposited, postage prepaid, in a post office regularly maintained by the United States Postal Service.</w:t>
      </w:r>
    </w:p>
    <w:p>
      <w:pPr>
        <w:spacing w:after="0" w:line="200" w:lineRule="exact"/>
        <w:rPr>
          <w:rFonts w:ascii="Times New Roman" w:cs="Times New Roman" w:eastAsia="Times New Roman" w:hAnsi="Times New Roman"/>
          <w:sz w:val="22"/>
          <w:szCs w:val="22"/>
          <w:color w:val="auto"/>
        </w:rPr>
      </w:pPr>
    </w:p>
    <w:p>
      <w:pPr>
        <w:ind w:right="20" w:firstLine="8"/>
        <w:spacing w:after="0" w:line="287" w:lineRule="auto"/>
        <w:tabs>
          <w:tab w:leader="none" w:pos="337"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Governing Law</w:t>
      </w:r>
      <w:r>
        <w:rPr>
          <w:rFonts w:ascii="Times New Roman" w:cs="Times New Roman" w:eastAsia="Times New Roman" w:hAnsi="Times New Roman"/>
          <w:sz w:val="22"/>
          <w:szCs w:val="22"/>
          <w:color w:val="auto"/>
        </w:rPr>
        <w:t>. To the extent that federal laws do not otherwise control, this Agreement shall be construed in accordance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and governed by the law of the Commonwealth of Pennsylvania.</w:t>
      </w:r>
    </w:p>
    <w:p>
      <w:pPr>
        <w:spacing w:after="0" w:line="164" w:lineRule="exact"/>
        <w:rPr>
          <w:rFonts w:ascii="Times New Roman" w:cs="Times New Roman" w:eastAsia="Times New Roman" w:hAnsi="Times New Roman"/>
          <w:sz w:val="22"/>
          <w:szCs w:val="22"/>
          <w:color w:val="auto"/>
        </w:rPr>
      </w:pPr>
    </w:p>
    <w:p>
      <w:pPr>
        <w:jc w:val="both"/>
        <w:ind w:firstLine="8"/>
        <w:spacing w:after="0" w:line="259" w:lineRule="auto"/>
        <w:tabs>
          <w:tab w:leader="none" w:pos="324"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Severability</w:t>
      </w:r>
      <w:r>
        <w:rPr>
          <w:rFonts w:ascii="Times New Roman" w:cs="Times New Roman" w:eastAsia="Times New Roman" w:hAnsi="Times New Roman"/>
          <w:sz w:val="22"/>
          <w:szCs w:val="22"/>
          <w:color w:val="auto"/>
        </w:rPr>
        <w:t>. The invalidity or unenforceability of any provision of the Plan or this Agreement shall not affect the validity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enforceability of any other provision of the Plan or this Agreement, and each provision of the Plan and this Agreement shall be severable and enforceable to the extent permitted by law.</w:t>
      </w:r>
    </w:p>
    <w:p>
      <w:pPr>
        <w:spacing w:after="0" w:line="193" w:lineRule="exact"/>
        <w:rPr>
          <w:rFonts w:ascii="Times New Roman" w:cs="Times New Roman" w:eastAsia="Times New Roman" w:hAnsi="Times New Roman"/>
          <w:sz w:val="22"/>
          <w:szCs w:val="22"/>
          <w:color w:val="auto"/>
        </w:rPr>
      </w:pPr>
    </w:p>
    <w:p>
      <w:pPr>
        <w:jc w:val="both"/>
        <w:ind w:firstLine="8"/>
        <w:spacing w:after="0" w:line="252" w:lineRule="auto"/>
        <w:tabs>
          <w:tab w:leader="none" w:pos="337"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Entire Agreement; Amendment</w:t>
      </w:r>
      <w:r>
        <w:rPr>
          <w:rFonts w:ascii="Times New Roman" w:cs="Times New Roman" w:eastAsia="Times New Roman" w:hAnsi="Times New Roman"/>
          <w:sz w:val="22"/>
          <w:szCs w:val="22"/>
          <w:color w:val="auto"/>
        </w:rPr>
        <w:t>. This Agreement and the Plan constitute the entire agreement with respect to the subject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matter hereof between the parties hereto and there are no other agreements between the parties relating to the subject matter hereof. The Company and Grantee have made no promises, agreements, conditions, or understandings relating to the Option, either orally or in writing, that are not included in this Agreement or the Plan. This Agreement may only be modified by an agreement in writing executed by both the Company and Grantee. Emailed copies (pdf format) of any party’s signature hereto will have the same effect as an original signature.</w:t>
      </w: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[Notice of Non-Qualified Stock Option Grant Follows]</w:t>
      </w:r>
    </w:p>
    <w:p>
      <w:pPr>
        <w:sectPr>
          <w:pgSz w:w="11900" w:h="16838" w:orient="portrait"/>
          <w:cols w:equalWidth="0" w:num="1">
            <w:col w:w="11240"/>
          </w:cols>
          <w:pgMar w:left="320" w:top="1422" w:right="339"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22"/>
          <w:szCs w:val="22"/>
          <w:b w:val="1"/>
          <w:bCs w:val="1"/>
          <w:color w:val="auto"/>
        </w:rPr>
        <w:t>CANTALOUPE,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2018 EQUITY INCENTIVE PLAN</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NOTICE OF NON-QUALIFIED STOCK OPTION GRANT</w:t>
      </w:r>
    </w:p>
    <w:p>
      <w:pPr>
        <w:spacing w:after="0" w:line="23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2"/>
          <w:szCs w:val="22"/>
          <w:color w:val="auto"/>
        </w:rPr>
        <w:t>Cantaloupe, Inc., a Pennsylvania corporation, f/k/a USA Technologies, Inc. (the “Company”) has granted to you, the “Participant” named below, a non-qualified stock option (the “Option”) to purchase shares of common stock, no par value, of the Company (the “Shares”) under the Company’s 2018 Equity Incentive Plan (as amended from time to time, the “Plan”). The terms of the grant are set forth in the Non-Qualified Stock Option Agreement (together with this Notice of Non-Qualified Stock Option Grant, the “Agreement”) provided to you and which immediately precedes this Notice. The following provides a summary of the key terms of your award; however, you should read the entire Agreement, along with the terms of the Plan, to fully understand your award and the terms and conditions applicable to it.</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SUMMARY OF NON-QUALIFIED STOCK OPTION AWARD</w:t>
      </w:r>
    </w:p>
    <w:p>
      <w:pPr>
        <w:sectPr>
          <w:pgSz w:w="11900" w:h="16838" w:orient="portrait"/>
          <w:cols w:equalWidth="0" w:num="1">
            <w:col w:w="11240"/>
          </w:cols>
          <w:pgMar w:left="320" w:top="1418" w:right="339" w:bottom="1440" w:gutter="0" w:footer="0" w:header="0"/>
        </w:sect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Participant:</w: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___________________________</w:t>
      </w:r>
    </w:p>
    <w:p>
      <w:pPr>
        <w:spacing w:after="0" w:line="200" w:lineRule="exact"/>
        <w:rPr>
          <w:sz w:val="20"/>
          <w:szCs w:val="20"/>
          <w:color w:val="auto"/>
        </w:rPr>
      </w:pPr>
    </w:p>
    <w:p>
      <w:pPr>
        <w:sectPr>
          <w:pgSz w:w="11900" w:h="16838" w:orient="portrait"/>
          <w:cols w:equalWidth="0" w:num="2">
            <w:col w:w="1140" w:space="720"/>
            <w:col w:w="9380"/>
          </w:cols>
          <w:pgMar w:left="320" w:top="1418" w:right="339" w:bottom="1440" w:gutter="0" w:footer="0" w:header="0"/>
          <w:type w:val="continuous"/>
        </w:sectPr>
      </w:pP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Grant Date:</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___________________________</w:t>
      </w:r>
    </w:p>
    <w:p>
      <w:pPr>
        <w:spacing w:after="0" w:line="200" w:lineRule="exact"/>
        <w:rPr>
          <w:sz w:val="20"/>
          <w:szCs w:val="20"/>
          <w:color w:val="auto"/>
        </w:rPr>
      </w:pPr>
    </w:p>
    <w:p>
      <w:pPr>
        <w:sectPr>
          <w:pgSz w:w="11900" w:h="16838" w:orient="portrait"/>
          <w:cols w:equalWidth="0" w:num="2">
            <w:col w:w="1160" w:space="720"/>
            <w:col w:w="9360"/>
          </w:cols>
          <w:pgMar w:left="320" w:top="1418" w:right="339" w:bottom="1440" w:gutter="0" w:footer="0" w:header="0"/>
          <w:type w:val="continuous"/>
        </w:sectPr>
      </w:pPr>
    </w:p>
    <w:p>
      <w:pPr>
        <w:spacing w:after="0" w:line="58" w:lineRule="exact"/>
        <w:rPr>
          <w:sz w:val="20"/>
          <w:szCs w:val="20"/>
          <w:color w:val="auto"/>
        </w:rPr>
      </w:pPr>
    </w:p>
    <w:p>
      <w:pPr>
        <w:spacing w:after="0"/>
        <w:tabs>
          <w:tab w:leader="none" w:pos="3300" w:val="left"/>
        </w:tabs>
        <w:rPr>
          <w:sz w:val="20"/>
          <w:szCs w:val="20"/>
          <w:color w:val="auto"/>
        </w:rPr>
      </w:pPr>
      <w:r>
        <w:rPr>
          <w:rFonts w:ascii="Times New Roman" w:cs="Times New Roman" w:eastAsia="Times New Roman" w:hAnsi="Times New Roman"/>
          <w:sz w:val="22"/>
          <w:szCs w:val="22"/>
          <w:color w:val="auto"/>
        </w:rPr>
        <w:t>Total Number of Shares Underlying</w:t>
      </w:r>
      <w:r>
        <w:rPr>
          <w:sz w:val="20"/>
          <w:szCs w:val="20"/>
          <w:color w:val="auto"/>
        </w:rPr>
        <w:tab/>
      </w:r>
      <w:r>
        <w:rPr>
          <w:rFonts w:ascii="Times New Roman" w:cs="Times New Roman" w:eastAsia="Times New Roman" w:hAnsi="Times New Roman"/>
          <w:sz w:val="21"/>
          <w:szCs w:val="21"/>
          <w:color w:val="auto"/>
        </w:rPr>
        <w:t>___________________________</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Option:</w:t>
      </w:r>
    </w:p>
    <w:p>
      <w:pPr>
        <w:sectPr>
          <w:pgSz w:w="11900" w:h="16838" w:orient="portrait"/>
          <w:cols w:equalWidth="0" w:num="1">
            <w:col w:w="11240"/>
          </w:cols>
          <w:pgMar w:left="320" w:top="1418" w:right="339" w:bottom="1440" w:gutter="0" w:footer="0" w:header="0"/>
          <w:type w:val="continuous"/>
        </w:sect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Exercise Price Per Share:</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___________________________</w:t>
      </w:r>
    </w:p>
    <w:p>
      <w:pPr>
        <w:spacing w:after="0" w:line="200" w:lineRule="exact"/>
        <w:rPr>
          <w:sz w:val="20"/>
          <w:szCs w:val="20"/>
          <w:color w:val="auto"/>
        </w:rPr>
      </w:pPr>
    </w:p>
    <w:p>
      <w:pPr>
        <w:sectPr>
          <w:pgSz w:w="11900" w:h="16838" w:orient="portrait"/>
          <w:cols w:equalWidth="0" w:num="2">
            <w:col w:w="2200" w:space="420"/>
            <w:col w:w="8620"/>
          </w:cols>
          <w:pgMar w:left="320" w:top="1418" w:right="339" w:bottom="1440" w:gutter="0" w:footer="0" w:header="0"/>
          <w:type w:val="continuous"/>
        </w:sectPr>
      </w:pP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Expiration Date:</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___________________________</w:t>
      </w:r>
    </w:p>
    <w:p>
      <w:pPr>
        <w:spacing w:after="0" w:line="200" w:lineRule="exact"/>
        <w:rPr>
          <w:sz w:val="20"/>
          <w:szCs w:val="20"/>
          <w:color w:val="auto"/>
        </w:rPr>
      </w:pPr>
    </w:p>
    <w:p>
      <w:pPr>
        <w:sectPr>
          <w:pgSz w:w="11900" w:h="16838" w:orient="portrait"/>
          <w:cols w:equalWidth="0" w:num="2">
            <w:col w:w="1440" w:space="640"/>
            <w:col w:w="9160"/>
          </w:cols>
          <w:pgMar w:left="320" w:top="1418" w:right="339" w:bottom="1440" w:gutter="0" w:footer="0" w:header="0"/>
          <w:type w:val="continuous"/>
        </w:sectPr>
      </w:pPr>
    </w:p>
    <w:p>
      <w:pPr>
        <w:spacing w:after="0" w:line="58" w:lineRule="exact"/>
        <w:rPr>
          <w:sz w:val="20"/>
          <w:szCs w:val="20"/>
          <w:color w:val="auto"/>
        </w:rPr>
      </w:pPr>
    </w:p>
    <w:p>
      <w:pPr>
        <w:spacing w:after="0"/>
        <w:tabs>
          <w:tab w:leader="none" w:pos="2840" w:val="left"/>
        </w:tabs>
        <w:rPr>
          <w:sz w:val="20"/>
          <w:szCs w:val="20"/>
          <w:color w:val="auto"/>
        </w:rPr>
      </w:pPr>
      <w:r>
        <w:rPr>
          <w:rFonts w:ascii="Times New Roman" w:cs="Times New Roman" w:eastAsia="Times New Roman" w:hAnsi="Times New Roman"/>
          <w:sz w:val="22"/>
          <w:szCs w:val="22"/>
          <w:color w:val="auto"/>
        </w:rPr>
        <w:t>Vesting Commencement Date:</w:t>
      </w:r>
      <w:r>
        <w:rPr>
          <w:sz w:val="20"/>
          <w:szCs w:val="20"/>
          <w:color w:val="auto"/>
        </w:rPr>
        <w:tab/>
      </w:r>
      <w:r>
        <w:rPr>
          <w:rFonts w:ascii="Times New Roman" w:cs="Times New Roman" w:eastAsia="Times New Roman" w:hAnsi="Times New Roman"/>
          <w:sz w:val="21"/>
          <w:szCs w:val="21"/>
          <w:color w:val="auto"/>
        </w:rPr>
        <w:t>___________________________</w:t>
      </w:r>
    </w:p>
    <w:p>
      <w:pPr>
        <w:spacing w:after="0" w:line="243" w:lineRule="exact"/>
        <w:rPr>
          <w:sz w:val="20"/>
          <w:szCs w:val="20"/>
          <w:color w:val="auto"/>
        </w:rPr>
      </w:pPr>
    </w:p>
    <w:p>
      <w:pPr>
        <w:ind w:left="1860" w:hanging="3239"/>
        <w:spacing w:after="0" w:line="287" w:lineRule="auto"/>
        <w:tabs>
          <w:tab w:leader="none" w:pos="1840" w:val="left"/>
        </w:tabs>
        <w:rPr>
          <w:sz w:val="20"/>
          <w:szCs w:val="20"/>
          <w:color w:val="auto"/>
        </w:rPr>
      </w:pPr>
      <w:r>
        <w:rPr>
          <w:rFonts w:ascii="Times New Roman" w:cs="Times New Roman" w:eastAsia="Times New Roman" w:hAnsi="Times New Roman"/>
          <w:sz w:val="22"/>
          <w:szCs w:val="22"/>
          <w:color w:val="auto"/>
        </w:rPr>
        <w:t>Vesting Schedule:</w:t>
        <w:tab/>
        <w:t>[The Option shall vest and become exercisable [</w:t>
      </w:r>
      <w:r>
        <w:rPr>
          <w:rFonts w:ascii="Times New Roman" w:cs="Times New Roman" w:eastAsia="Times New Roman" w:hAnsi="Times New Roman"/>
          <w:sz w:val="22"/>
          <w:szCs w:val="22"/>
          <w:i w:val="1"/>
          <w:iCs w:val="1"/>
          <w:color w:val="auto"/>
        </w:rPr>
        <w:t>insert vesting schedule</w:t>
      </w:r>
      <w:r>
        <w:rPr>
          <w:rFonts w:ascii="Times New Roman" w:cs="Times New Roman" w:eastAsia="Times New Roman" w:hAnsi="Times New Roman"/>
          <w:sz w:val="22"/>
          <w:szCs w:val="22"/>
          <w:color w:val="auto"/>
        </w:rPr>
        <w:t>], subject to Participant’s continued Service through each such date*]</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*Unless otherwise provided in the Agreement or the Plan.</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[Signature Page Follows]</w:t>
      </w:r>
    </w:p>
    <w:p>
      <w:pPr>
        <w:sectPr>
          <w:pgSz w:w="11900" w:h="16838" w:orient="portrait"/>
          <w:cols w:equalWidth="0" w:num="1">
            <w:col w:w="11240"/>
          </w:cols>
          <w:pgMar w:left="320" w:top="1418" w:right="339" w:bottom="1440" w:gutter="0" w:footer="0" w:header="0"/>
          <w:type w:val="continuous"/>
        </w:sectPr>
      </w:pPr>
    </w:p>
    <w:bookmarkStart w:id="96" w:name="page97"/>
    <w:bookmarkEnd w:id="96"/>
    <w:p>
      <w:pPr>
        <w:ind w:left="580"/>
        <w:spacing w:after="0"/>
        <w:rPr>
          <w:sz w:val="20"/>
          <w:szCs w:val="20"/>
          <w:color w:val="auto"/>
        </w:rPr>
      </w:pPr>
      <w:r>
        <w:rPr>
          <w:rFonts w:ascii="Times New Roman" w:cs="Times New Roman" w:eastAsia="Times New Roman" w:hAnsi="Times New Roman"/>
          <w:sz w:val="22"/>
          <w:szCs w:val="22"/>
          <w:color w:val="auto"/>
        </w:rPr>
        <w:t>IN WITNESS WHEREOF, the parties hereto have executed this Agreement as of the Grant Date.</w:t>
      </w:r>
    </w:p>
    <w:p>
      <w:pPr>
        <w:spacing w:after="0" w:line="58"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color w:val="auto"/>
        </w:rPr>
        <w:t>CANTALOUPE, INC.</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color w:val="auto"/>
        </w:rPr>
        <w:t>By:__________________________</w:t>
      </w:r>
    </w:p>
    <w:p>
      <w:pPr>
        <w:spacing w:after="0" w:line="2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Name:</w:t>
      </w:r>
    </w:p>
    <w:p>
      <w:pPr>
        <w:spacing w:after="0" w:line="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b w:val="1"/>
          <w:bCs w:val="1"/>
          <w:color w:val="auto"/>
        </w:rPr>
        <w:t>THE UNDERSIGNED PARTICIPANT ACKNOWLEDGES RECEIPT OF THIS NOTICE OF NON-QUALIFIED STOCK OPTION GRANT, THE NON-QUALIFIED STOCK OPTION AWARD AGREEMENT, ANY EXHIBIT ATTACHED THERETO, AND THE PLAN, AND, AS AN EXPRESS CONDITION TO THE GRANT OF THE OPTION HEREUNDER, AGREES TO BE BOUND BY THE TERMS OF THIS NOTICE OF NON-QUALIFIED STOCK OPTION GRANT, THE NON-QUALIFIED STOCK OPTION AWARD AGREEMENT, ANY EXHIBIT ATTACHED THERETO, AND THE PLAN.</w:t>
      </w:r>
    </w:p>
    <w:p>
      <w:pPr>
        <w:spacing w:after="0" w:line="17"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color w:val="auto"/>
        </w:rPr>
        <w:t>PARTICIPANT</w:t>
      </w:r>
    </w:p>
    <w:p>
      <w:pPr>
        <w:spacing w:after="0" w:line="200" w:lineRule="exact"/>
        <w:rPr>
          <w:sz w:val="20"/>
          <w:szCs w:val="20"/>
          <w:color w:val="auto"/>
        </w:rPr>
      </w:pPr>
    </w:p>
    <w:p>
      <w:pPr>
        <w:spacing w:after="0" w:line="290"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color w:val="auto"/>
        </w:rPr>
        <w:t>_____________________________</w:t>
      </w:r>
    </w:p>
    <w:p>
      <w:pPr>
        <w:spacing w:after="0" w:line="29"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color w:val="auto"/>
        </w:rPr>
        <w:t>_________________</w:t>
      </w:r>
    </w:p>
    <w:p>
      <w:pPr>
        <w:sectPr>
          <w:pgSz w:w="11900" w:h="16838" w:orient="portrait"/>
          <w:cols w:equalWidth="0" w:num="1">
            <w:col w:w="11080"/>
          </w:cols>
          <w:pgMar w:left="400" w:top="1422" w:right="419" w:bottom="1440" w:gutter="0" w:footer="0" w:header="0"/>
        </w:sectPr>
      </w:pPr>
    </w:p>
    <w:bookmarkStart w:id="97" w:name="page98"/>
    <w:bookmarkEnd w:id="97"/>
    <w:p>
      <w:pPr>
        <w:ind w:left="10060"/>
        <w:spacing w:after="0"/>
        <w:rPr>
          <w:sz w:val="20"/>
          <w:szCs w:val="20"/>
          <w:color w:val="auto"/>
        </w:rPr>
      </w:pPr>
      <w:r>
        <w:rPr>
          <w:rFonts w:ascii="Times New Roman" w:cs="Times New Roman" w:eastAsia="Times New Roman" w:hAnsi="Times New Roman"/>
          <w:sz w:val="19"/>
          <w:szCs w:val="19"/>
          <w:b w:val="1"/>
          <w:bCs w:val="1"/>
          <w:color w:val="auto"/>
        </w:rPr>
        <w:t>Exhibit 10.9.4</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CANTALOUPE,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2018 EQUITY INCENTIVE PLAN</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NOTICE OF RESTRICTED STOCK UNIT GRANT AND</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RESTRICTED STOCK UNIT AWARD AGREEMENT</w:t>
      </w:r>
    </w:p>
    <w:p>
      <w:pPr>
        <w:spacing w:after="0" w:line="223" w:lineRule="exact"/>
        <w:rPr>
          <w:sz w:val="20"/>
          <w:szCs w:val="20"/>
          <w:color w:val="auto"/>
        </w:rPr>
      </w:pPr>
    </w:p>
    <w:p>
      <w:pPr>
        <w:jc w:val="both"/>
        <w:ind w:firstLine="321"/>
        <w:spacing w:after="0" w:line="265" w:lineRule="auto"/>
        <w:rPr>
          <w:sz w:val="20"/>
          <w:szCs w:val="20"/>
          <w:color w:val="auto"/>
        </w:rPr>
      </w:pPr>
      <w:r>
        <w:rPr>
          <w:rFonts w:ascii="Times New Roman" w:cs="Times New Roman" w:eastAsia="Times New Roman" w:hAnsi="Times New Roman"/>
          <w:sz w:val="21"/>
          <w:szCs w:val="21"/>
          <w:color w:val="auto"/>
        </w:rPr>
        <w:t>Cantaloupe, Inc., a Pennsylvania corporation, f/k/a USA Technologies, Inc. (the “Company”), pursuant to its 2018 Equity Incentive Plan (as amended from time to time, the “Plan”) hereby grants to the holder listed below (the “Participant”) an award of restricted stock units (“RSUs”) as set forth below. The RSUs are subject to the terms and conditions set forth herein, including in the Notice of Restricted Stock Unit Grant attached at the end of this document (the “Notice”) and the following Restricted Stock Unit Award Agreement (together with the Notice, the “Agreement”), and in the Plan, each of which is incorporated herein by reference. Capitalized terms used but not defined in this document shall have the meanings given to them in the Plan.</w:t>
      </w:r>
    </w:p>
    <w:p>
      <w:pPr>
        <w:spacing w:after="0" w:line="196" w:lineRule="exact"/>
        <w:rPr>
          <w:sz w:val="20"/>
          <w:szCs w:val="20"/>
          <w:color w:val="auto"/>
        </w:rPr>
      </w:pPr>
    </w:p>
    <w:p>
      <w:pPr>
        <w:jc w:val="both"/>
        <w:ind w:firstLine="250"/>
        <w:spacing w:after="0" w:line="251" w:lineRule="auto"/>
        <w:rPr>
          <w:sz w:val="20"/>
          <w:szCs w:val="20"/>
          <w:color w:val="auto"/>
        </w:rPr>
      </w:pPr>
      <w:r>
        <w:rPr>
          <w:rFonts w:ascii="Times New Roman" w:cs="Times New Roman" w:eastAsia="Times New Roman" w:hAnsi="Times New Roman"/>
          <w:sz w:val="22"/>
          <w:szCs w:val="22"/>
          <w:color w:val="auto"/>
        </w:rPr>
        <w:t>By Participant’s electronic acceptance on this site, Participant agrees to be bound by the terms and conditions of the Plan and the Agreement (including, without limitation, the Notice). Participant has reviewed the Plan and the Agreement (including, without limitation, the Notice) in their entirety, has had an opportunity to obtain the advice of counsel prior to executing the Agreement, and fully understands all provisions of the Plan and the Agreement (including, without limitation, the Notice). Participant hereby accepts as binding, conclusive, and final all decisions or interpretations of the Committee upon any questions arising under the Plan or the Agreement (including, without limitation, the Notice).</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Your detailed award information can be found in the Notice, which is attached at the end of this document</w:t>
      </w:r>
      <w:r>
        <w:rPr>
          <w:rFonts w:ascii="Times New Roman" w:cs="Times New Roman" w:eastAsia="Times New Roman" w:hAnsi="Times New Roman"/>
          <w:sz w:val="22"/>
          <w:szCs w:val="22"/>
          <w:color w:val="auto"/>
        </w:rPr>
        <w:t>.</w:t>
      </w:r>
    </w:p>
    <w:p>
      <w:pPr>
        <w:sectPr>
          <w:pgSz w:w="11900" w:h="16838" w:orient="portrait"/>
          <w:cols w:equalWidth="0" w:num="1">
            <w:col w:w="11240"/>
          </w:cols>
          <w:pgMar w:left="320" w:top="1409" w:right="339"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22"/>
          <w:szCs w:val="22"/>
          <w:b w:val="1"/>
          <w:bCs w:val="1"/>
          <w:color w:val="auto"/>
        </w:rPr>
        <w:t>CANTALOUPE, INC.</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RESTRICTED STOCK UNIT AWARD AGREEMENT</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2018 EQUITY INCENTIVE PLAN</w:t>
      </w:r>
    </w:p>
    <w:p>
      <w:pPr>
        <w:spacing w:after="0" w:line="200" w:lineRule="exact"/>
        <w:rPr>
          <w:sz w:val="20"/>
          <w:szCs w:val="20"/>
          <w:color w:val="auto"/>
        </w:rPr>
      </w:pPr>
    </w:p>
    <w:p>
      <w:pPr>
        <w:spacing w:after="0" w:line="30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This Restricted Stock Unit Award Agreement (together with the Notice of Restricted Stock Unit Grant (“Notice”) attached hereto, the “Agreement”) made as of the Grant Date set forth in the Notice, by and between the Participant set forth in the Notice and CANTALOUPE, INC., a Pennsylvania corporation, f/k/a USA Technologies, Inc. (the “Company”).</w:t>
      </w:r>
    </w:p>
    <w:p>
      <w:pPr>
        <w:spacing w:after="0" w:line="19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b w:val="1"/>
          <w:bCs w:val="1"/>
          <w:u w:val="single" w:color="auto"/>
          <w:color w:val="auto"/>
        </w:rPr>
        <w:t>BACKGROUND</w:t>
      </w:r>
    </w:p>
    <w:p>
      <w:pPr>
        <w:spacing w:after="0" w:line="251" w:lineRule="exact"/>
        <w:rPr>
          <w:sz w:val="20"/>
          <w:szCs w:val="20"/>
          <w:color w:val="auto"/>
        </w:rPr>
      </w:pPr>
    </w:p>
    <w:p>
      <w:pPr>
        <w:jc w:val="both"/>
        <w:ind w:right="20" w:firstLine="243"/>
        <w:spacing w:after="0" w:line="256" w:lineRule="auto"/>
        <w:rPr>
          <w:sz w:val="20"/>
          <w:szCs w:val="20"/>
          <w:color w:val="auto"/>
        </w:rPr>
      </w:pPr>
      <w:r>
        <w:rPr>
          <w:rFonts w:ascii="Times New Roman" w:cs="Times New Roman" w:eastAsia="Times New Roman" w:hAnsi="Times New Roman"/>
          <w:sz w:val="22"/>
          <w:szCs w:val="22"/>
          <w:color w:val="auto"/>
        </w:rPr>
        <w:t>Participant is providing services to the Company. The Company’s 2018 Equity Incentive Plan (as amended from time to time, the “Plan”) provides for Awards based upon the Common Stock of the Company. The Company has determined to make an award to Participant of restricted stock units (“RSUs”) as further set forth below. Capitalized terms used but not defined herein shall have the meanings given to such terms in the Plan.</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AGREEMENT</w:t>
      </w:r>
    </w:p>
    <w:p>
      <w:pPr>
        <w:spacing w:after="0" w:line="2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NOW, THEREFORE, in consideration of the covenants set forth herein, and intending to be legally bound hereby,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Company and Participant agree as follows:</w:t>
      </w:r>
    </w:p>
    <w:p>
      <w:pPr>
        <w:spacing w:after="0" w:line="232" w:lineRule="exact"/>
        <w:rPr>
          <w:sz w:val="20"/>
          <w:szCs w:val="20"/>
          <w:color w:val="auto"/>
        </w:rPr>
      </w:pPr>
    </w:p>
    <w:p>
      <w:pPr>
        <w:jc w:val="both"/>
        <w:ind w:right="20" w:firstLine="656"/>
        <w:spacing w:after="0" w:line="251" w:lineRule="auto"/>
        <w:tabs>
          <w:tab w:leader="none" w:pos="1296"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Grant of RSUs</w:t>
      </w:r>
      <w:r>
        <w:rPr>
          <w:rFonts w:ascii="Times New Roman" w:cs="Times New Roman" w:eastAsia="Times New Roman" w:hAnsi="Times New Roman"/>
          <w:sz w:val="22"/>
          <w:szCs w:val="22"/>
          <w:color w:val="auto"/>
        </w:rPr>
        <w:t>. Subject to the terms hereof, the Company hereby grants to Participant an award of the number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RSUs set forth in the Notice pursuant to the Plan. Each RSU represents the right to receive one (1) share of the Company’s Common Stock (each, a “Share”) upon vesting and settlement in accordance with Sections 2 and 3 below. The RSUs (and the Shares underlying the RSUs) are not vested and shall be subject to forfeiture by Participant as more fully described in Section 2 below.</w:t>
      </w:r>
    </w:p>
    <w:p>
      <w:pPr>
        <w:spacing w:after="0" w:line="189" w:lineRule="exact"/>
        <w:rPr>
          <w:rFonts w:ascii="Times New Roman" w:cs="Times New Roman" w:eastAsia="Times New Roman" w:hAnsi="Times New Roman"/>
          <w:sz w:val="22"/>
          <w:szCs w:val="22"/>
          <w:color w:val="auto"/>
        </w:rPr>
      </w:pPr>
    </w:p>
    <w:p>
      <w:pPr>
        <w:jc w:val="both"/>
        <w:ind w:firstLine="656"/>
        <w:spacing w:after="0" w:line="253" w:lineRule="auto"/>
        <w:tabs>
          <w:tab w:leader="none" w:pos="1296"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Vesting of RSUs</w:t>
      </w:r>
      <w:r>
        <w:rPr>
          <w:rFonts w:ascii="Times New Roman" w:cs="Times New Roman" w:eastAsia="Times New Roman" w:hAnsi="Times New Roman"/>
          <w:sz w:val="22"/>
          <w:szCs w:val="22"/>
          <w:color w:val="auto"/>
        </w:rPr>
        <w:t>. Except as otherwise provided in the Plan, the RSUs shall vest as provided in the Notice.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RSUs that are not vested pursuant to the preceding sentence on the date of Participant’s termination of Service for any reason shall be immediately forfeited on the date of such termination for no consideration. Upon a Change of Control that occurs after the Grant Date, Section 9 of the Plan shall apply.</w:t>
      </w:r>
    </w:p>
    <w:p>
      <w:pPr>
        <w:spacing w:after="0" w:line="175"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Settlement; Issuance of Shares</w:t>
      </w:r>
      <w:r>
        <w:rPr>
          <w:rFonts w:ascii="Times New Roman" w:cs="Times New Roman" w:eastAsia="Times New Roman" w:hAnsi="Times New Roman"/>
          <w:sz w:val="21"/>
          <w:szCs w:val="21"/>
          <w:color w:val="auto"/>
        </w:rPr>
        <w:t>. One (1) Share shall be issued in respect of each vested RSU, if any, within thirty</w:t>
      </w:r>
    </w:p>
    <w:p>
      <w:pPr>
        <w:spacing w:after="0" w:line="44" w:lineRule="exact"/>
        <w:rPr>
          <w:rFonts w:ascii="Times New Roman" w:cs="Times New Roman" w:eastAsia="Times New Roman" w:hAnsi="Times New Roman"/>
          <w:sz w:val="21"/>
          <w:szCs w:val="21"/>
          <w:color w:val="auto"/>
        </w:rPr>
      </w:pPr>
    </w:p>
    <w:p>
      <w:pPr>
        <w:jc w:val="both"/>
        <w:ind w:right="20" w:firstLine="8"/>
        <w:spacing w:after="0" w:line="251" w:lineRule="auto"/>
        <w:tabs>
          <w:tab w:leader="none" w:pos="428"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following the applicable date on which such RSU vested. The Company shall issue any such Shares registered in the name of Participant, Participant’s authorized assignee, or Participant’s legal representative, which shall be evidenced by stock certificates representing the Shares with the appropriate legends affixed thereto,</w:t>
      </w:r>
    </w:p>
    <w:p>
      <w:pPr>
        <w:sectPr>
          <w:pgSz w:w="11900" w:h="16838" w:orient="portrait"/>
          <w:cols w:equalWidth="0" w:num="1">
            <w:col w:w="11240"/>
          </w:cols>
          <w:pgMar w:left="320" w:top="1418" w:right="339" w:bottom="1440" w:gutter="0" w:footer="0" w:header="0"/>
        </w:sectPr>
      </w:pPr>
    </w:p>
    <w:bookmarkStart w:id="99" w:name="page100"/>
    <w:bookmarkEnd w:id="99"/>
    <w:p>
      <w:pPr>
        <w:ind w:right="20"/>
        <w:spacing w:after="0" w:line="271" w:lineRule="auto"/>
        <w:rPr>
          <w:sz w:val="20"/>
          <w:szCs w:val="20"/>
          <w:color w:val="auto"/>
        </w:rPr>
      </w:pPr>
      <w:r>
        <w:rPr>
          <w:rFonts w:ascii="Times New Roman" w:cs="Times New Roman" w:eastAsia="Times New Roman" w:hAnsi="Times New Roman"/>
          <w:sz w:val="22"/>
          <w:szCs w:val="22"/>
          <w:color w:val="auto"/>
        </w:rPr>
        <w:t>appropriate entry on the books of the Company or of a duly authorized transfer agent, or other appropriate means as determined by the Company.</w:t>
      </w:r>
    </w:p>
    <w:p>
      <w:pPr>
        <w:spacing w:after="0" w:line="154" w:lineRule="exact"/>
        <w:rPr>
          <w:sz w:val="20"/>
          <w:szCs w:val="20"/>
          <w:color w:val="auto"/>
        </w:rPr>
      </w:pPr>
    </w:p>
    <w:p>
      <w:pPr>
        <w:jc w:val="both"/>
        <w:ind w:firstLine="656"/>
        <w:spacing w:after="0" w:line="265" w:lineRule="auto"/>
        <w:tabs>
          <w:tab w:leader="none" w:pos="1296"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Restriction on Transfer</w:t>
      </w:r>
      <w:r>
        <w:rPr>
          <w:rFonts w:ascii="Times New Roman" w:cs="Times New Roman" w:eastAsia="Times New Roman" w:hAnsi="Times New Roman"/>
          <w:sz w:val="22"/>
          <w:szCs w:val="22"/>
          <w:color w:val="auto"/>
        </w:rPr>
        <w:t>. The RSUs shall be non-transferable, and Participant shall not sell, transfer, pledge,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hypothecate or otherwise dispose of any RSUs or any Shares underlying the RSUs until such Shares have been delivered to Participant in accordance with Section 3.</w:t>
      </w:r>
    </w:p>
    <w:p>
      <w:pPr>
        <w:spacing w:after="0" w:line="161" w:lineRule="exact"/>
        <w:rPr>
          <w:rFonts w:ascii="Times New Roman" w:cs="Times New Roman" w:eastAsia="Times New Roman" w:hAnsi="Times New Roman"/>
          <w:sz w:val="22"/>
          <w:szCs w:val="22"/>
          <w:color w:val="auto"/>
        </w:rPr>
      </w:pPr>
    </w:p>
    <w:p>
      <w:pPr>
        <w:jc w:val="both"/>
        <w:ind w:firstLine="656"/>
        <w:spacing w:after="0" w:line="254" w:lineRule="auto"/>
        <w:tabs>
          <w:tab w:leader="none" w:pos="1296"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 Right to Continued Service; No Rights as Shareholder</w:t>
      </w:r>
      <w:r>
        <w:rPr>
          <w:rFonts w:ascii="Times New Roman" w:cs="Times New Roman" w:eastAsia="Times New Roman" w:hAnsi="Times New Roman"/>
          <w:sz w:val="22"/>
          <w:szCs w:val="22"/>
          <w:color w:val="auto"/>
        </w:rPr>
        <w:t>. Neither the Plan nor this Agreement shall confer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upon Participant any right to be retained in any capacity as a service provider to the Company or any of its affiliates. Participant shall not have any rights as a shareholder with respect to any Shares subject to the RSUs unless and until certificates representing the Shares have been issued by the Company to the holder of such Shares, or the Shares have otherwise been recorded on the books of the Company or of a duly authorized transfer agent as owned by such holder.</w:t>
      </w:r>
    </w:p>
    <w:p>
      <w:pPr>
        <w:spacing w:after="0" w:line="173" w:lineRule="exact"/>
        <w:rPr>
          <w:rFonts w:ascii="Times New Roman" w:cs="Times New Roman" w:eastAsia="Times New Roman" w:hAnsi="Times New Roman"/>
          <w:sz w:val="22"/>
          <w:szCs w:val="22"/>
          <w:color w:val="auto"/>
        </w:rPr>
      </w:pPr>
    </w:p>
    <w:p>
      <w:pPr>
        <w:jc w:val="both"/>
        <w:ind w:firstLine="656"/>
        <w:spacing w:after="0" w:line="247" w:lineRule="auto"/>
        <w:tabs>
          <w:tab w:leader="none" w:pos="1296"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Tax Consequences; Section 409A</w:t>
      </w:r>
      <w:r>
        <w:rPr>
          <w:rFonts w:ascii="Times New Roman" w:cs="Times New Roman" w:eastAsia="Times New Roman" w:hAnsi="Times New Roman"/>
          <w:sz w:val="22"/>
          <w:szCs w:val="22"/>
          <w:color w:val="auto"/>
        </w:rPr>
        <w:t>. Participant understands that Participant (and not the Company)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responsible for Participant’s tax liability that may arise as a result of the transactions contemplated by this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Participant acknowledges and agrees that the Company shall have the right to deduct from payments of any kind otherwise due to Participant any federal, state, or local taxes of any kind required by law to be withheld with respect to the grant of this Award, the vesting of the RSUs, or the issuance of the Shares in accordance with the procedures set forth in Section 10 of the Plan, which is expressly incorporated by reference herein. This Agreement and the RSUs are intended to comply with, or be exempt from, the provisions of Section 409A of the Code and shall be interpreted in accordance with Section 409A of the Code and the Treasury regulations and other interpretive guidance issued thereunder (“Section 409A”). If the Company at any time determines that this Agreement or the RSUs are not compliant with, or otherwise exempt from, Section 409A, the Company may amend this Agreement or adopt other policies and procedures (including amendments, policies, and procedures with retroactive effect), or take any other actions, that the Company determines to be necessary or appropriate to cause this Agreement and the transactions contemplated thereby to (i) comply with Section 409A, or (ii) otherwise be exempt from Section 409A. For the avoidance of doubt, any termination of Participant’s Service must constitute a “separation from service” (as defined under Section 409A) in order to be deemed a termination of Service hereunder.</w:t>
      </w:r>
    </w:p>
    <w:p>
      <w:pPr>
        <w:spacing w:after="0" w:line="202" w:lineRule="exact"/>
        <w:rPr>
          <w:rFonts w:ascii="Times New Roman" w:cs="Times New Roman" w:eastAsia="Times New Roman" w:hAnsi="Times New Roman"/>
          <w:sz w:val="22"/>
          <w:szCs w:val="22"/>
          <w:color w:val="auto"/>
        </w:rPr>
      </w:pPr>
    </w:p>
    <w:p>
      <w:pPr>
        <w:jc w:val="both"/>
        <w:ind w:firstLine="656"/>
        <w:spacing w:after="0" w:line="249" w:lineRule="auto"/>
        <w:tabs>
          <w:tab w:leader="none" w:pos="1296"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Compliance with Law</w:t>
      </w:r>
      <w:r>
        <w:rPr>
          <w:rFonts w:ascii="Times New Roman" w:cs="Times New Roman" w:eastAsia="Times New Roman" w:hAnsi="Times New Roman"/>
          <w:sz w:val="22"/>
          <w:szCs w:val="22"/>
          <w:color w:val="auto"/>
        </w:rPr>
        <w:t>. The issuance of Shares shall be subject to compliance by the Company and the Participant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all applicable requirements of federal and state securities laws and with all applicable requirements of any stock exchange on which the Shares may be listed. No Shares shall be issued or transferred unless and until any then applicable requirements of state or federal laws and regulatory agencies have been fully complied with to the satisfaction of the Company and its counsel. Participant understands that the Company is under no obligation to register any Shares with the Securities and Exchange Commission, any state securities commission or any stock exchange to effect such compliance.</w:t>
      </w:r>
    </w:p>
    <w:p>
      <w:pPr>
        <w:sectPr>
          <w:pgSz w:w="11900" w:h="16838" w:orient="portrait"/>
          <w:cols w:equalWidth="0" w:num="1">
            <w:col w:w="11240"/>
          </w:cols>
          <w:pgMar w:left="320" w:top="1422" w:right="339" w:bottom="1440" w:gutter="0" w:footer="0" w:header="0"/>
        </w:sectPr>
      </w:pPr>
    </w:p>
    <w:bookmarkStart w:id="100" w:name="page101"/>
    <w:bookmarkEnd w:id="100"/>
    <w:p>
      <w:pPr>
        <w:jc w:val="both"/>
        <w:ind w:firstLine="656"/>
        <w:spacing w:after="0" w:line="252" w:lineRule="auto"/>
        <w:tabs>
          <w:tab w:leader="none" w:pos="1296"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Notices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notice to the Company provided for in this Agreement shall be addressed to the Company in care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chief executive officer at the corporate headquarters of the Company, and any notice to Participant shall be addressed to Participant at the current address shown in the Company’s records, or to such other address as Participant may designate to the Company in writing. Any notice shall be delivered by hand, sent by telecopy, sent by electronic mail, or enclosed in a properly sealed envelope addressed as stated above, registered and deposited, postage prepaid, in a post office regularly maintained by the United States Postal Service.</w:t>
      </w:r>
    </w:p>
    <w:p>
      <w:pPr>
        <w:spacing w:after="0" w:line="174" w:lineRule="exact"/>
        <w:rPr>
          <w:rFonts w:ascii="Times New Roman" w:cs="Times New Roman" w:eastAsia="Times New Roman" w:hAnsi="Times New Roman"/>
          <w:sz w:val="22"/>
          <w:szCs w:val="22"/>
          <w:color w:val="auto"/>
        </w:rPr>
      </w:pPr>
    </w:p>
    <w:p>
      <w:pPr>
        <w:ind w:firstLine="656"/>
        <w:spacing w:after="0" w:line="275" w:lineRule="auto"/>
        <w:tabs>
          <w:tab w:leader="none" w:pos="1296"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Governing Law</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implementation and interpretation of this Agreement shall be governed by and enforced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accordance with the laws of the Commonwealth of Pennsylvania without regard to its conflict of laws rules.</w:t>
      </w:r>
    </w:p>
    <w:p>
      <w:pPr>
        <w:spacing w:after="0" w:line="162" w:lineRule="exact"/>
        <w:rPr>
          <w:rFonts w:ascii="Times New Roman" w:cs="Times New Roman" w:eastAsia="Times New Roman" w:hAnsi="Times New Roman"/>
          <w:sz w:val="22"/>
          <w:szCs w:val="22"/>
          <w:color w:val="auto"/>
        </w:rPr>
      </w:pPr>
    </w:p>
    <w:p>
      <w:pPr>
        <w:jc w:val="both"/>
        <w:ind w:firstLine="656"/>
        <w:spacing w:after="0" w:line="259" w:lineRule="auto"/>
        <w:tabs>
          <w:tab w:leader="none" w:pos="1296"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Binding Effect and Assignability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rights and obligations of both parties under this Agreement shall inure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benefit of and shall be binding upon their personal representatives, heirs, successors and assigns. This Agreement, or any part thereof, may not be assigned by Participant.</w:t>
      </w:r>
    </w:p>
    <w:p>
      <w:pPr>
        <w:spacing w:after="0" w:line="166" w:lineRule="exact"/>
        <w:rPr>
          <w:rFonts w:ascii="Times New Roman" w:cs="Times New Roman" w:eastAsia="Times New Roman" w:hAnsi="Times New Roman"/>
          <w:sz w:val="22"/>
          <w:szCs w:val="22"/>
          <w:color w:val="auto"/>
        </w:rPr>
      </w:pPr>
    </w:p>
    <w:p>
      <w:pPr>
        <w:jc w:val="both"/>
        <w:ind w:firstLine="656"/>
        <w:spacing w:after="0" w:line="250" w:lineRule="auto"/>
        <w:tabs>
          <w:tab w:leader="none" w:pos="1288"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Data Privacy Consent.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order to administer the Plan and this Agreement and to implement or structure future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or this Agreement (the “Relevant Information”). By entering into this Agreement, Participant: (i) authorizes the Company to collect, process, register, and transfer to the Relevant Companies all Relevant Information; (ii) waives any privacy rights that Participant may have with respect to the Relevant Information; and (iii) authorizes the Relevant Companies to store and transmit such information in electronic form. Participant shall have access to, and the right to change, the Relevant Information. Relevant Information will only be used in accordance with applicable law.</w:t>
      </w:r>
    </w:p>
    <w:p>
      <w:pPr>
        <w:spacing w:after="0" w:line="179" w:lineRule="exact"/>
        <w:rPr>
          <w:rFonts w:ascii="Times New Roman" w:cs="Times New Roman" w:eastAsia="Times New Roman" w:hAnsi="Times New Roman"/>
          <w:sz w:val="22"/>
          <w:szCs w:val="22"/>
          <w:color w:val="auto"/>
        </w:rPr>
      </w:pPr>
    </w:p>
    <w:p>
      <w:pPr>
        <w:jc w:val="both"/>
        <w:ind w:right="20" w:firstLine="656"/>
        <w:spacing w:after="0" w:line="259" w:lineRule="auto"/>
        <w:tabs>
          <w:tab w:leader="none" w:pos="1296"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Severability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invalidity or unenforceability of any provision of the Plan or this Agreement shall not affect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validity or enforceability of any other provision of the Plan or this Agreement, and each provision of the Plan and this Agreement shall be severable and enforceable to the extent permitted by law.</w:t>
      </w:r>
    </w:p>
    <w:p>
      <w:pPr>
        <w:spacing w:after="0" w:line="166" w:lineRule="exact"/>
        <w:rPr>
          <w:rFonts w:ascii="Times New Roman" w:cs="Times New Roman" w:eastAsia="Times New Roman" w:hAnsi="Times New Roman"/>
          <w:sz w:val="22"/>
          <w:szCs w:val="22"/>
          <w:color w:val="auto"/>
        </w:rPr>
      </w:pPr>
    </w:p>
    <w:p>
      <w:pPr>
        <w:jc w:val="both"/>
        <w:ind w:firstLine="656"/>
        <w:spacing w:after="0" w:line="252" w:lineRule="auto"/>
        <w:tabs>
          <w:tab w:leader="none" w:pos="1296"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Entire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and the Plan constitute the entire agreement with respect to the subject matter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hereof between the parties hereto and there are no other agreements between the parties relating to the subject matter hereof. The Company and Participant have made no promises, agreements, conditions, or understandings relating to the RSUs, either orally or in writing, that are not included in this Agreement or the Plan. This Agreement may only be modified by an agreement in writing executed by both the Company and Participant. Emailed copies (pdf format) of any party’s signature hereto will have the same effect as an original signature.</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[Notice of Restricted Stock Unit Grant Follows]</w:t>
      </w:r>
    </w:p>
    <w:p>
      <w:pPr>
        <w:sectPr>
          <w:pgSz w:w="11900" w:h="16838" w:orient="portrait"/>
          <w:cols w:equalWidth="0" w:num="1">
            <w:col w:w="11240"/>
          </w:cols>
          <w:pgMar w:left="320" w:top="1418" w:right="339" w:bottom="1440" w:gutter="0" w:footer="0" w:header="0"/>
        </w:sectPr>
      </w:pPr>
    </w:p>
    <w:bookmarkStart w:id="101" w:name="page102"/>
    <w:bookmarkEnd w:id="101"/>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CANTALOUPE,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2018 EQUITY INCENTIVE PLAN</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NOTICE OF RESTRICTED STOCK UNIT GRANT</w:t>
      </w:r>
    </w:p>
    <w:p>
      <w:pPr>
        <w:spacing w:after="0" w:line="23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Cantaloupe, Inc., a Pennsylvania corporation, f/k/a USA Technologies, Inc. (the “Company”) has granted to you, the “Participant” named below, an award of restricted stock units (“RSUs”) under the Company’s 2018 Equity Incentive Plan (as amended from time to time, the “Plan”). The terms of the grant are set forth in the Restricted Stock Unit Award Agreement (together with this Notice of Restricted Stock Unit Grant, the “Agreement”) provided to you and which immediately precedes this Notice. The following provides a summary of the key terms of your award; however, you should read the entire Agreement, along with the terms of the Plan, to fully understand your award and the terms and conditions applicable to it.</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SUMMARY OF RESTRICTED STOCK UNIT AWARD</w:t>
      </w:r>
    </w:p>
    <w:p>
      <w:pPr>
        <w:sectPr>
          <w:pgSz w:w="11900" w:h="16838" w:orient="portrait"/>
          <w:cols w:equalWidth="0" w:num="1">
            <w:col w:w="11240"/>
          </w:cols>
          <w:pgMar w:left="320" w:top="1418" w:right="339" w:bottom="1440" w:gutter="0" w:footer="0" w:header="0"/>
        </w:sect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Participant:</w: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_________________________________</w:t>
      </w:r>
    </w:p>
    <w:p>
      <w:pPr>
        <w:spacing w:after="0" w:line="200" w:lineRule="exact"/>
        <w:rPr>
          <w:sz w:val="20"/>
          <w:szCs w:val="20"/>
          <w:color w:val="auto"/>
        </w:rPr>
      </w:pPr>
    </w:p>
    <w:p>
      <w:pPr>
        <w:sectPr>
          <w:pgSz w:w="11900" w:h="16838" w:orient="portrait"/>
          <w:cols w:equalWidth="0" w:num="2">
            <w:col w:w="1140" w:space="720"/>
            <w:col w:w="9380"/>
          </w:cols>
          <w:pgMar w:left="320" w:top="1418" w:right="339" w:bottom="1440" w:gutter="0" w:footer="0" w:header="0"/>
          <w:type w:val="continuous"/>
        </w:sectPr>
      </w:pP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Grant Date:</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_________________________________</w:t>
      </w:r>
    </w:p>
    <w:p>
      <w:pPr>
        <w:spacing w:after="0" w:line="200" w:lineRule="exact"/>
        <w:rPr>
          <w:sz w:val="20"/>
          <w:szCs w:val="20"/>
          <w:color w:val="auto"/>
        </w:rPr>
      </w:pPr>
    </w:p>
    <w:p>
      <w:pPr>
        <w:sectPr>
          <w:pgSz w:w="11900" w:h="16838" w:orient="portrait"/>
          <w:cols w:equalWidth="0" w:num="2">
            <w:col w:w="1160" w:space="720"/>
            <w:col w:w="9360"/>
          </w:cols>
          <w:pgMar w:left="320" w:top="1418" w:right="339" w:bottom="1440" w:gutter="0" w:footer="0" w:header="0"/>
          <w:type w:val="continuous"/>
        </w:sectPr>
      </w:pPr>
    </w:p>
    <w:p>
      <w:pPr>
        <w:spacing w:after="0" w:line="58" w:lineRule="exact"/>
        <w:rPr>
          <w:sz w:val="20"/>
          <w:szCs w:val="20"/>
          <w:color w:val="auto"/>
        </w:rPr>
      </w:pPr>
    </w:p>
    <w:p>
      <w:pPr>
        <w:spacing w:after="0"/>
        <w:tabs>
          <w:tab w:leader="none" w:pos="3000" w:val="left"/>
        </w:tabs>
        <w:rPr>
          <w:sz w:val="20"/>
          <w:szCs w:val="20"/>
          <w:color w:val="auto"/>
        </w:rPr>
      </w:pPr>
      <w:r>
        <w:rPr>
          <w:rFonts w:ascii="Times New Roman" w:cs="Times New Roman" w:eastAsia="Times New Roman" w:hAnsi="Times New Roman"/>
          <w:sz w:val="22"/>
          <w:szCs w:val="22"/>
          <w:color w:val="auto"/>
        </w:rPr>
        <w:t>Total Number of RSUs Granted:</w:t>
      </w:r>
      <w:r>
        <w:rPr>
          <w:sz w:val="20"/>
          <w:szCs w:val="20"/>
          <w:color w:val="auto"/>
        </w:rPr>
        <w:tab/>
      </w:r>
      <w:r>
        <w:rPr>
          <w:rFonts w:ascii="Times New Roman" w:cs="Times New Roman" w:eastAsia="Times New Roman" w:hAnsi="Times New Roman"/>
          <w:sz w:val="21"/>
          <w:szCs w:val="21"/>
          <w:color w:val="auto"/>
        </w:rPr>
        <w:t>_________________________________</w:t>
      </w:r>
    </w:p>
    <w:p>
      <w:pPr>
        <w:spacing w:after="0" w:line="247" w:lineRule="exact"/>
        <w:rPr>
          <w:sz w:val="20"/>
          <w:szCs w:val="20"/>
          <w:color w:val="auto"/>
        </w:rPr>
      </w:pPr>
    </w:p>
    <w:p>
      <w:pPr>
        <w:spacing w:after="0"/>
        <w:tabs>
          <w:tab w:leader="none" w:pos="2840" w:val="left"/>
        </w:tabs>
        <w:rPr>
          <w:sz w:val="20"/>
          <w:szCs w:val="20"/>
          <w:color w:val="auto"/>
        </w:rPr>
      </w:pPr>
      <w:r>
        <w:rPr>
          <w:rFonts w:ascii="Times New Roman" w:cs="Times New Roman" w:eastAsia="Times New Roman" w:hAnsi="Times New Roman"/>
          <w:sz w:val="22"/>
          <w:szCs w:val="22"/>
          <w:color w:val="auto"/>
        </w:rPr>
        <w:t>Vesting Commencement Date:</w:t>
      </w:r>
      <w:r>
        <w:rPr>
          <w:sz w:val="20"/>
          <w:szCs w:val="20"/>
          <w:color w:val="auto"/>
        </w:rPr>
        <w:tab/>
      </w:r>
      <w:r>
        <w:rPr>
          <w:rFonts w:ascii="Times New Roman" w:cs="Times New Roman" w:eastAsia="Times New Roman" w:hAnsi="Times New Roman"/>
          <w:sz w:val="21"/>
          <w:szCs w:val="21"/>
          <w:color w:val="auto"/>
        </w:rPr>
        <w:t>_________________________________</w:t>
      </w:r>
    </w:p>
    <w:p>
      <w:pPr>
        <w:spacing w:after="0" w:line="256" w:lineRule="exact"/>
        <w:rPr>
          <w:sz w:val="20"/>
          <w:szCs w:val="20"/>
          <w:color w:val="auto"/>
        </w:rPr>
      </w:pPr>
    </w:p>
    <w:p>
      <w:pPr>
        <w:ind w:left="1840" w:right="20" w:hanging="3239"/>
        <w:spacing w:after="0" w:line="275" w:lineRule="auto"/>
        <w:tabs>
          <w:tab w:leader="none" w:pos="1820" w:val="left"/>
        </w:tabs>
        <w:rPr>
          <w:sz w:val="20"/>
          <w:szCs w:val="20"/>
          <w:color w:val="auto"/>
        </w:rPr>
      </w:pPr>
      <w:r>
        <w:rPr>
          <w:rFonts w:ascii="Times New Roman" w:cs="Times New Roman" w:eastAsia="Times New Roman" w:hAnsi="Times New Roman"/>
          <w:sz w:val="22"/>
          <w:szCs w:val="22"/>
          <w:color w:val="auto"/>
        </w:rPr>
        <w:t>Vesting Schedule:</w:t>
        <w:tab/>
        <w:t>[One-third (1/3) of the RSUs shall vest [</w:t>
      </w:r>
      <w:r>
        <w:rPr>
          <w:rFonts w:ascii="Times New Roman" w:cs="Times New Roman" w:eastAsia="Times New Roman" w:hAnsi="Times New Roman"/>
          <w:sz w:val="22"/>
          <w:szCs w:val="22"/>
          <w:i w:val="1"/>
          <w:iCs w:val="1"/>
          <w:color w:val="auto"/>
        </w:rPr>
        <w:t>insert vesting schedule</w:t>
      </w:r>
      <w:r>
        <w:rPr>
          <w:rFonts w:ascii="Times New Roman" w:cs="Times New Roman" w:eastAsia="Times New Roman" w:hAnsi="Times New Roman"/>
          <w:sz w:val="22"/>
          <w:szCs w:val="22"/>
          <w:color w:val="auto"/>
        </w:rPr>
        <w:t>], subject to Participant’s continued Service through each such date*]</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*Unless otherwise provided in the Agreement or the Plan.</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Follows]</w:t>
      </w:r>
    </w:p>
    <w:p>
      <w:pPr>
        <w:sectPr>
          <w:pgSz w:w="11900" w:h="16838" w:orient="portrait"/>
          <w:cols w:equalWidth="0" w:num="1">
            <w:col w:w="11240"/>
          </w:cols>
          <w:pgMar w:left="320" w:top="1418" w:right="339" w:bottom="1440" w:gutter="0" w:footer="0" w:header="0"/>
          <w:type w:val="continuous"/>
        </w:sectPr>
      </w:pPr>
    </w:p>
    <w:bookmarkStart w:id="102" w:name="page103"/>
    <w:bookmarkEnd w:id="102"/>
    <w:p>
      <w:pPr>
        <w:ind w:left="580"/>
        <w:spacing w:after="0"/>
        <w:rPr>
          <w:sz w:val="20"/>
          <w:szCs w:val="20"/>
          <w:color w:val="auto"/>
        </w:rPr>
      </w:pPr>
      <w:r>
        <w:rPr>
          <w:rFonts w:ascii="Times New Roman" w:cs="Times New Roman" w:eastAsia="Times New Roman" w:hAnsi="Times New Roman"/>
          <w:sz w:val="22"/>
          <w:szCs w:val="22"/>
          <w:color w:val="auto"/>
        </w:rPr>
        <w:t>IN WITNESS WHEREOF, the parties hereto have executed this Agreement as of the Grant Date.</w:t>
      </w:r>
    </w:p>
    <w:p>
      <w:pPr>
        <w:spacing w:after="0" w:line="58"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color w:val="auto"/>
        </w:rPr>
        <w:t>CANTALOUPE, INC.</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color w:val="auto"/>
        </w:rPr>
        <w:t>By:__________________________</w:t>
      </w:r>
    </w:p>
    <w:p>
      <w:pPr>
        <w:spacing w:after="0" w:line="2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Name:</w:t>
      </w:r>
    </w:p>
    <w:p>
      <w:pPr>
        <w:spacing w:after="0" w:line="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b w:val="1"/>
          <w:bCs w:val="1"/>
          <w:color w:val="auto"/>
        </w:rPr>
        <w:t>THE UNDERSIGNED PARTICIPANT ACKNOWLEDGES RECEIPT OF THIS NOTICE OF RESTRICTED STOCK UNIT GRANT, THE RESTRICTED STOCK UNIT AWARD AGREEMENT, ANY EXHIBIT ATTACHED THERETO, AND THE PLAN, AND, AS AN EXPRESS CONDITION TO THE GRANT OF RESTRICTED STOCK UNITS HEREUNDER, AGREES TO BE BOUND BY THE TERMS OF THIS NOTICE OF RESTRICTED STOCK UNIT GRANT, THE RESTRICTED STOCK UNIT AWARD AGREEMENT, ANY EXHIBIT ATTACHED THERETO, AND THE PLAN.</w:t>
      </w:r>
    </w:p>
    <w:p>
      <w:pPr>
        <w:spacing w:after="0" w:line="19"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color w:val="auto"/>
        </w:rPr>
        <w:t>PARTICIPANT</w:t>
      </w:r>
    </w:p>
    <w:p>
      <w:pPr>
        <w:spacing w:after="0" w:line="200" w:lineRule="exact"/>
        <w:rPr>
          <w:sz w:val="20"/>
          <w:szCs w:val="20"/>
          <w:color w:val="auto"/>
        </w:rPr>
      </w:pPr>
    </w:p>
    <w:p>
      <w:pPr>
        <w:spacing w:after="0" w:line="290"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color w:val="auto"/>
        </w:rPr>
        <w:t>_____________________________</w:t>
      </w:r>
    </w:p>
    <w:p>
      <w:pPr>
        <w:spacing w:after="0" w:line="29"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color w:val="auto"/>
        </w:rPr>
        <w:t>___________________</w:t>
      </w:r>
    </w:p>
    <w:p>
      <w:pPr>
        <w:sectPr>
          <w:pgSz w:w="11900" w:h="16838" w:orient="portrait"/>
          <w:cols w:equalWidth="0" w:num="1">
            <w:col w:w="11100"/>
          </w:cols>
          <w:pgMar w:left="400" w:top="1422" w:right="39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CANTALOUPE, INC.</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INSIDER TRADING COMPLIANCE POLICY</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(As adopted on September 5, 2024)</w:t>
      </w:r>
    </w:p>
    <w:p>
      <w:pPr>
        <w:spacing w:after="0" w:line="23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This Insider Trading Compliance Policy (the “</w:t>
      </w:r>
      <w:r>
        <w:rPr>
          <w:rFonts w:ascii="Times New Roman" w:cs="Times New Roman" w:eastAsia="Times New Roman" w:hAnsi="Times New Roman"/>
          <w:sz w:val="21"/>
          <w:szCs w:val="21"/>
          <w:u w:val="single" w:color="auto"/>
          <w:color w:val="auto"/>
        </w:rPr>
        <w:t>Policy</w:t>
      </w:r>
      <w:r>
        <w:rPr>
          <w:rFonts w:ascii="Times New Roman" w:cs="Times New Roman" w:eastAsia="Times New Roman" w:hAnsi="Times New Roman"/>
          <w:sz w:val="20"/>
          <w:szCs w:val="20"/>
          <w:color w:val="auto"/>
        </w:rPr>
        <w:t>”) concerns the handling of material, non-public information relating to Cantaloupe, Inc. (“</w:t>
      </w:r>
      <w:r>
        <w:rPr>
          <w:rFonts w:ascii="Times New Roman" w:cs="Times New Roman" w:eastAsia="Times New Roman" w:hAnsi="Times New Roman"/>
          <w:sz w:val="21"/>
          <w:szCs w:val="21"/>
          <w:u w:val="single" w:color="auto"/>
          <w:color w:val="auto"/>
        </w:rPr>
        <w:t>Cantaloupe</w:t>
      </w:r>
      <w:r>
        <w:rPr>
          <w:rFonts w:ascii="Times New Roman" w:cs="Times New Roman" w:eastAsia="Times New Roman" w:hAnsi="Times New Roman"/>
          <w:sz w:val="20"/>
          <w:szCs w:val="20"/>
          <w:color w:val="auto"/>
        </w:rPr>
        <w:t>”,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0"/>
          <w:szCs w:val="20"/>
          <w:color w:val="auto"/>
        </w:rPr>
        <w:t>”, “</w:t>
      </w:r>
      <w:r>
        <w:rPr>
          <w:rFonts w:ascii="Times New Roman" w:cs="Times New Roman" w:eastAsia="Times New Roman" w:hAnsi="Times New Roman"/>
          <w:sz w:val="21"/>
          <w:szCs w:val="21"/>
          <w:u w:val="single" w:color="auto"/>
          <w:color w:val="auto"/>
        </w:rPr>
        <w:t>our</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1"/>
          <w:szCs w:val="21"/>
          <w:u w:val="single" w:color="auto"/>
          <w:color w:val="auto"/>
        </w:rPr>
        <w:t>we</w:t>
      </w:r>
      <w:r>
        <w:rPr>
          <w:rFonts w:ascii="Times New Roman" w:cs="Times New Roman" w:eastAsia="Times New Roman" w:hAnsi="Times New Roman"/>
          <w:sz w:val="20"/>
          <w:szCs w:val="20"/>
          <w:color w:val="auto"/>
        </w:rPr>
        <w:t>”) or other companies with which we deal and with the buying and selling of stock and other securities of Cantaloupe and such other companies.</w:t>
      </w:r>
    </w:p>
    <w:p>
      <w:pPr>
        <w:spacing w:after="0" w:line="204"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This Policy is in addition to other Company policies and agreements to which employees, officers and directors are subject, including any confidentiality agreements and the Company’s Code of Business Conduct and Ethics.</w:t>
      </w:r>
    </w:p>
    <w:p>
      <w:pPr>
        <w:spacing w:after="0" w:line="212" w:lineRule="exact"/>
        <w:rPr>
          <w:sz w:val="20"/>
          <w:szCs w:val="20"/>
          <w:color w:val="auto"/>
        </w:rPr>
      </w:pPr>
    </w:p>
    <w:p>
      <w:pPr>
        <w:ind w:left="660" w:hanging="328"/>
        <w:spacing w:after="0"/>
        <w:tabs>
          <w:tab w:leader="none" w:pos="660" w:val="left"/>
        </w:tabs>
        <w:numPr>
          <w:ilvl w:val="0"/>
          <w:numId w:val="54"/>
        </w:numPr>
        <w:rPr>
          <w:rFonts w:ascii="Arial" w:cs="Arial" w:eastAsia="Arial" w:hAnsi="Arial"/>
          <w:sz w:val="22"/>
          <w:szCs w:val="22"/>
          <w:color w:val="auto"/>
        </w:rPr>
      </w:pPr>
      <w:r>
        <w:rPr>
          <w:rFonts w:ascii="Times New Roman" w:cs="Times New Roman" w:eastAsia="Times New Roman" w:hAnsi="Times New Roman"/>
          <w:sz w:val="20"/>
          <w:szCs w:val="20"/>
          <w:u w:val="single" w:color="auto"/>
          <w:color w:val="auto"/>
        </w:rPr>
        <w:t>Employee Groups; Summary of Restrictions</w:t>
      </w:r>
    </w:p>
    <w:p>
      <w:pPr>
        <w:jc w:val="both"/>
        <w:spacing w:after="0" w:line="241" w:lineRule="auto"/>
        <w:rPr>
          <w:sz w:val="20"/>
          <w:szCs w:val="20"/>
          <w:color w:val="auto"/>
        </w:rPr>
      </w:pPr>
      <w:r>
        <w:rPr>
          <w:rFonts w:ascii="Times New Roman" w:cs="Times New Roman" w:eastAsia="Times New Roman" w:hAnsi="Times New Roman"/>
          <w:sz w:val="20"/>
          <w:szCs w:val="20"/>
          <w:color w:val="auto"/>
        </w:rPr>
        <w:t>For purposes of this Policy, each Company employee, officer and director is categorized into one of three groups as further described below. Different restrictions contained in this Policy apply to each group. All employees are in Group One unless otherwise described below or notified of being placed in a different category by the Corporate Secretary of the Company (the “</w:t>
      </w:r>
      <w:r>
        <w:rPr>
          <w:rFonts w:ascii="Times New Roman" w:cs="Times New Roman" w:eastAsia="Times New Roman" w:hAnsi="Times New Roman"/>
          <w:sz w:val="21"/>
          <w:szCs w:val="21"/>
          <w:u w:val="single" w:color="auto"/>
          <w:color w:val="auto"/>
        </w:rPr>
        <w:t>Corporate Secretary</w:t>
      </w:r>
      <w:r>
        <w:rPr>
          <w:rFonts w:ascii="Times New Roman" w:cs="Times New Roman" w:eastAsia="Times New Roman" w:hAnsi="Times New Roman"/>
          <w:sz w:val="20"/>
          <w:szCs w:val="20"/>
          <w:color w:val="auto"/>
        </w:rPr>
        <w:t>”). The Corporate Secretary will work with the Company’s management team to determine the appropriate group for each employee. The Corporate Secretary will notify each employee, officer and director if he or she has been initially placed into Group Two or Group Three and any employee, officer or director if at any time he or she is placed into a different group.</w:t>
      </w:r>
    </w:p>
    <w:p>
      <w:pPr>
        <w:spacing w:after="0" w:line="2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You should read this entire Policy. However, for your convenience, the following is a summary of the restrictions that apply to each group under this Policy: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Group One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 The vast majority of our employees are in Group One. Members of Group One are required to comply with the restrictions on</w:t>
      </w:r>
    </w:p>
    <w:p>
      <w:pPr>
        <w:spacing w:after="0" w:line="14" w:lineRule="exact"/>
        <w:rPr>
          <w:sz w:val="20"/>
          <w:szCs w:val="20"/>
          <w:color w:val="auto"/>
        </w:rPr>
      </w:pPr>
    </w:p>
    <w:p>
      <w:pPr>
        <w:jc w:val="both"/>
        <w:ind w:firstLine="8"/>
        <w:spacing w:after="0" w:line="246" w:lineRule="auto"/>
        <w:tabs>
          <w:tab w:leader="none" w:pos="31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trading in securities while in possession of material, non-public information (“</w:t>
      </w:r>
      <w:r>
        <w:rPr>
          <w:rFonts w:ascii="Times New Roman" w:cs="Times New Roman" w:eastAsia="Times New Roman" w:hAnsi="Times New Roman"/>
          <w:sz w:val="21"/>
          <w:szCs w:val="21"/>
          <w:u w:val="single" w:color="auto"/>
          <w:color w:val="auto"/>
        </w:rPr>
        <w:t>insider trading</w:t>
      </w:r>
      <w:r>
        <w:rPr>
          <w:rFonts w:ascii="Times New Roman" w:cs="Times New Roman" w:eastAsia="Times New Roman" w:hAnsi="Times New Roman"/>
          <w:sz w:val="20"/>
          <w:szCs w:val="20"/>
          <w:color w:val="auto"/>
        </w:rPr>
        <w:t>”), as described in Section II, and (2) disclosing material non-public information to others (“</w:t>
      </w:r>
      <w:r>
        <w:rPr>
          <w:rFonts w:ascii="Times New Roman" w:cs="Times New Roman" w:eastAsia="Times New Roman" w:hAnsi="Times New Roman"/>
          <w:sz w:val="21"/>
          <w:szCs w:val="21"/>
          <w:u w:val="single" w:color="auto"/>
          <w:color w:val="auto"/>
        </w:rPr>
        <w:t>tipping</w:t>
      </w:r>
      <w:r>
        <w:rPr>
          <w:rFonts w:ascii="Times New Roman" w:cs="Times New Roman" w:eastAsia="Times New Roman" w:hAnsi="Times New Roman"/>
          <w:sz w:val="20"/>
          <w:szCs w:val="20"/>
          <w:color w:val="auto"/>
        </w:rPr>
        <w:t>”), as described in Section III. In addition, members of Group One may only purchase or sell Company securities during Open Windows described in Section IV.</w:t>
      </w:r>
    </w:p>
    <w:p>
      <w:pPr>
        <w:spacing w:after="0" w:line="20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2"/>
          <w:szCs w:val="22"/>
          <w:u w:val="single" w:color="auto"/>
          <w:color w:val="auto"/>
        </w:rPr>
        <w:t>Group Two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 Certain of our officers and other employees with regular access to material, non-public information are in Group Two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(including but not limited to employees who prepare or have access to financial reporting and forecasting information and senior leadership team members who are not placed in Group Three). In addition to the general prohibitions against insider trading and tipping, members of Group Two may only purchase or sell Company securities during the trading windows described in Section IV and are required to pre-clear most transactions with the Corporate Secretary, as described in Section V.</w:t>
      </w:r>
    </w:p>
    <w:p>
      <w:pPr>
        <w:spacing w:after="0" w:line="19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2"/>
          <w:szCs w:val="22"/>
          <w:u w:val="single" w:color="auto"/>
          <w:color w:val="auto"/>
        </w:rPr>
        <w:t>Group Three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 Members of our board of directors and certain senior officers are in Group Three, whose members are subject to the same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restrictions as apply to Group Two. In addition, members of Group Three will be notified separately of certain other trading restrictions and reporting requirements imposed on them by the federal securities laws and the rules and regulations of the Securities and Exchange Commission (“</w:t>
      </w:r>
      <w:r>
        <w:rPr>
          <w:rFonts w:ascii="Times New Roman" w:cs="Times New Roman" w:eastAsia="Times New Roman" w:hAnsi="Times New Roman"/>
          <w:sz w:val="21"/>
          <w:szCs w:val="21"/>
          <w:u w:val="single" w:color="auto"/>
          <w:color w:val="auto"/>
        </w:rPr>
        <w:t>SEC</w:t>
      </w:r>
      <w:r>
        <w:rPr>
          <w:rFonts w:ascii="Times New Roman" w:cs="Times New Roman" w:eastAsia="Times New Roman" w:hAnsi="Times New Roman"/>
          <w:sz w:val="19"/>
          <w:szCs w:val="19"/>
          <w:color w:val="auto"/>
        </w:rPr>
        <w:t>”).</w:t>
      </w:r>
    </w:p>
    <w:p>
      <w:pPr>
        <w:sectPr>
          <w:pgSz w:w="11900" w:h="16838" w:orient="portrait"/>
          <w:cols w:equalWidth="0" w:num="1">
            <w:col w:w="11240"/>
          </w:cols>
          <w:pgMar w:left="320" w:top="1413" w:right="339" w:bottom="1440" w:gutter="0" w:footer="0" w:header="0"/>
        </w:sectPr>
      </w:pPr>
    </w:p>
    <w:bookmarkStart w:id="104" w:name="page105"/>
    <w:bookmarkEnd w:id="104"/>
    <w:p>
      <w:pPr>
        <w:ind w:right="20"/>
        <w:spacing w:after="0" w:line="269" w:lineRule="auto"/>
        <w:rPr>
          <w:sz w:val="20"/>
          <w:szCs w:val="20"/>
          <w:color w:val="auto"/>
        </w:rPr>
      </w:pPr>
      <w:r>
        <w:rPr>
          <w:rFonts w:ascii="Times New Roman" w:cs="Times New Roman" w:eastAsia="Times New Roman" w:hAnsi="Times New Roman"/>
          <w:sz w:val="20"/>
          <w:szCs w:val="20"/>
          <w:color w:val="auto"/>
        </w:rPr>
        <w:t>In addition, regardless of group affiliation, any employee, officer or director of Company may be temporarily prohibited from buying or selling Company securities during special blackout periods. These special blackout periods are described in Section IV.</w:t>
      </w:r>
    </w:p>
    <w:p>
      <w:pPr>
        <w:spacing w:after="0" w:line="186"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20"/>
          <w:szCs w:val="20"/>
          <w:color w:val="auto"/>
        </w:rPr>
        <w:t>This Policy is designed to promote compliance with insider trading laws, rules and regulations, as well as listing standards applicable to Company. In addition, it is Company policy not to engage in transactions involving the Company securities in violation of applicable laws.</w:t>
      </w:r>
    </w:p>
    <w:p>
      <w:pPr>
        <w:spacing w:after="0" w:line="183" w:lineRule="exact"/>
        <w:rPr>
          <w:sz w:val="20"/>
          <w:szCs w:val="20"/>
          <w:color w:val="auto"/>
        </w:rPr>
      </w:pPr>
    </w:p>
    <w:p>
      <w:pPr>
        <w:ind w:left="660" w:hanging="328"/>
        <w:spacing w:after="0"/>
        <w:tabs>
          <w:tab w:leader="none" w:pos="660" w:val="left"/>
        </w:tabs>
        <w:numPr>
          <w:ilvl w:val="0"/>
          <w:numId w:val="56"/>
        </w:numPr>
        <w:rPr>
          <w:rFonts w:ascii="Arial" w:cs="Arial" w:eastAsia="Arial" w:hAnsi="Arial"/>
          <w:sz w:val="22"/>
          <w:szCs w:val="22"/>
          <w:color w:val="auto"/>
        </w:rPr>
      </w:pPr>
      <w:r>
        <w:rPr>
          <w:rFonts w:ascii="Times New Roman" w:cs="Times New Roman" w:eastAsia="Times New Roman" w:hAnsi="Times New Roman"/>
          <w:sz w:val="20"/>
          <w:szCs w:val="20"/>
          <w:u w:val="single" w:color="auto"/>
          <w:color w:val="auto"/>
        </w:rPr>
        <w:t>Insider Trading Prohibited</w:t>
      </w:r>
    </w:p>
    <w:p>
      <w:pPr>
        <w:jc w:val="both"/>
        <w:spacing w:after="0" w:line="244" w:lineRule="auto"/>
        <w:rPr>
          <w:sz w:val="20"/>
          <w:szCs w:val="20"/>
          <w:color w:val="auto"/>
        </w:rPr>
      </w:pPr>
      <w:r>
        <w:rPr>
          <w:rFonts w:ascii="Times New Roman" w:cs="Times New Roman" w:eastAsia="Times New Roman" w:hAnsi="Times New Roman"/>
          <w:sz w:val="22"/>
          <w:szCs w:val="22"/>
          <w:b w:val="1"/>
          <w:bCs w:val="1"/>
          <w:i w:val="1"/>
          <w:iCs w:val="1"/>
          <w:color w:val="auto"/>
        </w:rPr>
        <w:t xml:space="preserve">General Rule. </w:t>
      </w:r>
      <w:r>
        <w:rPr>
          <w:rFonts w:ascii="Times New Roman" w:cs="Times New Roman" w:eastAsia="Times New Roman" w:hAnsi="Times New Roman"/>
          <w:sz w:val="19"/>
          <w:szCs w:val="19"/>
          <w:color w:val="auto"/>
        </w:rPr>
        <w:t>No Company employee, officer or director may purchase, sell or make a bona fide gift of Company securities while he or she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19"/>
          <w:szCs w:val="19"/>
          <w:color w:val="auto"/>
        </w:rPr>
        <w:t>is in possession of material, non-public information relating to Company. This restriction does not apply to certain “Permitted Transfers,” which are discussed in Section VI of this Policy.</w:t>
      </w:r>
    </w:p>
    <w:p>
      <w:pPr>
        <w:spacing w:after="0" w:line="18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2"/>
          <w:szCs w:val="22"/>
          <w:b w:val="1"/>
          <w:bCs w:val="1"/>
          <w:i w:val="1"/>
          <w:iCs w:val="1"/>
          <w:color w:val="auto"/>
        </w:rPr>
        <w:t>Employees, Officers and Directors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19"/>
          <w:szCs w:val="19"/>
          <w:color w:val="auto"/>
        </w:rPr>
        <w:t>This Policy applies to all employees, officers and directors of Company and its subsidiaries. Each</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19"/>
          <w:szCs w:val="19"/>
          <w:color w:val="auto"/>
        </w:rPr>
        <w:t>provision of this Policy that applies to an employee, officer and director also applies to:</w:t>
      </w:r>
    </w:p>
    <w:p>
      <w:pPr>
        <w:spacing w:after="0" w:line="223" w:lineRule="exact"/>
        <w:rPr>
          <w:sz w:val="20"/>
          <w:szCs w:val="20"/>
          <w:color w:val="auto"/>
        </w:rPr>
      </w:pPr>
    </w:p>
    <w:p>
      <w:pPr>
        <w:ind w:left="660" w:hanging="328"/>
        <w:spacing w:after="0"/>
        <w:tabs>
          <w:tab w:leader="none" w:pos="660" w:val="left"/>
        </w:tabs>
        <w:numPr>
          <w:ilvl w:val="0"/>
          <w:numId w:val="57"/>
        </w:numPr>
        <w:rPr>
          <w:rFonts w:ascii="Arial" w:cs="Arial" w:eastAsia="Arial" w:hAnsi="Arial"/>
          <w:sz w:val="22"/>
          <w:szCs w:val="22"/>
          <w:color w:val="auto"/>
        </w:rPr>
      </w:pPr>
      <w:r>
        <w:rPr>
          <w:rFonts w:ascii="Times New Roman" w:cs="Times New Roman" w:eastAsia="Times New Roman" w:hAnsi="Times New Roman"/>
          <w:sz w:val="20"/>
          <w:szCs w:val="20"/>
          <w:color w:val="auto"/>
        </w:rPr>
        <w:t>family members or other persons with whom they share a household;</w:t>
      </w:r>
    </w:p>
    <w:p>
      <w:pPr>
        <w:spacing w:after="0" w:line="12" w:lineRule="exact"/>
        <w:rPr>
          <w:rFonts w:ascii="Arial" w:cs="Arial" w:eastAsia="Arial" w:hAnsi="Arial"/>
          <w:sz w:val="22"/>
          <w:szCs w:val="22"/>
          <w:color w:val="auto"/>
        </w:rPr>
      </w:pPr>
    </w:p>
    <w:p>
      <w:pPr>
        <w:ind w:left="660" w:right="20" w:hanging="328"/>
        <w:spacing w:after="0" w:line="224" w:lineRule="auto"/>
        <w:tabs>
          <w:tab w:leader="none" w:pos="655" w:val="left"/>
        </w:tabs>
        <w:numPr>
          <w:ilvl w:val="0"/>
          <w:numId w:val="57"/>
        </w:numPr>
        <w:rPr>
          <w:rFonts w:ascii="Arial" w:cs="Arial" w:eastAsia="Arial" w:hAnsi="Arial"/>
          <w:sz w:val="22"/>
          <w:szCs w:val="22"/>
          <w:color w:val="auto"/>
        </w:rPr>
      </w:pPr>
      <w:r>
        <w:rPr>
          <w:rFonts w:ascii="Times New Roman" w:cs="Times New Roman" w:eastAsia="Times New Roman" w:hAnsi="Times New Roman"/>
          <w:sz w:val="20"/>
          <w:szCs w:val="20"/>
          <w:color w:val="auto"/>
        </w:rPr>
        <w:t>family members or other persons who principally rely on the employee, officer or director for their financial support, regardless of where those persons reside; and</w:t>
      </w:r>
    </w:p>
    <w:p>
      <w:pPr>
        <w:spacing w:after="0" w:line="1" w:lineRule="exact"/>
        <w:rPr>
          <w:rFonts w:ascii="Arial" w:cs="Arial" w:eastAsia="Arial" w:hAnsi="Arial"/>
          <w:sz w:val="22"/>
          <w:szCs w:val="22"/>
          <w:color w:val="auto"/>
        </w:rPr>
      </w:pPr>
    </w:p>
    <w:p>
      <w:pPr>
        <w:jc w:val="both"/>
        <w:ind w:left="660" w:hanging="328"/>
        <w:spacing w:after="0" w:line="231" w:lineRule="auto"/>
        <w:tabs>
          <w:tab w:leader="none" w:pos="655" w:val="left"/>
        </w:tabs>
        <w:numPr>
          <w:ilvl w:val="0"/>
          <w:numId w:val="57"/>
        </w:numPr>
        <w:rPr>
          <w:rFonts w:ascii="Arial" w:cs="Arial" w:eastAsia="Arial" w:hAnsi="Arial"/>
          <w:sz w:val="22"/>
          <w:szCs w:val="22"/>
          <w:color w:val="auto"/>
        </w:rPr>
      </w:pPr>
      <w:r>
        <w:rPr>
          <w:rFonts w:ascii="Times New Roman" w:cs="Times New Roman" w:eastAsia="Times New Roman" w:hAnsi="Times New Roman"/>
          <w:sz w:val="20"/>
          <w:szCs w:val="20"/>
          <w:color w:val="auto"/>
        </w:rPr>
        <w:t>any entity (a) over which they have control or influence with respect to a transaction in securities (e.g., a trustee of a trust or an executor of an estate) or (b) in which they have a material financial interest; provided, however, that clause (b) shall not include a professional institutional investment entity in which any such person has such a material financial interest.</w:t>
      </w:r>
    </w:p>
    <w:p>
      <w:pPr>
        <w:spacing w:after="0" w:line="23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Likewise, when we refer to “you” in this Policy, we also mean each of the people and entities listed above with respect to you. Because the people and entities listed above are covered by this Policy, you will be responsible for their transactions in Company securities and, in order to maintain your compliance with this policy, you should ensure that they do not purchase, sell or make a bona fide gift of Company securities without your clearance.</w:t>
      </w:r>
    </w:p>
    <w:p>
      <w:pPr>
        <w:spacing w:after="0" w:line="213"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b w:val="1"/>
          <w:bCs w:val="1"/>
          <w:i w:val="1"/>
          <w:iCs w:val="1"/>
          <w:color w:val="auto"/>
        </w:rPr>
        <w:t xml:space="preserve">Other Persons. </w:t>
      </w:r>
      <w:r>
        <w:rPr>
          <w:rFonts w:ascii="Times New Roman" w:cs="Times New Roman" w:eastAsia="Times New Roman" w:hAnsi="Times New Roman"/>
          <w:sz w:val="20"/>
          <w:szCs w:val="20"/>
          <w:color w:val="auto"/>
        </w:rPr>
        <w:t>It may be appropriate, in some circumstances, for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1"/>
          <w:szCs w:val="21"/>
          <w:color w:val="auto"/>
        </w:rPr>
        <w:t>persons who are not employed by Company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 addition to</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those listed above) to be subject to the same restrictions as company employees and other “insiders.” These include, for example, contractors and consultants. If you are aware of a situation in which a contractor, consultant, advisor or other person not employed by Company is likely to have access to material, nonpublic information about the company, you should consider whether those outside parties should be subject to restrictions and, if so, bring this situation to the attention of the Corporate Secretary, who will consider whether it is appropriate to make arrangements to protect the Company.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Material, Non-Public Information</w:t>
      </w:r>
      <w:r>
        <w:rPr>
          <w:rFonts w:ascii="Times New Roman" w:cs="Times New Roman" w:eastAsia="Times New Roman" w:hAnsi="Times New Roman"/>
          <w:sz w:val="22"/>
          <w:szCs w:val="22"/>
          <w:b w:val="1"/>
          <w:bCs w:val="1"/>
          <w:color w:val="auto"/>
        </w:rPr>
        <w:t>.</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 xml:space="preserve">Material. </w:t>
      </w:r>
      <w:r>
        <w:rPr>
          <w:rFonts w:ascii="Times New Roman" w:cs="Times New Roman" w:eastAsia="Times New Roman" w:hAnsi="Times New Roman"/>
          <w:sz w:val="19"/>
          <w:szCs w:val="19"/>
          <w:color w:val="auto"/>
        </w:rPr>
        <w:t>Information is considered “material” if:</w:t>
      </w:r>
    </w:p>
    <w:p>
      <w:pPr>
        <w:spacing w:after="0" w:line="255" w:lineRule="exact"/>
        <w:rPr>
          <w:sz w:val="20"/>
          <w:szCs w:val="20"/>
          <w:color w:val="auto"/>
        </w:rPr>
      </w:pPr>
    </w:p>
    <w:p>
      <w:pPr>
        <w:ind w:left="660" w:hanging="328"/>
        <w:spacing w:after="0"/>
        <w:tabs>
          <w:tab w:leader="none" w:pos="660" w:val="left"/>
        </w:tabs>
        <w:numPr>
          <w:ilvl w:val="0"/>
          <w:numId w:val="58"/>
        </w:numPr>
        <w:rPr>
          <w:rFonts w:ascii="Arial" w:cs="Arial" w:eastAsia="Arial" w:hAnsi="Arial"/>
          <w:sz w:val="22"/>
          <w:szCs w:val="22"/>
          <w:color w:val="auto"/>
        </w:rPr>
      </w:pPr>
      <w:r>
        <w:rPr>
          <w:rFonts w:ascii="Times New Roman" w:cs="Times New Roman" w:eastAsia="Times New Roman" w:hAnsi="Times New Roman"/>
          <w:sz w:val="20"/>
          <w:szCs w:val="20"/>
          <w:color w:val="auto"/>
        </w:rPr>
        <w:t>a reasonable investor would consider it important in making a decision on whether to buy, sell or hold the security;</w:t>
      </w:r>
    </w:p>
    <w:p>
      <w:pPr>
        <w:spacing w:after="0" w:line="12" w:lineRule="exact"/>
        <w:rPr>
          <w:rFonts w:ascii="Arial" w:cs="Arial" w:eastAsia="Arial" w:hAnsi="Arial"/>
          <w:sz w:val="22"/>
          <w:szCs w:val="22"/>
          <w:color w:val="auto"/>
        </w:rPr>
      </w:pPr>
    </w:p>
    <w:p>
      <w:pPr>
        <w:ind w:left="660" w:hanging="328"/>
        <w:spacing w:after="0" w:line="224" w:lineRule="auto"/>
        <w:tabs>
          <w:tab w:leader="none" w:pos="655" w:val="left"/>
        </w:tabs>
        <w:numPr>
          <w:ilvl w:val="0"/>
          <w:numId w:val="58"/>
        </w:numPr>
        <w:rPr>
          <w:rFonts w:ascii="Arial" w:cs="Arial" w:eastAsia="Arial" w:hAnsi="Arial"/>
          <w:sz w:val="22"/>
          <w:szCs w:val="22"/>
          <w:color w:val="auto"/>
        </w:rPr>
      </w:pPr>
      <w:r>
        <w:rPr>
          <w:rFonts w:ascii="Times New Roman" w:cs="Times New Roman" w:eastAsia="Times New Roman" w:hAnsi="Times New Roman"/>
          <w:sz w:val="20"/>
          <w:szCs w:val="20"/>
          <w:color w:val="auto"/>
        </w:rPr>
        <w:t>a reasonable investor would view the information as significantly altering the total mix of information in the marketplace about the company that issued the security; or</w:t>
      </w:r>
    </w:p>
    <w:p>
      <w:pPr>
        <w:sectPr>
          <w:pgSz w:w="11900" w:h="16838" w:orient="portrait"/>
          <w:cols w:equalWidth="0" w:num="1">
            <w:col w:w="11240"/>
          </w:cols>
          <w:pgMar w:left="320" w:top="1413" w:right="339" w:bottom="1440" w:gutter="0" w:footer="0" w:header="0"/>
        </w:sectPr>
      </w:pPr>
    </w:p>
    <w:bookmarkStart w:id="105" w:name="page106"/>
    <w:bookmarkEnd w:id="105"/>
    <w:p>
      <w:pPr>
        <w:ind w:left="660" w:hanging="328"/>
        <w:spacing w:after="0"/>
        <w:tabs>
          <w:tab w:leader="none" w:pos="660" w:val="left"/>
        </w:tabs>
        <w:numPr>
          <w:ilvl w:val="0"/>
          <w:numId w:val="59"/>
        </w:numPr>
        <w:rPr>
          <w:rFonts w:ascii="Arial" w:cs="Arial" w:eastAsia="Arial" w:hAnsi="Arial"/>
          <w:sz w:val="22"/>
          <w:szCs w:val="22"/>
          <w:color w:val="auto"/>
        </w:rPr>
      </w:pPr>
      <w:r>
        <w:rPr>
          <w:rFonts w:ascii="Times New Roman" w:cs="Times New Roman" w:eastAsia="Times New Roman" w:hAnsi="Times New Roman"/>
          <w:sz w:val="20"/>
          <w:szCs w:val="20"/>
          <w:color w:val="auto"/>
        </w:rPr>
        <w:t>the information could reasonably be expected to have an effect on the price of the security.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 xml:space="preserve">Non-public. </w:t>
      </w:r>
      <w:r>
        <w:rPr>
          <w:rFonts w:ascii="Times New Roman" w:cs="Times New Roman" w:eastAsia="Times New Roman" w:hAnsi="Times New Roman"/>
          <w:sz w:val="20"/>
          <w:szCs w:val="20"/>
          <w:color w:val="auto"/>
        </w:rPr>
        <w:t>Information is non-public until it has been “publicly disclosed,” meaning that it:</w:t>
      </w:r>
    </w:p>
    <w:p>
      <w:pPr>
        <w:spacing w:after="0" w:line="260" w:lineRule="exact"/>
        <w:rPr>
          <w:sz w:val="20"/>
          <w:szCs w:val="20"/>
          <w:color w:val="auto"/>
        </w:rPr>
      </w:pPr>
    </w:p>
    <w:p>
      <w:pPr>
        <w:ind w:left="660" w:hanging="328"/>
        <w:spacing w:after="0"/>
        <w:tabs>
          <w:tab w:leader="none" w:pos="660" w:val="left"/>
        </w:tabs>
        <w:numPr>
          <w:ilvl w:val="0"/>
          <w:numId w:val="60"/>
        </w:numPr>
        <w:rPr>
          <w:rFonts w:ascii="Arial" w:cs="Arial" w:eastAsia="Arial" w:hAnsi="Arial"/>
          <w:sz w:val="22"/>
          <w:szCs w:val="22"/>
          <w:color w:val="auto"/>
        </w:rPr>
      </w:pPr>
      <w:r>
        <w:rPr>
          <w:rFonts w:ascii="Times New Roman" w:cs="Times New Roman" w:eastAsia="Times New Roman" w:hAnsi="Times New Roman"/>
          <w:sz w:val="20"/>
          <w:szCs w:val="20"/>
          <w:color w:val="auto"/>
        </w:rPr>
        <w:t>is published in such a way as to provide broad, non-exclusionary distribution of the information to the public; and</w:t>
      </w:r>
    </w:p>
    <w:p>
      <w:pPr>
        <w:spacing w:after="0" w:line="12" w:lineRule="exact"/>
        <w:rPr>
          <w:rFonts w:ascii="Arial" w:cs="Arial" w:eastAsia="Arial" w:hAnsi="Arial"/>
          <w:sz w:val="22"/>
          <w:szCs w:val="22"/>
          <w:color w:val="auto"/>
        </w:rPr>
      </w:pPr>
    </w:p>
    <w:p>
      <w:pPr>
        <w:ind w:left="660" w:right="20" w:hanging="328"/>
        <w:spacing w:after="0" w:line="231" w:lineRule="auto"/>
        <w:tabs>
          <w:tab w:leader="none" w:pos="655" w:val="left"/>
        </w:tabs>
        <w:numPr>
          <w:ilvl w:val="0"/>
          <w:numId w:val="60"/>
        </w:numPr>
        <w:rPr>
          <w:rFonts w:ascii="Arial" w:cs="Arial" w:eastAsia="Arial" w:hAnsi="Arial"/>
          <w:sz w:val="22"/>
          <w:szCs w:val="22"/>
          <w:color w:val="auto"/>
        </w:rPr>
      </w:pPr>
      <w:r>
        <w:rPr>
          <w:rFonts w:ascii="Times New Roman" w:cs="Times New Roman" w:eastAsia="Times New Roman" w:hAnsi="Times New Roman"/>
          <w:sz w:val="20"/>
          <w:szCs w:val="20"/>
          <w:color w:val="auto"/>
        </w:rPr>
        <w:t>has been in the public domain for a sufficient period of time to be absorbed by the market and reflected in the price of the related securities.</w:t>
      </w:r>
    </w:p>
    <w:p>
      <w:pPr>
        <w:spacing w:after="0" w:line="21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Examples of public disclosure include the issuance of a press release or the filing of an appropriate report with the SEC. Information is generally considered to be “non-public” until the expiration of a period of two full trading days after the information is released to the general public. However, this period varies depending on the type of information released, the market’s expectations relating to the subject matter of the release, and the market’s reaction after the information is released.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Examples of material, non-public information might include information about:</w:t>
      </w:r>
    </w:p>
    <w:p>
      <w:pPr>
        <w:spacing w:after="0" w:line="243" w:lineRule="exact"/>
        <w:rPr>
          <w:sz w:val="20"/>
          <w:szCs w:val="20"/>
          <w:color w:val="auto"/>
        </w:rPr>
      </w:pPr>
    </w:p>
    <w:p>
      <w:pPr>
        <w:ind w:left="660" w:hanging="328"/>
        <w:spacing w:after="0"/>
        <w:tabs>
          <w:tab w:leader="none" w:pos="660" w:val="left"/>
        </w:tabs>
        <w:numPr>
          <w:ilvl w:val="0"/>
          <w:numId w:val="61"/>
        </w:numPr>
        <w:rPr>
          <w:rFonts w:ascii="Arial" w:cs="Arial" w:eastAsia="Arial" w:hAnsi="Arial"/>
          <w:sz w:val="22"/>
          <w:szCs w:val="22"/>
          <w:color w:val="auto"/>
        </w:rPr>
      </w:pPr>
      <w:r>
        <w:rPr>
          <w:rFonts w:ascii="Times New Roman" w:cs="Times New Roman" w:eastAsia="Times New Roman" w:hAnsi="Times New Roman"/>
          <w:sz w:val="20"/>
          <w:szCs w:val="20"/>
          <w:color w:val="auto"/>
        </w:rPr>
        <w:t>the Company’s financial or operating results, whether for completed periods or relating to expectations for future periods;</w:t>
      </w:r>
    </w:p>
    <w:p>
      <w:pPr>
        <w:spacing w:after="0" w:line="233" w:lineRule="exact"/>
        <w:rPr>
          <w:rFonts w:ascii="Arial" w:cs="Arial" w:eastAsia="Arial" w:hAnsi="Arial"/>
          <w:sz w:val="22"/>
          <w:szCs w:val="22"/>
          <w:color w:val="auto"/>
        </w:rPr>
      </w:pPr>
    </w:p>
    <w:p>
      <w:pPr>
        <w:ind w:left="660" w:right="20" w:hanging="328"/>
        <w:spacing w:after="0" w:line="245" w:lineRule="auto"/>
        <w:tabs>
          <w:tab w:leader="none" w:pos="656" w:val="left"/>
        </w:tabs>
        <w:numPr>
          <w:ilvl w:val="0"/>
          <w:numId w:val="61"/>
        </w:numPr>
        <w:rPr>
          <w:rFonts w:ascii="Arial" w:cs="Arial" w:eastAsia="Arial" w:hAnsi="Arial"/>
          <w:sz w:val="22"/>
          <w:szCs w:val="22"/>
          <w:color w:val="auto"/>
        </w:rPr>
      </w:pPr>
      <w:r>
        <w:rPr>
          <w:rFonts w:ascii="Times New Roman" w:cs="Times New Roman" w:eastAsia="Times New Roman" w:hAnsi="Times New Roman"/>
          <w:sz w:val="20"/>
          <w:szCs w:val="20"/>
          <w:color w:val="auto"/>
        </w:rPr>
        <w:t>the gain or loss of a substantial customer or any significant change in the business relationship with a substantial customer or other important business partner;</w:t>
      </w:r>
    </w:p>
    <w:p>
      <w:pPr>
        <w:spacing w:after="0" w:line="208" w:lineRule="exact"/>
        <w:rPr>
          <w:rFonts w:ascii="Arial" w:cs="Arial" w:eastAsia="Arial" w:hAnsi="Arial"/>
          <w:sz w:val="22"/>
          <w:szCs w:val="22"/>
          <w:color w:val="auto"/>
        </w:rPr>
      </w:pPr>
    </w:p>
    <w:p>
      <w:pPr>
        <w:ind w:left="660" w:hanging="328"/>
        <w:spacing w:after="0"/>
        <w:tabs>
          <w:tab w:leader="none" w:pos="660" w:val="left"/>
        </w:tabs>
        <w:numPr>
          <w:ilvl w:val="0"/>
          <w:numId w:val="61"/>
        </w:numPr>
        <w:rPr>
          <w:rFonts w:ascii="Arial" w:cs="Arial" w:eastAsia="Arial" w:hAnsi="Arial"/>
          <w:sz w:val="22"/>
          <w:szCs w:val="22"/>
          <w:color w:val="auto"/>
        </w:rPr>
      </w:pPr>
      <w:r>
        <w:rPr>
          <w:rFonts w:ascii="Times New Roman" w:cs="Times New Roman" w:eastAsia="Times New Roman" w:hAnsi="Times New Roman"/>
          <w:sz w:val="20"/>
          <w:szCs w:val="20"/>
          <w:color w:val="auto"/>
        </w:rPr>
        <w:t>the Company entering into or the termination of any significant contract;</w:t>
      </w:r>
    </w:p>
    <w:p>
      <w:pPr>
        <w:spacing w:after="0" w:line="233" w:lineRule="exact"/>
        <w:rPr>
          <w:rFonts w:ascii="Arial" w:cs="Arial" w:eastAsia="Arial" w:hAnsi="Arial"/>
          <w:sz w:val="22"/>
          <w:szCs w:val="22"/>
          <w:color w:val="auto"/>
        </w:rPr>
      </w:pPr>
    </w:p>
    <w:p>
      <w:pPr>
        <w:ind w:left="660" w:hanging="328"/>
        <w:spacing w:after="0"/>
        <w:tabs>
          <w:tab w:leader="none" w:pos="660" w:val="left"/>
        </w:tabs>
        <w:numPr>
          <w:ilvl w:val="0"/>
          <w:numId w:val="61"/>
        </w:numPr>
        <w:rPr>
          <w:rFonts w:ascii="Arial" w:cs="Arial" w:eastAsia="Arial" w:hAnsi="Arial"/>
          <w:sz w:val="22"/>
          <w:szCs w:val="22"/>
          <w:color w:val="auto"/>
        </w:rPr>
      </w:pPr>
      <w:r>
        <w:rPr>
          <w:rFonts w:ascii="Times New Roman" w:cs="Times New Roman" w:eastAsia="Times New Roman" w:hAnsi="Times New Roman"/>
          <w:sz w:val="20"/>
          <w:szCs w:val="20"/>
          <w:color w:val="auto"/>
        </w:rPr>
        <w:t>a material impairment or change in the value of the Company’s assets;</w:t>
      </w:r>
    </w:p>
    <w:p>
      <w:pPr>
        <w:spacing w:after="0" w:line="233" w:lineRule="exact"/>
        <w:rPr>
          <w:rFonts w:ascii="Arial" w:cs="Arial" w:eastAsia="Arial" w:hAnsi="Arial"/>
          <w:sz w:val="22"/>
          <w:szCs w:val="22"/>
          <w:color w:val="auto"/>
        </w:rPr>
      </w:pPr>
    </w:p>
    <w:p>
      <w:pPr>
        <w:ind w:left="660" w:right="20" w:hanging="328"/>
        <w:spacing w:after="0" w:line="245" w:lineRule="auto"/>
        <w:tabs>
          <w:tab w:leader="none" w:pos="696" w:val="left"/>
        </w:tabs>
        <w:numPr>
          <w:ilvl w:val="0"/>
          <w:numId w:val="61"/>
        </w:numPr>
        <w:rPr>
          <w:rFonts w:ascii="Arial" w:cs="Arial" w:eastAsia="Arial" w:hAnsi="Arial"/>
          <w:sz w:val="22"/>
          <w:szCs w:val="22"/>
          <w:color w:val="auto"/>
        </w:rPr>
      </w:pPr>
      <w:r>
        <w:rPr>
          <w:rFonts w:ascii="Times New Roman" w:cs="Times New Roman" w:eastAsia="Times New Roman" w:hAnsi="Times New Roman"/>
          <w:sz w:val="20"/>
          <w:szCs w:val="20"/>
          <w:color w:val="auto"/>
        </w:rPr>
        <w:t>the filing of litigation or claims against the Company, developments in pending litigation or governmental investigations or proceedings, or other contingent liabilities affecting the Company;</w:t>
      </w:r>
    </w:p>
    <w:p>
      <w:pPr>
        <w:spacing w:after="0" w:line="222" w:lineRule="exact"/>
        <w:rPr>
          <w:rFonts w:ascii="Arial" w:cs="Arial" w:eastAsia="Arial" w:hAnsi="Arial"/>
          <w:sz w:val="22"/>
          <w:szCs w:val="22"/>
          <w:color w:val="auto"/>
        </w:rPr>
      </w:pPr>
    </w:p>
    <w:p>
      <w:pPr>
        <w:ind w:left="660" w:right="20" w:hanging="328"/>
        <w:spacing w:after="0" w:line="235" w:lineRule="auto"/>
        <w:tabs>
          <w:tab w:leader="none" w:pos="656" w:val="left"/>
        </w:tabs>
        <w:numPr>
          <w:ilvl w:val="0"/>
          <w:numId w:val="61"/>
        </w:numPr>
        <w:rPr>
          <w:rFonts w:ascii="Arial" w:cs="Arial" w:eastAsia="Arial" w:hAnsi="Arial"/>
          <w:sz w:val="22"/>
          <w:szCs w:val="22"/>
          <w:color w:val="auto"/>
        </w:rPr>
      </w:pPr>
      <w:r>
        <w:rPr>
          <w:rFonts w:ascii="Times New Roman" w:cs="Times New Roman" w:eastAsia="Times New Roman" w:hAnsi="Times New Roman"/>
          <w:sz w:val="20"/>
          <w:szCs w:val="20"/>
          <w:color w:val="auto"/>
        </w:rPr>
        <w:t>proposals, plans or agreements, even if preliminary in nature, involving mergers, acquisitions, divestitures, recapitalizations, strategic alliances, joint ventures, licensing arrangements or significant purchases or sales of assets;</w:t>
      </w:r>
    </w:p>
    <w:p>
      <w:pPr>
        <w:spacing w:after="0" w:line="229" w:lineRule="exact"/>
        <w:rPr>
          <w:rFonts w:ascii="Arial" w:cs="Arial" w:eastAsia="Arial" w:hAnsi="Arial"/>
          <w:sz w:val="22"/>
          <w:szCs w:val="22"/>
          <w:color w:val="auto"/>
        </w:rPr>
      </w:pPr>
    </w:p>
    <w:p>
      <w:pPr>
        <w:ind w:left="660" w:hanging="328"/>
        <w:spacing w:after="0"/>
        <w:tabs>
          <w:tab w:leader="none" w:pos="660" w:val="left"/>
        </w:tabs>
        <w:numPr>
          <w:ilvl w:val="0"/>
          <w:numId w:val="61"/>
        </w:numPr>
        <w:rPr>
          <w:rFonts w:ascii="Arial" w:cs="Arial" w:eastAsia="Arial" w:hAnsi="Arial"/>
          <w:sz w:val="22"/>
          <w:szCs w:val="22"/>
          <w:color w:val="auto"/>
        </w:rPr>
      </w:pPr>
      <w:r>
        <w:rPr>
          <w:rFonts w:ascii="Times New Roman" w:cs="Times New Roman" w:eastAsia="Times New Roman" w:hAnsi="Times New Roman"/>
          <w:sz w:val="20"/>
          <w:szCs w:val="20"/>
          <w:color w:val="auto"/>
        </w:rPr>
        <w:t>changes in top management;</w:t>
      </w:r>
    </w:p>
    <w:p>
      <w:pPr>
        <w:spacing w:after="0" w:line="233" w:lineRule="exact"/>
        <w:rPr>
          <w:rFonts w:ascii="Arial" w:cs="Arial" w:eastAsia="Arial" w:hAnsi="Arial"/>
          <w:sz w:val="22"/>
          <w:szCs w:val="22"/>
          <w:color w:val="auto"/>
        </w:rPr>
      </w:pPr>
    </w:p>
    <w:p>
      <w:pPr>
        <w:ind w:left="660" w:hanging="328"/>
        <w:spacing w:after="0"/>
        <w:tabs>
          <w:tab w:leader="none" w:pos="660" w:val="left"/>
        </w:tabs>
        <w:numPr>
          <w:ilvl w:val="0"/>
          <w:numId w:val="61"/>
        </w:numPr>
        <w:rPr>
          <w:rFonts w:ascii="Arial" w:cs="Arial" w:eastAsia="Arial" w:hAnsi="Arial"/>
          <w:sz w:val="22"/>
          <w:szCs w:val="22"/>
          <w:color w:val="auto"/>
        </w:rPr>
      </w:pPr>
      <w:r>
        <w:rPr>
          <w:rFonts w:ascii="Times New Roman" w:cs="Times New Roman" w:eastAsia="Times New Roman" w:hAnsi="Times New Roman"/>
          <w:sz w:val="20"/>
          <w:szCs w:val="20"/>
          <w:color w:val="auto"/>
        </w:rPr>
        <w:t>significant labor negotiations or disputes;</w:t>
      </w:r>
    </w:p>
    <w:p>
      <w:pPr>
        <w:spacing w:after="0" w:line="233" w:lineRule="exact"/>
        <w:rPr>
          <w:rFonts w:ascii="Arial" w:cs="Arial" w:eastAsia="Arial" w:hAnsi="Arial"/>
          <w:sz w:val="22"/>
          <w:szCs w:val="22"/>
          <w:color w:val="auto"/>
        </w:rPr>
      </w:pPr>
    </w:p>
    <w:p>
      <w:pPr>
        <w:ind w:left="660" w:hanging="328"/>
        <w:spacing w:after="0"/>
        <w:tabs>
          <w:tab w:leader="none" w:pos="660" w:val="left"/>
        </w:tabs>
        <w:numPr>
          <w:ilvl w:val="0"/>
          <w:numId w:val="61"/>
        </w:numPr>
        <w:rPr>
          <w:rFonts w:ascii="Arial" w:cs="Arial" w:eastAsia="Arial" w:hAnsi="Arial"/>
          <w:sz w:val="22"/>
          <w:szCs w:val="22"/>
          <w:color w:val="auto"/>
        </w:rPr>
      </w:pPr>
      <w:r>
        <w:rPr>
          <w:rFonts w:ascii="Times New Roman" w:cs="Times New Roman" w:eastAsia="Times New Roman" w:hAnsi="Times New Roman"/>
          <w:sz w:val="20"/>
          <w:szCs w:val="20"/>
          <w:color w:val="auto"/>
        </w:rPr>
        <w:t>significant accounting developments;</w:t>
      </w:r>
    </w:p>
    <w:p>
      <w:pPr>
        <w:spacing w:after="0" w:line="233" w:lineRule="exact"/>
        <w:rPr>
          <w:rFonts w:ascii="Arial" w:cs="Arial" w:eastAsia="Arial" w:hAnsi="Arial"/>
          <w:sz w:val="22"/>
          <w:szCs w:val="22"/>
          <w:color w:val="auto"/>
        </w:rPr>
      </w:pPr>
    </w:p>
    <w:p>
      <w:pPr>
        <w:ind w:left="660" w:hanging="328"/>
        <w:spacing w:after="0"/>
        <w:tabs>
          <w:tab w:leader="none" w:pos="660" w:val="left"/>
        </w:tabs>
        <w:numPr>
          <w:ilvl w:val="0"/>
          <w:numId w:val="61"/>
        </w:numPr>
        <w:rPr>
          <w:rFonts w:ascii="Arial" w:cs="Arial" w:eastAsia="Arial" w:hAnsi="Arial"/>
          <w:sz w:val="22"/>
          <w:szCs w:val="22"/>
          <w:color w:val="auto"/>
        </w:rPr>
      </w:pPr>
      <w:r>
        <w:rPr>
          <w:rFonts w:ascii="Times New Roman" w:cs="Times New Roman" w:eastAsia="Times New Roman" w:hAnsi="Times New Roman"/>
          <w:sz w:val="20"/>
          <w:szCs w:val="20"/>
          <w:color w:val="auto"/>
        </w:rPr>
        <w:t>changes in dividend policies;</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61"/>
        </w:numPr>
        <w:rPr>
          <w:rFonts w:ascii="Arial" w:cs="Arial" w:eastAsia="Arial" w:hAnsi="Arial"/>
          <w:sz w:val="22"/>
          <w:szCs w:val="22"/>
          <w:color w:val="auto"/>
        </w:rPr>
      </w:pPr>
      <w:r>
        <w:rPr>
          <w:rFonts w:ascii="Times New Roman" w:cs="Times New Roman" w:eastAsia="Times New Roman" w:hAnsi="Times New Roman"/>
          <w:sz w:val="20"/>
          <w:szCs w:val="20"/>
          <w:color w:val="auto"/>
        </w:rPr>
        <w:t>the declaration of a stock split;</w:t>
      </w:r>
    </w:p>
    <w:p>
      <w:pPr>
        <w:spacing w:after="0" w:line="233" w:lineRule="exact"/>
        <w:rPr>
          <w:rFonts w:ascii="Arial" w:cs="Arial" w:eastAsia="Arial" w:hAnsi="Arial"/>
          <w:sz w:val="22"/>
          <w:szCs w:val="22"/>
          <w:color w:val="auto"/>
        </w:rPr>
      </w:pPr>
    </w:p>
    <w:p>
      <w:pPr>
        <w:ind w:left="660" w:hanging="328"/>
        <w:spacing w:after="0" w:line="245" w:lineRule="auto"/>
        <w:tabs>
          <w:tab w:leader="none" w:pos="656" w:val="left"/>
        </w:tabs>
        <w:numPr>
          <w:ilvl w:val="0"/>
          <w:numId w:val="61"/>
        </w:numPr>
        <w:rPr>
          <w:rFonts w:ascii="Arial" w:cs="Arial" w:eastAsia="Arial" w:hAnsi="Arial"/>
          <w:sz w:val="22"/>
          <w:szCs w:val="22"/>
          <w:color w:val="auto"/>
        </w:rPr>
      </w:pPr>
      <w:r>
        <w:rPr>
          <w:rFonts w:ascii="Times New Roman" w:cs="Times New Roman" w:eastAsia="Times New Roman" w:hAnsi="Times New Roman"/>
          <w:sz w:val="20"/>
          <w:szCs w:val="20"/>
          <w:color w:val="auto"/>
        </w:rPr>
        <w:t>the Company’s plans relating to its capital structure or outstanding securities, including issuances or repurchases of common stock or debt securities, and information about possible changes in the Company’s credit ratings;</w:t>
      </w:r>
    </w:p>
    <w:p>
      <w:pPr>
        <w:sectPr>
          <w:pgSz w:w="11900" w:h="16838" w:orient="portrait"/>
          <w:cols w:equalWidth="0" w:num="1">
            <w:col w:w="11240"/>
          </w:cols>
          <w:pgMar w:left="320" w:top="1426" w:right="339" w:bottom="1440" w:gutter="0" w:footer="0" w:header="0"/>
        </w:sectPr>
      </w:pPr>
    </w:p>
    <w:bookmarkStart w:id="106" w:name="page107"/>
    <w:bookmarkEnd w:id="106"/>
    <w:p>
      <w:pPr>
        <w:ind w:left="660" w:right="20" w:hanging="328"/>
        <w:spacing w:after="0" w:line="245" w:lineRule="auto"/>
        <w:tabs>
          <w:tab w:leader="none" w:pos="669" w:val="left"/>
        </w:tabs>
        <w:numPr>
          <w:ilvl w:val="0"/>
          <w:numId w:val="62"/>
        </w:numPr>
        <w:rPr>
          <w:rFonts w:ascii="Arial" w:cs="Arial" w:eastAsia="Arial" w:hAnsi="Arial"/>
          <w:sz w:val="22"/>
          <w:szCs w:val="22"/>
          <w:color w:val="auto"/>
        </w:rPr>
      </w:pPr>
      <w:r>
        <w:rPr>
          <w:rFonts w:ascii="Times New Roman" w:cs="Times New Roman" w:eastAsia="Times New Roman" w:hAnsi="Times New Roman"/>
          <w:sz w:val="20"/>
          <w:szCs w:val="20"/>
          <w:color w:val="auto"/>
        </w:rPr>
        <w:t>a significant disruption in the Company’s operations or loss, breach or unauthorized access of the Company’s property or assets, including its facilities and information technology infrastructure; and</w:t>
      </w:r>
    </w:p>
    <w:p>
      <w:pPr>
        <w:spacing w:after="0" w:line="208" w:lineRule="exact"/>
        <w:rPr>
          <w:rFonts w:ascii="Arial" w:cs="Arial" w:eastAsia="Arial" w:hAnsi="Arial"/>
          <w:sz w:val="22"/>
          <w:szCs w:val="22"/>
          <w:color w:val="auto"/>
        </w:rPr>
      </w:pPr>
    </w:p>
    <w:p>
      <w:pPr>
        <w:ind w:left="660" w:hanging="328"/>
        <w:spacing w:after="0"/>
        <w:tabs>
          <w:tab w:leader="none" w:pos="660" w:val="left"/>
        </w:tabs>
        <w:numPr>
          <w:ilvl w:val="0"/>
          <w:numId w:val="62"/>
        </w:numPr>
        <w:rPr>
          <w:rFonts w:ascii="Arial" w:cs="Arial" w:eastAsia="Arial" w:hAnsi="Arial"/>
          <w:sz w:val="22"/>
          <w:szCs w:val="22"/>
          <w:color w:val="auto"/>
        </w:rPr>
      </w:pPr>
      <w:r>
        <w:rPr>
          <w:rFonts w:ascii="Times New Roman" w:cs="Times New Roman" w:eastAsia="Times New Roman" w:hAnsi="Times New Roman"/>
          <w:sz w:val="20"/>
          <w:szCs w:val="20"/>
          <w:color w:val="auto"/>
        </w:rPr>
        <w:t>any other events that require the Company to file a Current Report on Form 8-K with the SEC.</w:t>
      </w:r>
    </w:p>
    <w:p>
      <w:pPr>
        <w:spacing w:after="0" w:line="12"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Information may be material whether it is favorable or unfavorable to the Company. The list of examples provided above is merely illustrative, and there are many other types of information and events that may be material at any particular time, depending on the</w:t>
      </w:r>
    </w:p>
    <w:p>
      <w:pPr>
        <w:jc w:val="both"/>
        <w:ind w:right="20"/>
        <w:spacing w:after="0" w:line="239" w:lineRule="auto"/>
        <w:rPr>
          <w:sz w:val="20"/>
          <w:szCs w:val="20"/>
          <w:color w:val="auto"/>
        </w:rPr>
      </w:pPr>
      <w:r>
        <w:rPr>
          <w:rFonts w:ascii="Times New Roman" w:cs="Times New Roman" w:eastAsia="Times New Roman" w:hAnsi="Times New Roman"/>
          <w:sz w:val="20"/>
          <w:szCs w:val="20"/>
          <w:color w:val="auto"/>
        </w:rPr>
        <w:t>circumstances. Where there is any possibility that an item may be considered “material,” you should treat it as such and you should confer with the Corporate Secretary if you would like to review any specific situation.</w:t>
      </w:r>
    </w:p>
    <w:p>
      <w:pPr>
        <w:spacing w:after="0" w:line="20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b w:val="1"/>
          <w:bCs w:val="1"/>
          <w:i w:val="1"/>
          <w:iCs w:val="1"/>
          <w:color w:val="auto"/>
        </w:rPr>
        <w:t>Other Companies</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19"/>
          <w:szCs w:val="19"/>
          <w:color w:val="auto"/>
        </w:rPr>
        <w:t>While this Policy prohibits trading in Company securities while you are in possession of material, non-public</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19"/>
          <w:szCs w:val="19"/>
          <w:color w:val="auto"/>
        </w:rPr>
        <w:t>information about Company, it also prohibits trading in securities of any other company about which you learn material, non-public information in the course of performing your duties for Company. For example, you may be involved in a transaction in which Company expects to enter into (or terminate) a substantial business relationship with another company, or acquire another company, buy a substantial amount of its stock or enter into a joint venture with the company. Even though the size of the transaction may be immaterial to Company, it may be material to the other company. This Policy prohibits you from trading in the securities of that company, or any other company that may be directly or indirectly impacted by such transaction, while aware of this non-public information or from tipping others regarding the information. In addition, please remember that the Company Code of Business Conduct and Ethics prohibits you from engaging in outside interests that represent a conflict of interest with your obligations to Company.</w:t>
      </w:r>
    </w:p>
    <w:p>
      <w:pPr>
        <w:spacing w:after="0" w:line="17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2"/>
          <w:szCs w:val="22"/>
          <w:b w:val="1"/>
          <w:bCs w:val="1"/>
          <w:i w:val="1"/>
          <w:iCs w:val="1"/>
          <w:color w:val="auto"/>
        </w:rPr>
        <w:t xml:space="preserve">Securities; All Transactions. </w:t>
      </w:r>
      <w:r>
        <w:rPr>
          <w:rFonts w:ascii="Times New Roman" w:cs="Times New Roman" w:eastAsia="Times New Roman" w:hAnsi="Times New Roman"/>
          <w:sz w:val="19"/>
          <w:szCs w:val="19"/>
          <w:color w:val="auto"/>
        </w:rPr>
        <w:t>This Policy prohibits certain transactions in the “securities” of Company. Although it is usually the case that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19"/>
          <w:szCs w:val="19"/>
          <w:color w:val="auto"/>
        </w:rPr>
        <w:t>the information you gain will be material with respect to Company common stock, any securities that Company issues, such as debt securities or preferred stock, are also subject to this Policy. This Policy also applies to stock options and other derivatives related to Company securities, as discussed below. Purchases, sales and bona fide gifts of Company securities are subject to the insider trading laws and the provisions of this Policy, whether they are executed in the public markets or in private transactions, and whether you execute the transaction directly or indirectly through another person or entity.</w:t>
      </w:r>
    </w:p>
    <w:p>
      <w:pPr>
        <w:spacing w:after="0" w:line="17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b w:val="1"/>
          <w:bCs w:val="1"/>
          <w:i w:val="1"/>
          <w:iCs w:val="1"/>
          <w:color w:val="auto"/>
        </w:rPr>
        <w:t xml:space="preserve">Investments. </w:t>
      </w:r>
      <w:r>
        <w:rPr>
          <w:rFonts w:ascii="Times New Roman" w:cs="Times New Roman" w:eastAsia="Times New Roman" w:hAnsi="Times New Roman"/>
          <w:sz w:val="19"/>
          <w:szCs w:val="19"/>
          <w:color w:val="auto"/>
        </w:rPr>
        <w:t>We expect our employees, officers and directors not to engage in speculative transactions that are designed to result in profit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19"/>
          <w:szCs w:val="19"/>
          <w:color w:val="auto"/>
        </w:rPr>
        <w:t>based on short-term fluctuations in the price of our securities. If you do purchase Company securities, we strongly encourage you to do so with the expectation of owning those securities for an extended period of time ─ at a minimum, for six months. We recognize, of course, that your personal circumstances may change due to unforeseen events, in which case you may be forced to more quickly liquidate Company securities that you originally purchased with the intent of holding as a long-term investment.</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2"/>
          <w:szCs w:val="22"/>
          <w:b w:val="1"/>
          <w:bCs w:val="1"/>
          <w:i w:val="1"/>
          <w:iCs w:val="1"/>
          <w:color w:val="auto"/>
        </w:rPr>
        <w:t>Short Sales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19"/>
          <w:szCs w:val="19"/>
          <w:color w:val="auto"/>
        </w:rPr>
        <w:t>A “short sale” is a transaction involving securities which the seller does not own at the time of sale or, if the securities are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19"/>
          <w:szCs w:val="19"/>
          <w:color w:val="auto"/>
        </w:rPr>
        <w:t xml:space="preserve">owned by the seller, where they will be delivered on a delayed basis (meaning that the securities are not delivered within 20 days after the sale or deposited in the mail or other usual channels of transportation within five days after the sale). Selling securities “short” is consistent with an expectation that the price of the securities will decline in the near future and is often speculative in nature. Short selling may arouse suspicion in the eyes of the SEC that the person was </w:t>
      </w:r>
      <w:r>
        <w:rPr>
          <w:rFonts w:ascii="Times New Roman" w:cs="Times New Roman" w:eastAsia="Times New Roman" w:hAnsi="Times New Roman"/>
          <w:sz w:val="21"/>
          <w:szCs w:val="21"/>
          <w:color w:val="auto"/>
        </w:rPr>
        <w:t>trading</w:t>
      </w:r>
      <w:r>
        <w:rPr>
          <w:rFonts w:ascii="Times New Roman" w:cs="Times New Roman" w:eastAsia="Times New Roman" w:hAnsi="Times New Roman"/>
          <w:sz w:val="19"/>
          <w:szCs w:val="19"/>
          <w:color w:val="auto"/>
        </w:rPr>
        <w:t xml:space="preserve"> on the basis of inside information, particularly when the </w:t>
      </w:r>
      <w:r>
        <w:rPr>
          <w:rFonts w:ascii="Times New Roman" w:cs="Times New Roman" w:eastAsia="Times New Roman" w:hAnsi="Times New Roman"/>
          <w:sz w:val="21"/>
          <w:szCs w:val="21"/>
          <w:color w:val="auto"/>
        </w:rPr>
        <w:t>trading</w:t>
      </w:r>
      <w:r>
        <w:rPr>
          <w:rFonts w:ascii="Times New Roman" w:cs="Times New Roman" w:eastAsia="Times New Roman" w:hAnsi="Times New Roman"/>
          <w:sz w:val="19"/>
          <w:szCs w:val="19"/>
          <w:color w:val="auto"/>
        </w:rPr>
        <w:t xml:space="preserve"> occurs before a major company announcement or event. Accordingly, our employees, officers, and directors are prohibited from</w:t>
      </w:r>
    </w:p>
    <w:p>
      <w:pPr>
        <w:sectPr>
          <w:pgSz w:w="11900" w:h="16838" w:orient="portrait"/>
          <w:cols w:equalWidth="0" w:num="1">
            <w:col w:w="11240"/>
          </w:cols>
          <w:pgMar w:left="320" w:top="1426" w:right="339" w:bottom="1440" w:gutter="0" w:footer="0" w:header="0"/>
        </w:sectPr>
      </w:pPr>
    </w:p>
    <w:bookmarkStart w:id="107" w:name="page108"/>
    <w:bookmarkEnd w:id="107"/>
    <w:p>
      <w:pPr>
        <w:jc w:val="both"/>
        <w:spacing w:after="0" w:line="255" w:lineRule="auto"/>
        <w:rPr>
          <w:sz w:val="20"/>
          <w:szCs w:val="20"/>
          <w:color w:val="auto"/>
        </w:rPr>
      </w:pPr>
      <w:r>
        <w:rPr>
          <w:rFonts w:ascii="Times New Roman" w:cs="Times New Roman" w:eastAsia="Times New Roman" w:hAnsi="Times New Roman"/>
          <w:sz w:val="20"/>
          <w:szCs w:val="20"/>
          <w:color w:val="auto"/>
        </w:rPr>
        <w:t>engaging in “short sales” of Company securities or in any transaction in Company securities which is entered into with the expectation of, or that will benefit from, a decline in the price of Company securities.</w:t>
      </w:r>
    </w:p>
    <w:p>
      <w:pPr>
        <w:spacing w:after="0" w:line="18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2"/>
          <w:szCs w:val="22"/>
          <w:b w:val="1"/>
          <w:bCs w:val="1"/>
          <w:i w:val="1"/>
          <w:iCs w:val="1"/>
          <w:color w:val="auto"/>
        </w:rPr>
        <w:t>Options and Derivative Securities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19"/>
          <w:szCs w:val="19"/>
          <w:color w:val="auto"/>
        </w:rPr>
        <w:t>Derivative securities are securities contracts or arrangements whose value varies in relation to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19"/>
          <w:szCs w:val="19"/>
          <w:color w:val="auto"/>
        </w:rPr>
        <w:t>price of Company securities. For example, derivative securities would include exchange-traded put or call options, as well as individually arranged derivative transactions, such as prepaid forwards. Many forms of derivatives are speculative in nature (meaning that their value fluctuates based on short-term changes in the price of Company stock), and the purchase or sale of such derivatives by Company employees could motivate them to take actions that are in conflict with the long-term interests of other stockholders and could also cause the appearance of misuse of inside information. Accordingly, our employees, officers and directors are prohibited from purchasing or selling derivative securities, or entering into derivatives contracts relating to Company stock. The prohibition on transactions in derivatives does not apply to stock options and other interests issued under Company employee benefit plans; see Section VI below on “Permitted Transactions.” If you have any question as to whether a particular type of arrangement or derivative transaction is permitted under this Policy, you should contact the Corporate Secretary.</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Pledged Securities; Margin Loans; Hedges.</w:t>
      </w:r>
    </w:p>
    <w:p>
      <w:pPr>
        <w:spacing w:after="0" w:line="24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Under typical pledge or margin arrangements, a lender or broker is entitled to sell securities which you have deposited as collateral for loans if the value of your securities falls below a specified level or in certain other circumstances. Even though you did not initiate the sale or control its timing, because it is still a sale for your benefit, you may be subject to liability under insider trading laws if such a sale is made at a time when the “window” is closed (as described below) or you are in possession of material, non-public information at the time of such a sale. If such a sale involves a member of Group Three, it can bring unwanted negative publicity. In addition, pledging may be used as a part of hedging strategy that would remove the full risk and rewards of stock ownership, and sever your alignment with that of Company’s other security holders.</w:t>
      </w:r>
    </w:p>
    <w:p>
      <w:pPr>
        <w:spacing w:after="0" w:line="2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u w:val="single" w:color="auto"/>
          <w:color w:val="auto"/>
        </w:rPr>
        <w:t>Group Three</w:t>
      </w:r>
    </w:p>
    <w:p>
      <w:pPr>
        <w:spacing w:after="0" w:line="233"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Because of the concerns about pledging Company securities, members of Group Three are prohibited from pledging Company’s securities as collateral for a loan or hedging Company securities. This Policy does not prohibit members of Group Three from holding Company securities in brokerage accounts, so long as any Company securities held in such account are explicitly excluded from any margin or pledge arrangements and do not involve any hedging transaction. Sales of Company securities which are held in a margin account are not exempt from insider trading laws or this Policy. Accordingly, even though utilizing such accounts that exclude Company securities would not be subject to restrictions under this Policy, you should be extremely careful when utilizing a margin loan in a brokerage account that contains your Company securities.</w:t>
      </w:r>
    </w:p>
    <w:p>
      <w:pPr>
        <w:spacing w:after="0" w:line="2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u w:val="single" w:color="auto"/>
          <w:color w:val="auto"/>
        </w:rPr>
        <w:t>Groups One and Two</w:t>
      </w:r>
    </w:p>
    <w:p>
      <w:pPr>
        <w:spacing w:after="0" w:line="233"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0"/>
          <w:szCs w:val="20"/>
          <w:color w:val="auto"/>
        </w:rPr>
        <w:t>While persons that are not in Group Three are not prohibited from pledging Company stock, sales of Company securities that you have pledged as security for a loan or which are held in a margin account are not exempt from insider trading laws or this Policy. Accordingly, even though entering into such arrangements would not be considered a sale and would not be subject to restrictions under this Policy, members of Group One and Two should be extremely careful when pledging Company securities,</w:t>
      </w:r>
    </w:p>
    <w:p>
      <w:pPr>
        <w:sectPr>
          <w:pgSz w:w="11900" w:h="16838" w:orient="portrait"/>
          <w:cols w:equalWidth="0" w:num="1">
            <w:col w:w="11240"/>
          </w:cols>
          <w:pgMar w:left="320" w:top="1413"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20"/>
          <w:szCs w:val="20"/>
          <w:color w:val="auto"/>
        </w:rPr>
        <w:t>utilizing a margin loan in a brokerage account or otherwise using Company securities as collateral for a loan.</w:t>
      </w:r>
    </w:p>
    <w:p>
      <w:pPr>
        <w:spacing w:after="0" w:line="229"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Any sale must be made in compliance with the restrictions under this Policy that apply to you, such as trading windows and pre-clearance requirements. As a result, if you pledge your Company securities or use Company securities to secure a margin loan, you may be forced to take actions (for instance, depositing additional money or selling other securities) in order to avoid your lender or broker selling your Company securities at a time that would result in a violation of insider trading laws or this Policy. Similar cautions apply to any other arrangements under which you have used Company securities as collateral.</w:t>
      </w:r>
    </w:p>
    <w:p>
      <w:pPr>
        <w:spacing w:after="0" w:line="4"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0"/>
          <w:szCs w:val="20"/>
          <w:color w:val="auto"/>
        </w:rPr>
        <w:t>Members of Group Two must receive pre-clearance prior to entering into any pledge or margin arrangement involving Company securities to avoid an inadvertent violation of this Policy.</w:t>
      </w:r>
    </w:p>
    <w:p>
      <w:pPr>
        <w:spacing w:after="0" w:line="197"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b w:val="1"/>
          <w:bCs w:val="1"/>
          <w:i w:val="1"/>
          <w:iCs w:val="1"/>
          <w:u w:val="single" w:color="auto"/>
          <w:color w:val="auto"/>
        </w:rPr>
        <w:t>Gifts Subject to Same Restrictions as All Other Securities Trades</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No insider may give or make any other transfer of Company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securities without consideration (e.g., a gift) during the period when the insider is not permitted to trade.</w:t>
      </w:r>
    </w:p>
    <w:p>
      <w:pPr>
        <w:spacing w:after="0" w:line="15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2"/>
          <w:szCs w:val="22"/>
          <w:b w:val="1"/>
          <w:bCs w:val="1"/>
          <w:i w:val="1"/>
          <w:iCs w:val="1"/>
          <w:color w:val="auto"/>
        </w:rPr>
        <w:t xml:space="preserve">Safest Time for Transactions. </w:t>
      </w:r>
      <w:r>
        <w:rPr>
          <w:rFonts w:ascii="Times New Roman" w:cs="Times New Roman" w:eastAsia="Times New Roman" w:hAnsi="Times New Roman"/>
          <w:sz w:val="19"/>
          <w:szCs w:val="19"/>
          <w:color w:val="auto"/>
        </w:rPr>
        <w:t>All employees, whether or not subject to the trading windows or pre-clearance procedures described in this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19"/>
          <w:szCs w:val="19"/>
          <w:color w:val="auto"/>
        </w:rPr>
        <w:t>Policy, are reminded that the safest time for transactions in Company securities will generally be just after the trading window opens after the</w:t>
      </w:r>
    </w:p>
    <w:p>
      <w:pPr>
        <w:spacing w:after="0" w:line="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release by the Company of financial information relating to a completed quarter, as described in Section IV below. The appearance of improper trading may increase as the Company approaches the end of the next fiscal quarter.</w:t>
      </w:r>
    </w:p>
    <w:p>
      <w:pPr>
        <w:spacing w:after="0" w:line="225" w:lineRule="exact"/>
        <w:rPr>
          <w:sz w:val="20"/>
          <w:szCs w:val="20"/>
          <w:color w:val="auto"/>
        </w:rPr>
      </w:pPr>
    </w:p>
    <w:p>
      <w:pPr>
        <w:ind w:left="660" w:hanging="328"/>
        <w:spacing w:after="0"/>
        <w:tabs>
          <w:tab w:leader="none" w:pos="660" w:val="left"/>
        </w:tabs>
        <w:numPr>
          <w:ilvl w:val="0"/>
          <w:numId w:val="63"/>
        </w:numPr>
        <w:rPr>
          <w:rFonts w:ascii="Arial" w:cs="Arial" w:eastAsia="Arial" w:hAnsi="Arial"/>
          <w:sz w:val="22"/>
          <w:szCs w:val="22"/>
          <w:color w:val="auto"/>
        </w:rPr>
      </w:pPr>
      <w:r>
        <w:rPr>
          <w:rFonts w:ascii="Times New Roman" w:cs="Times New Roman" w:eastAsia="Times New Roman" w:hAnsi="Times New Roman"/>
          <w:sz w:val="20"/>
          <w:szCs w:val="20"/>
          <w:u w:val="single" w:color="auto"/>
          <w:color w:val="auto"/>
        </w:rPr>
        <w:t>Unauthorized Disclosure of Material, Non-public Information Prohibited</w:t>
      </w:r>
    </w:p>
    <w:p>
      <w:pPr>
        <w:jc w:val="both"/>
        <w:spacing w:after="0" w:line="228" w:lineRule="auto"/>
        <w:rPr>
          <w:sz w:val="20"/>
          <w:szCs w:val="20"/>
          <w:color w:val="auto"/>
        </w:rPr>
      </w:pPr>
      <w:r>
        <w:rPr>
          <w:rFonts w:ascii="Times New Roman" w:cs="Times New Roman" w:eastAsia="Times New Roman" w:hAnsi="Times New Roman"/>
          <w:sz w:val="22"/>
          <w:szCs w:val="22"/>
          <w:b w:val="1"/>
          <w:bCs w:val="1"/>
          <w:i w:val="1"/>
          <w:iCs w:val="1"/>
          <w:color w:val="auto"/>
        </w:rPr>
        <w:t xml:space="preserve">General Rule. </w:t>
      </w:r>
      <w:r>
        <w:rPr>
          <w:rFonts w:ascii="Times New Roman" w:cs="Times New Roman" w:eastAsia="Times New Roman" w:hAnsi="Times New Roman"/>
          <w:sz w:val="19"/>
          <w:szCs w:val="19"/>
          <w:color w:val="auto"/>
        </w:rPr>
        <w:t>No employee, officer or director may disclose material, non-public information about Company or any company with which</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19"/>
          <w:szCs w:val="19"/>
          <w:color w:val="auto"/>
        </w:rPr>
        <w:t>Company deals to anyone outside of Company, unless authorized to do so.</w:t>
      </w:r>
    </w:p>
    <w:p>
      <w:pPr>
        <w:spacing w:after="0" w:line="19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2"/>
          <w:szCs w:val="22"/>
          <w:b w:val="1"/>
          <w:bCs w:val="1"/>
          <w:i w:val="1"/>
          <w:iCs w:val="1"/>
          <w:color w:val="auto"/>
        </w:rPr>
        <w:t>Tipping</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19"/>
          <w:szCs w:val="19"/>
          <w:color w:val="auto"/>
        </w:rPr>
        <w:t>Under the federal securities laws, you can be held responsible not only for your own insider trading, but also for securities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19"/>
          <w:szCs w:val="19"/>
          <w:color w:val="auto"/>
        </w:rPr>
        <w:t>transactions by anyone to whom you disclose material, non-public information. Even if those to whom you disclose such information do not trade while aware of the information, you can be responsible for the trades of persons who received material, non-public information indirectly from you, if you are the ultimate source of their information.</w:t>
      </w:r>
    </w:p>
    <w:p>
      <w:pPr>
        <w:spacing w:after="0" w:line="18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b w:val="1"/>
          <w:bCs w:val="1"/>
          <w:i w:val="1"/>
          <w:iCs w:val="1"/>
          <w:color w:val="auto"/>
        </w:rPr>
        <w:t xml:space="preserve">Discussing or Recommending Company Securities. </w:t>
      </w:r>
      <w:r>
        <w:rPr>
          <w:rFonts w:ascii="Times New Roman" w:cs="Times New Roman" w:eastAsia="Times New Roman" w:hAnsi="Times New Roman"/>
          <w:sz w:val="19"/>
          <w:szCs w:val="19"/>
          <w:color w:val="auto"/>
        </w:rPr>
        <w:t>We recognize that employee enthusiasm for Company and its business prospects is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19"/>
          <w:szCs w:val="19"/>
          <w:color w:val="auto"/>
        </w:rPr>
        <w:t>a vital element of our success. You should, however, use extreme caution when discussing Company or our securities with anyone outside of Company. In the course of discussing Company or our securities, accidental disclosure of material, non-public information can occur and can be viewed as “tipping” or may violate other provisions of the federal securities laws, such as Regulation FD as described below. Likewise, recommendations of our securities can also result in embarrassing situations for you or the Company if you make a recommendation at a time when there is a pending announcement of material, non-public information by the Company, even if you are unaware of that information.</w:t>
      </w:r>
    </w:p>
    <w:p>
      <w:pPr>
        <w:spacing w:after="0" w:line="173"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2"/>
          <w:szCs w:val="22"/>
          <w:b w:val="1"/>
          <w:bCs w:val="1"/>
          <w:i w:val="1"/>
          <w:iCs w:val="1"/>
          <w:color w:val="auto"/>
        </w:rPr>
        <w:t xml:space="preserve">Internet Postings and Social Media. </w:t>
      </w:r>
      <w:r>
        <w:rPr>
          <w:rFonts w:ascii="Times New Roman" w:cs="Times New Roman" w:eastAsia="Times New Roman" w:hAnsi="Times New Roman"/>
          <w:sz w:val="19"/>
          <w:szCs w:val="19"/>
          <w:color w:val="auto"/>
        </w:rPr>
        <w:t>No employee, officer or director may disclose confidential information about Company on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19"/>
          <w:szCs w:val="19"/>
          <w:color w:val="auto"/>
        </w:rPr>
        <w:t>Internet or through social media, including discussion forums, blogs and social media (such as Facebook, Twitter, Instagram, Snapchat, Reddit, Pinterest, YouTube and other social media networks). Disclosures of material, non-public information through this</w:t>
      </w:r>
    </w:p>
    <w:p>
      <w:pPr>
        <w:sectPr>
          <w:pgSz w:w="11900" w:h="16838" w:orient="portrait"/>
          <w:cols w:equalWidth="0" w:num="1">
            <w:col w:w="11240"/>
          </w:cols>
          <w:pgMar w:left="320" w:top="1413" w:right="339" w:bottom="1440" w:gutter="0" w:footer="0" w:header="0"/>
        </w:sectPr>
      </w:pPr>
    </w:p>
    <w:bookmarkStart w:id="109" w:name="page110"/>
    <w:bookmarkEnd w:id="109"/>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type of media may amount to a “tip” or leak of such information, in violation of this Policy, other Company policies regarding computer and social media usage and applicable law.</w:t>
      </w:r>
    </w:p>
    <w:p>
      <w:pPr>
        <w:spacing w:after="0" w:line="18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b w:val="1"/>
          <w:bCs w:val="1"/>
          <w:i w:val="1"/>
          <w:iCs w:val="1"/>
          <w:color w:val="auto"/>
        </w:rPr>
        <w:t xml:space="preserve">Authorization to Disclose Material, Non-public Information. </w:t>
      </w:r>
      <w:r>
        <w:rPr>
          <w:rFonts w:ascii="Times New Roman" w:cs="Times New Roman" w:eastAsia="Times New Roman" w:hAnsi="Times New Roman"/>
          <w:sz w:val="19"/>
          <w:szCs w:val="19"/>
          <w:color w:val="auto"/>
        </w:rPr>
        <w:t>We authorize only certain employees, officers and directors to make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19"/>
          <w:szCs w:val="19"/>
          <w:color w:val="auto"/>
        </w:rPr>
        <w:t>public disclosures of material, non-public information or to confer with persons outside the Company regarding such information (for example, our auditors, outside counsel and other advisors). Unless you are authorized to do so by the Chief Executive Officer, the Chief Financial Officer or the Corporate Secretary, you should not discuss material, non-public information with anyone not in the Company. Even in discussions with other Company employees, you should consider the consequences of disclosing material, non-public information to them. For example, by doing so, you would preclude those persons from trading in Company’s securities until the information is publicly disclosed. Accordingly, you should restrict the communication of material, non-public information to those employees, officers, and directors having a need to know in order to serve Company’s interests.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Regulation FD (Fair Disclosure)</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19"/>
          <w:szCs w:val="19"/>
          <w:color w:val="auto"/>
        </w:rPr>
        <w:t>There are SEC rules and regulations banning selective disclosure of material information relating to</w:t>
      </w:r>
    </w:p>
    <w:p>
      <w:pPr>
        <w:spacing w:after="0" w:line="3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public companies. Generally, these regulations provide that when a public company (such as Company) discloses material, non-public information, it must provide broad, non-exclusionary public access to the information (for example, through press releases, conference calls</w:t>
      </w:r>
    </w:p>
    <w:p>
      <w:pPr>
        <w:spacing w:after="0" w:line="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or webcasts). Violations of these regulations can result in SEC enforcement actions, resulting in injunctions and severe monetary penalties. Regulation FD applies largely to a limited group of senior officers and the investor relations personnel who regularly communicate with securities market professionals and stockholders. Remember that no other Company employees, officers or directors are authorized to communicate information regarding the Company with securities market professionals, stockholders or members of the media. You should refer to Company’s Communications Policy for further information.</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b w:val="1"/>
          <w:bCs w:val="1"/>
          <w:i w:val="1"/>
          <w:iCs w:val="1"/>
          <w:color w:val="auto"/>
        </w:rPr>
        <w:t xml:space="preserve">Non-Disclosure Agreements. </w:t>
      </w:r>
      <w:r>
        <w:rPr>
          <w:rFonts w:ascii="Times New Roman" w:cs="Times New Roman" w:eastAsia="Times New Roman" w:hAnsi="Times New Roman"/>
          <w:sz w:val="19"/>
          <w:szCs w:val="19"/>
          <w:color w:val="auto"/>
        </w:rPr>
        <w:t>Employees, officers and directors involved in transactions or other negotiations that require disclosure of</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19"/>
          <w:szCs w:val="19"/>
          <w:color w:val="auto"/>
        </w:rPr>
        <w:t>material, non-public information with parties outside Company should generally have those to whom such information is being disclosed sign a non-disclosure agreement approved by the Corporate Secretary. The non-disclosure agreement will require that the recipient of information not disclose the information to others and require the recipient not to trade in Company securities while in possession of such information. You should confer with the Corporate Secretary whenever a non-disclosure agreement may be needed.</w:t>
      </w:r>
    </w:p>
    <w:p>
      <w:pPr>
        <w:spacing w:after="0" w:line="213" w:lineRule="exact"/>
        <w:rPr>
          <w:sz w:val="20"/>
          <w:szCs w:val="20"/>
          <w:color w:val="auto"/>
        </w:rPr>
      </w:pPr>
    </w:p>
    <w:p>
      <w:pPr>
        <w:ind w:left="660" w:hanging="328"/>
        <w:spacing w:after="0"/>
        <w:tabs>
          <w:tab w:leader="none" w:pos="660" w:val="left"/>
        </w:tabs>
        <w:numPr>
          <w:ilvl w:val="0"/>
          <w:numId w:val="64"/>
        </w:numPr>
        <w:rPr>
          <w:rFonts w:ascii="Arial" w:cs="Arial" w:eastAsia="Arial" w:hAnsi="Arial"/>
          <w:sz w:val="22"/>
          <w:szCs w:val="22"/>
          <w:color w:val="auto"/>
        </w:rPr>
      </w:pPr>
      <w:r>
        <w:rPr>
          <w:rFonts w:ascii="Times New Roman" w:cs="Times New Roman" w:eastAsia="Times New Roman" w:hAnsi="Times New Roman"/>
          <w:sz w:val="20"/>
          <w:szCs w:val="20"/>
          <w:u w:val="single" w:color="auto"/>
          <w:color w:val="auto"/>
        </w:rPr>
        <w:t>Trading Windows</w:t>
      </w:r>
    </w:p>
    <w:p>
      <w:pPr>
        <w:spacing w:after="0"/>
        <w:rPr>
          <w:sz w:val="20"/>
          <w:szCs w:val="20"/>
          <w:color w:val="auto"/>
        </w:rPr>
      </w:pPr>
      <w:r>
        <w:rPr>
          <w:rFonts w:ascii="Times New Roman" w:cs="Times New Roman" w:eastAsia="Times New Roman" w:hAnsi="Times New Roman"/>
          <w:sz w:val="22"/>
          <w:szCs w:val="22"/>
          <w:b w:val="1"/>
          <w:bCs w:val="1"/>
          <w:i w:val="1"/>
          <w:iCs w:val="1"/>
          <w:color w:val="auto"/>
        </w:rPr>
        <w:t xml:space="preserve">Standard Trading Windows. </w:t>
      </w:r>
      <w:r>
        <w:rPr>
          <w:rFonts w:ascii="Times New Roman" w:cs="Times New Roman" w:eastAsia="Times New Roman" w:hAnsi="Times New Roman"/>
          <w:sz w:val="19"/>
          <w:szCs w:val="19"/>
          <w:color w:val="auto"/>
        </w:rPr>
        <w:t>Members of Groups Two and Three may only purchase, sell or make a bona fide gift of Company’s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19"/>
          <w:szCs w:val="19"/>
          <w:color w:val="auto"/>
        </w:rPr>
        <w:t>securities:</w:t>
      </w:r>
    </w:p>
    <w:p>
      <w:pPr>
        <w:spacing w:after="0" w:line="200" w:lineRule="exact"/>
        <w:rPr>
          <w:sz w:val="20"/>
          <w:szCs w:val="20"/>
          <w:color w:val="auto"/>
        </w:rPr>
      </w:pPr>
    </w:p>
    <w:p>
      <w:pPr>
        <w:spacing w:after="0" w:line="243" w:lineRule="exact"/>
        <w:rPr>
          <w:sz w:val="20"/>
          <w:szCs w:val="20"/>
          <w:color w:val="auto"/>
        </w:rPr>
      </w:pPr>
    </w:p>
    <w:p>
      <w:pPr>
        <w:ind w:left="660" w:hanging="328"/>
        <w:spacing w:after="0"/>
        <w:tabs>
          <w:tab w:leader="none" w:pos="660" w:val="left"/>
        </w:tabs>
        <w:numPr>
          <w:ilvl w:val="0"/>
          <w:numId w:val="65"/>
        </w:numPr>
        <w:rPr>
          <w:rFonts w:ascii="Arial" w:cs="Arial" w:eastAsia="Arial" w:hAnsi="Arial"/>
          <w:sz w:val="22"/>
          <w:szCs w:val="22"/>
          <w:color w:val="auto"/>
        </w:rPr>
      </w:pPr>
      <w:r>
        <w:rPr>
          <w:rFonts w:ascii="Times New Roman" w:cs="Times New Roman" w:eastAsia="Times New Roman" w:hAnsi="Times New Roman"/>
          <w:sz w:val="20"/>
          <w:szCs w:val="20"/>
          <w:color w:val="auto"/>
        </w:rPr>
        <w:t>during the designated trading windows described below; and</w:t>
      </w:r>
    </w:p>
    <w:p>
      <w:pPr>
        <w:spacing w:after="0" w:line="12" w:lineRule="exact"/>
        <w:rPr>
          <w:rFonts w:ascii="Arial" w:cs="Arial" w:eastAsia="Arial" w:hAnsi="Arial"/>
          <w:sz w:val="22"/>
          <w:szCs w:val="22"/>
          <w:color w:val="auto"/>
        </w:rPr>
      </w:pPr>
    </w:p>
    <w:p>
      <w:pPr>
        <w:ind w:left="660" w:hanging="328"/>
        <w:spacing w:after="0" w:line="224" w:lineRule="auto"/>
        <w:tabs>
          <w:tab w:leader="none" w:pos="660" w:val="left"/>
        </w:tabs>
        <w:numPr>
          <w:ilvl w:val="0"/>
          <w:numId w:val="65"/>
        </w:numPr>
        <w:rPr>
          <w:rFonts w:ascii="Arial" w:cs="Arial" w:eastAsia="Arial" w:hAnsi="Arial"/>
          <w:sz w:val="22"/>
          <w:szCs w:val="22"/>
          <w:color w:val="auto"/>
        </w:rPr>
      </w:pPr>
      <w:r>
        <w:rPr>
          <w:rFonts w:ascii="Times New Roman" w:cs="Times New Roman" w:eastAsia="Times New Roman" w:hAnsi="Times New Roman"/>
          <w:sz w:val="20"/>
          <w:szCs w:val="20"/>
          <w:color w:val="auto"/>
        </w:rPr>
        <w:t>when the individual is not otherwise in possession of material, non-public information.</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 xml:space="preserve">Outside of the trading windows, members of Groups Two and Three may not purchase, sell or make a bona fide gift of Company </w:t>
      </w:r>
      <w:r>
        <w:rPr>
          <w:rFonts w:ascii="Times New Roman" w:cs="Times New Roman" w:eastAsia="Times New Roman" w:hAnsi="Times New Roman"/>
          <w:sz w:val="21"/>
          <w:szCs w:val="21"/>
          <w:color w:val="auto"/>
        </w:rPr>
        <w:t>securities,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even if they are not personally aware of any material, non-public information. However, members of Groups Two and Three may engage in Permitted Transactions (described in Section VI below) outside of the trading windows.</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We will communicate to each member of Groups Two and Three when each trading window will open and close. It is expected that the trading window generally will open one full</w:t>
      </w:r>
    </w:p>
    <w:p>
      <w:pPr>
        <w:sectPr>
          <w:pgSz w:w="11900" w:h="16838" w:orient="portrait"/>
          <w:cols w:equalWidth="0" w:num="1">
            <w:col w:w="11240"/>
          </w:cols>
          <w:pgMar w:left="320" w:top="1413" w:right="339" w:bottom="1440" w:gutter="0" w:footer="0" w:header="0"/>
        </w:sectPr>
      </w:pPr>
    </w:p>
    <w:bookmarkStart w:id="110" w:name="page111"/>
    <w:bookmarkEnd w:id="110"/>
    <w:p>
      <w:pPr>
        <w:jc w:val="both"/>
        <w:spacing w:after="0" w:line="239" w:lineRule="auto"/>
        <w:rPr>
          <w:sz w:val="20"/>
          <w:szCs w:val="20"/>
          <w:color w:val="auto"/>
        </w:rPr>
      </w:pPr>
      <w:r>
        <w:rPr>
          <w:rFonts w:ascii="Times New Roman" w:cs="Times New Roman" w:eastAsia="Times New Roman" w:hAnsi="Times New Roman"/>
          <w:sz w:val="22"/>
          <w:szCs w:val="22"/>
          <w:color w:val="auto"/>
        </w:rPr>
        <w:t>trading day after our quarterly release of earnings and will close 15 calendar days prior to the end of the following quarter. However, you should not expect that the window will open on any particular date or remain open for any minimum period of time. Significant corporate developments may require changes to the schedule, including closing the window at the Company’s option at any time.</w:t>
      </w:r>
    </w:p>
    <w:p>
      <w:pPr>
        <w:spacing w:after="0" w:line="20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b w:val="1"/>
          <w:bCs w:val="1"/>
          <w:color w:val="auto"/>
        </w:rPr>
        <w:t>Do not confuse the applicability of the trading windows with the broader prohibition on trading when you are in possession of material, non-public information described in Section II. Regardless of whether the trading window is open or closed, you may not trade in Company securities if you are in actual possession of material, non-public information about Company.</w:t>
      </w:r>
    </w:p>
    <w:p>
      <w:pPr>
        <w:spacing w:after="0" w:line="20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b w:val="1"/>
          <w:bCs w:val="1"/>
          <w:i w:val="1"/>
          <w:iCs w:val="1"/>
          <w:color w:val="auto"/>
        </w:rPr>
        <w:t xml:space="preserve">Special Blackouts. </w:t>
      </w:r>
      <w:r>
        <w:rPr>
          <w:rFonts w:ascii="Times New Roman" w:cs="Times New Roman" w:eastAsia="Times New Roman" w:hAnsi="Times New Roman"/>
          <w:sz w:val="19"/>
          <w:szCs w:val="19"/>
          <w:color w:val="auto"/>
        </w:rPr>
        <w:t>We reserve the right to impose a trading blackout from time to time on all or any group of our employees, officers or</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19"/>
          <w:szCs w:val="19"/>
          <w:color w:val="auto"/>
        </w:rPr>
        <w:t>directors when, in the judgment of the Corporate Secretary and other senior officers, a blackout is warranted. During a special blackout, you will not be permitted to purchase, sell or make a bona fide gift of Company securities and you may or may not be allowed to execute Permitted Transactions (as defined below). A special blackout may also prohibit you from trading in the securities of other companies. If the Corporate Secretary imposes a blackout to which you are subject, we will notify you when the blackout begins and when it ends and the securities and transactions to which it applies.</w:t>
      </w:r>
    </w:p>
    <w:p>
      <w:pPr>
        <w:spacing w:after="0" w:line="17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b w:val="1"/>
          <w:bCs w:val="1"/>
          <w:i w:val="1"/>
          <w:iCs w:val="1"/>
          <w:color w:val="auto"/>
        </w:rPr>
        <w:t xml:space="preserve">Standing Orders; Limit Orders. </w:t>
      </w:r>
      <w:r>
        <w:rPr>
          <w:rFonts w:ascii="Times New Roman" w:cs="Times New Roman" w:eastAsia="Times New Roman" w:hAnsi="Times New Roman"/>
          <w:sz w:val="19"/>
          <w:szCs w:val="19"/>
          <w:color w:val="auto"/>
        </w:rPr>
        <w:t>Purchases or sales resulting from standing orders or limit orders may result in the execution of orders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19"/>
          <w:szCs w:val="19"/>
          <w:color w:val="auto"/>
        </w:rPr>
        <w:t>without your control over the transaction or your awareness of the timing of the transaction. Even though you placed the order at a time when you were permitted to enter into transactions, you must be certain that this type of order will not be executed when you are in possession of material, non-public information about the company or during a blackout period. Accordingly, any standing orders should be used only for a very brief period and with detailed instructions to the broker who will execute the transaction. (Standing orders under an approved Rule 10b5-1 Trading Plan, described below, will not be subject to these limitations.)</w:t>
      </w:r>
    </w:p>
    <w:p>
      <w:pPr>
        <w:spacing w:after="0" w:line="209" w:lineRule="exact"/>
        <w:rPr>
          <w:sz w:val="20"/>
          <w:szCs w:val="20"/>
          <w:color w:val="auto"/>
        </w:rPr>
      </w:pPr>
    </w:p>
    <w:p>
      <w:pPr>
        <w:ind w:left="660" w:hanging="328"/>
        <w:spacing w:after="0"/>
        <w:tabs>
          <w:tab w:leader="none" w:pos="660" w:val="left"/>
        </w:tabs>
        <w:numPr>
          <w:ilvl w:val="0"/>
          <w:numId w:val="66"/>
        </w:numPr>
        <w:rPr>
          <w:rFonts w:ascii="Arial" w:cs="Arial" w:eastAsia="Arial" w:hAnsi="Arial"/>
          <w:sz w:val="22"/>
          <w:szCs w:val="22"/>
          <w:color w:val="auto"/>
        </w:rPr>
      </w:pPr>
      <w:r>
        <w:rPr>
          <w:rFonts w:ascii="Times New Roman" w:cs="Times New Roman" w:eastAsia="Times New Roman" w:hAnsi="Times New Roman"/>
          <w:sz w:val="20"/>
          <w:szCs w:val="20"/>
          <w:u w:val="single" w:color="auto"/>
          <w:color w:val="auto"/>
        </w:rPr>
        <w:t>Pre-Clearance of Transactions</w:t>
      </w:r>
    </w:p>
    <w:p>
      <w:pPr>
        <w:jc w:val="both"/>
        <w:spacing w:after="0"/>
        <w:rPr>
          <w:sz w:val="20"/>
          <w:szCs w:val="20"/>
          <w:color w:val="auto"/>
        </w:rPr>
      </w:pPr>
      <w:r>
        <w:rPr>
          <w:rFonts w:ascii="Times New Roman" w:cs="Times New Roman" w:eastAsia="Times New Roman" w:hAnsi="Times New Roman"/>
          <w:sz w:val="20"/>
          <w:szCs w:val="20"/>
          <w:b w:val="1"/>
          <w:bCs w:val="1"/>
          <w:i w:val="1"/>
          <w:iCs w:val="1"/>
          <w:color w:val="auto"/>
        </w:rPr>
        <w:t xml:space="preserve">General. </w:t>
      </w:r>
      <w:r>
        <w:rPr>
          <w:rFonts w:ascii="Times New Roman" w:cs="Times New Roman" w:eastAsia="Times New Roman" w:hAnsi="Times New Roman"/>
          <w:sz w:val="20"/>
          <w:szCs w:val="20"/>
          <w:color w:val="auto"/>
        </w:rPr>
        <w:t>Before purchasing, selling or make a bona fide gift of Company securities, members of Groups Two and Three must obtain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clearance of the transaction from the Corporate Secretary. This clearance must be obtained </w:t>
      </w:r>
      <w:r>
        <w:rPr>
          <w:rFonts w:ascii="Times New Roman" w:cs="Times New Roman" w:eastAsia="Times New Roman" w:hAnsi="Times New Roman"/>
          <w:sz w:val="21"/>
          <w:szCs w:val="21"/>
          <w:b w:val="1"/>
          <w:bCs w:val="1"/>
          <w:u w:val="single" w:color="auto"/>
          <w:color w:val="auto"/>
        </w:rPr>
        <w:t>before</w:t>
      </w:r>
      <w:r>
        <w:rPr>
          <w:rFonts w:ascii="Times New Roman" w:cs="Times New Roman" w:eastAsia="Times New Roman" w:hAnsi="Times New Roman"/>
          <w:sz w:val="20"/>
          <w:szCs w:val="20"/>
          <w:color w:val="auto"/>
        </w:rPr>
        <w:t xml:space="preserve"> you place the order for, or otherwise</w:t>
      </w:r>
    </w:p>
    <w:p>
      <w:pPr>
        <w:jc w:val="both"/>
        <w:spacing w:after="0" w:line="250" w:lineRule="auto"/>
        <w:rPr>
          <w:sz w:val="20"/>
          <w:szCs w:val="20"/>
          <w:color w:val="auto"/>
        </w:rPr>
      </w:pPr>
      <w:r>
        <w:rPr>
          <w:rFonts w:ascii="Times New Roman" w:cs="Times New Roman" w:eastAsia="Times New Roman" w:hAnsi="Times New Roman"/>
          <w:sz w:val="20"/>
          <w:szCs w:val="20"/>
          <w:color w:val="auto"/>
        </w:rPr>
        <w:t>initiate, any transaction in Company securities. Any pre-clearance that you obtain will be valid for a transaction executed within two business days, unless either the pre-clearance is granted for a shorter period or you learn of material, non-public information during that time. Whether or not your request for pre-clearance is granted, you must not inform anyone else of the results of your request.</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Do not confuse pre-clearance of transactions with the broader prohibition on trading when you are in possession of material, non-public information described in Section II. Regardless of whether you have received pre-clearance for a transaction or whether a trading window is open or closed, you may not trade in Company </w:t>
      </w:r>
      <w:r>
        <w:rPr>
          <w:rFonts w:ascii="Times New Roman" w:cs="Times New Roman" w:eastAsia="Times New Roman" w:hAnsi="Times New Roman"/>
          <w:sz w:val="21"/>
          <w:szCs w:val="21"/>
          <w:b w:val="1"/>
          <w:bCs w:val="1"/>
          <w:color w:val="auto"/>
        </w:rPr>
        <w:t>securities if you are in actual possession of material, non-public information about Company.</w:t>
      </w:r>
    </w:p>
    <w:p>
      <w:pPr>
        <w:spacing w:after="0" w:line="20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 xml:space="preserve">Permitted Transactions. </w:t>
      </w:r>
      <w:r>
        <w:rPr>
          <w:rFonts w:ascii="Times New Roman" w:cs="Times New Roman" w:eastAsia="Times New Roman" w:hAnsi="Times New Roman"/>
          <w:sz w:val="20"/>
          <w:szCs w:val="20"/>
          <w:color w:val="auto"/>
        </w:rPr>
        <w:t>Members of Groups Two and Three are not required to receive pre-clearance prior to entering into any Permitted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Transaction, except they are required to do so before exercising any stock options.</w:t>
      </w:r>
    </w:p>
    <w:p>
      <w:pPr>
        <w:sectPr>
          <w:pgSz w:w="11900" w:h="16838" w:orient="portrait"/>
          <w:cols w:equalWidth="0" w:num="1">
            <w:col w:w="11240"/>
          </w:cols>
          <w:pgMar w:left="320" w:top="1408" w:right="339" w:bottom="1440" w:gutter="0" w:footer="0" w:header="0"/>
        </w:sectPr>
      </w:pPr>
    </w:p>
    <w:bookmarkStart w:id="111" w:name="page112"/>
    <w:bookmarkEnd w:id="111"/>
    <w:p>
      <w:pPr>
        <w:ind w:left="660" w:hanging="328"/>
        <w:spacing w:after="0"/>
        <w:tabs>
          <w:tab w:leader="none" w:pos="660" w:val="left"/>
        </w:tabs>
        <w:numPr>
          <w:ilvl w:val="0"/>
          <w:numId w:val="67"/>
        </w:numPr>
        <w:rPr>
          <w:rFonts w:ascii="Arial" w:cs="Arial" w:eastAsia="Arial" w:hAnsi="Arial"/>
          <w:sz w:val="22"/>
          <w:szCs w:val="22"/>
          <w:color w:val="auto"/>
        </w:rPr>
      </w:pPr>
      <w:r>
        <w:rPr>
          <w:rFonts w:ascii="Times New Roman" w:cs="Times New Roman" w:eastAsia="Times New Roman" w:hAnsi="Times New Roman"/>
          <w:sz w:val="20"/>
          <w:szCs w:val="20"/>
          <w:u w:val="single" w:color="auto"/>
          <w:color w:val="auto"/>
        </w:rPr>
        <w:t>Permitted Transactions</w:t>
      </w:r>
    </w:p>
    <w:p>
      <w:pPr>
        <w:spacing w:after="0"/>
        <w:rPr>
          <w:sz w:val="20"/>
          <w:szCs w:val="20"/>
          <w:color w:val="auto"/>
        </w:rPr>
      </w:pPr>
      <w:r>
        <w:rPr>
          <w:rFonts w:ascii="Times New Roman" w:cs="Times New Roman" w:eastAsia="Times New Roman" w:hAnsi="Times New Roman"/>
          <w:sz w:val="20"/>
          <w:szCs w:val="20"/>
          <w:color w:val="auto"/>
        </w:rPr>
        <w:t>The following are “Permitted Transactions” (each described in more detail following the bullet point summary):</w:t>
      </w:r>
    </w:p>
    <w:p>
      <w:pPr>
        <w:spacing w:after="0" w:line="221" w:lineRule="exact"/>
        <w:rPr>
          <w:sz w:val="20"/>
          <w:szCs w:val="20"/>
          <w:color w:val="auto"/>
        </w:rPr>
      </w:pPr>
    </w:p>
    <w:p>
      <w:pPr>
        <w:jc w:val="both"/>
        <w:ind w:left="660" w:hanging="328"/>
        <w:spacing w:after="0" w:line="239" w:lineRule="auto"/>
        <w:tabs>
          <w:tab w:leader="none" w:pos="683" w:val="left"/>
        </w:tabs>
        <w:numPr>
          <w:ilvl w:val="0"/>
          <w:numId w:val="68"/>
        </w:numPr>
        <w:rPr>
          <w:rFonts w:ascii="Arial" w:cs="Arial" w:eastAsia="Arial" w:hAnsi="Arial"/>
          <w:sz w:val="22"/>
          <w:szCs w:val="22"/>
          <w:color w:val="auto"/>
        </w:rPr>
      </w:pPr>
      <w:r>
        <w:rPr>
          <w:rFonts w:ascii="Times New Roman" w:cs="Times New Roman" w:eastAsia="Times New Roman" w:hAnsi="Times New Roman"/>
          <w:sz w:val="20"/>
          <w:szCs w:val="20"/>
          <w:color w:val="auto"/>
        </w:rPr>
        <w:t>acceptance or receipt of a stock option, shares of restricted stock or similar grants of securities under one of Company’s employee benefit plans (including elections to acquire securities in lieu of other compensation) or the cancellation or forfeiture of options, restricted stock or securities pursuant to Company’s plans;</w:t>
      </w:r>
    </w:p>
    <w:p>
      <w:pPr>
        <w:ind w:left="660" w:right="20" w:hanging="328"/>
        <w:spacing w:after="0" w:line="228" w:lineRule="auto"/>
        <w:tabs>
          <w:tab w:leader="none" w:pos="669" w:val="left"/>
        </w:tabs>
        <w:numPr>
          <w:ilvl w:val="0"/>
          <w:numId w:val="68"/>
        </w:numPr>
        <w:rPr>
          <w:rFonts w:ascii="Arial" w:cs="Arial" w:eastAsia="Arial" w:hAnsi="Arial"/>
          <w:sz w:val="22"/>
          <w:szCs w:val="22"/>
          <w:color w:val="auto"/>
        </w:rPr>
      </w:pPr>
      <w:r>
        <w:rPr>
          <w:rFonts w:ascii="Times New Roman" w:cs="Times New Roman" w:eastAsia="Times New Roman" w:hAnsi="Times New Roman"/>
          <w:sz w:val="20"/>
          <w:szCs w:val="20"/>
          <w:color w:val="auto"/>
        </w:rPr>
        <w:t>purchasing securities under a Company employee stock purchase plan, if such a plan is in effect, but not making or changing any election to participate in a Company stock purchase plan (see further discussion which follows);</w:t>
      </w:r>
    </w:p>
    <w:p>
      <w:pPr>
        <w:ind w:left="660" w:hanging="328"/>
        <w:spacing w:after="0" w:line="224" w:lineRule="auto"/>
        <w:tabs>
          <w:tab w:leader="none" w:pos="660" w:val="left"/>
        </w:tabs>
        <w:numPr>
          <w:ilvl w:val="0"/>
          <w:numId w:val="68"/>
        </w:numPr>
        <w:rPr>
          <w:rFonts w:ascii="Arial" w:cs="Arial" w:eastAsia="Arial" w:hAnsi="Arial"/>
          <w:sz w:val="22"/>
          <w:szCs w:val="22"/>
          <w:color w:val="auto"/>
        </w:rPr>
      </w:pPr>
      <w:r>
        <w:rPr>
          <w:rFonts w:ascii="Times New Roman" w:cs="Times New Roman" w:eastAsia="Times New Roman" w:hAnsi="Times New Roman"/>
          <w:sz w:val="20"/>
          <w:szCs w:val="20"/>
          <w:color w:val="auto"/>
        </w:rPr>
        <w:t>earning or vesting of stock options or shares of restricted stock and any related stock withholding;</w:t>
      </w:r>
    </w:p>
    <w:p>
      <w:pPr>
        <w:spacing w:after="0" w:line="6" w:lineRule="exact"/>
        <w:rPr>
          <w:rFonts w:ascii="Arial" w:cs="Arial" w:eastAsia="Arial" w:hAnsi="Arial"/>
          <w:sz w:val="22"/>
          <w:szCs w:val="22"/>
          <w:color w:val="auto"/>
        </w:rPr>
      </w:pPr>
    </w:p>
    <w:p>
      <w:pPr>
        <w:jc w:val="both"/>
        <w:ind w:left="660" w:hanging="328"/>
        <w:spacing w:after="0" w:line="246" w:lineRule="auto"/>
        <w:tabs>
          <w:tab w:leader="none" w:pos="656" w:val="left"/>
        </w:tabs>
        <w:numPr>
          <w:ilvl w:val="0"/>
          <w:numId w:val="68"/>
        </w:numPr>
        <w:rPr>
          <w:rFonts w:ascii="Arial" w:cs="Arial" w:eastAsia="Arial" w:hAnsi="Arial"/>
          <w:sz w:val="21"/>
          <w:szCs w:val="21"/>
          <w:color w:val="auto"/>
        </w:rPr>
      </w:pPr>
      <w:r>
        <w:rPr>
          <w:rFonts w:ascii="Times New Roman" w:cs="Times New Roman" w:eastAsia="Times New Roman" w:hAnsi="Times New Roman"/>
          <w:sz w:val="19"/>
          <w:szCs w:val="19"/>
          <w:color w:val="auto"/>
        </w:rPr>
        <w:t xml:space="preserve">exercise of stock options issued under Company’s employee benefit plans in a cash exercise, a stock-for-stock exercise or a net stock exercise, payment of the exercise price in shares of already-owned stock and any related stock withholding transactions, but </w:t>
      </w:r>
      <w:r>
        <w:rPr>
          <w:rFonts w:ascii="Times New Roman" w:cs="Times New Roman" w:eastAsia="Times New Roman" w:hAnsi="Times New Roman"/>
          <w:sz w:val="20"/>
          <w:szCs w:val="20"/>
          <w:b w:val="1"/>
          <w:bCs w:val="1"/>
          <w:u w:val="single" w:color="auto"/>
          <w:color w:val="auto"/>
        </w:rPr>
        <w:t>not</w:t>
      </w:r>
      <w:r>
        <w:rPr>
          <w:rFonts w:ascii="Times New Roman" w:cs="Times New Roman" w:eastAsia="Times New Roman" w:hAnsi="Times New Roman"/>
          <w:sz w:val="19"/>
          <w:szCs w:val="19"/>
          <w:color w:val="auto"/>
        </w:rPr>
        <w:t xml:space="preserve"> (1) the sale of any stock acquired in the option exercise, (2) a “cashless exercise” in which shares of stock are sold in the market or (3) the use of proceeds from the sale of any such shares to exercise additional options (see further discussion which follows);</w:t>
      </w:r>
    </w:p>
    <w:p>
      <w:pPr>
        <w:ind w:left="660" w:hanging="328"/>
        <w:spacing w:after="0" w:line="228" w:lineRule="auto"/>
        <w:tabs>
          <w:tab w:leader="none" w:pos="656" w:val="left"/>
        </w:tabs>
        <w:numPr>
          <w:ilvl w:val="0"/>
          <w:numId w:val="68"/>
        </w:numPr>
        <w:rPr>
          <w:rFonts w:ascii="Arial" w:cs="Arial" w:eastAsia="Arial" w:hAnsi="Arial"/>
          <w:sz w:val="22"/>
          <w:szCs w:val="22"/>
          <w:color w:val="auto"/>
        </w:rPr>
      </w:pPr>
      <w:r>
        <w:rPr>
          <w:rFonts w:ascii="Times New Roman" w:cs="Times New Roman" w:eastAsia="Times New Roman" w:hAnsi="Times New Roman"/>
          <w:sz w:val="20"/>
          <w:szCs w:val="20"/>
          <w:color w:val="auto"/>
        </w:rPr>
        <w:t>transferring shares of stock to an entity that does not involve a change in the beneficial ownership of the shares of stock, for example, to an inter vivos trust of which you are the sole beneficiary during your lifetime (see further discussion which follows);</w:t>
      </w:r>
    </w:p>
    <w:p>
      <w:pPr>
        <w:jc w:val="both"/>
        <w:ind w:left="660" w:hanging="328"/>
        <w:spacing w:after="0" w:line="231" w:lineRule="auto"/>
        <w:tabs>
          <w:tab w:leader="none" w:pos="669" w:val="left"/>
        </w:tabs>
        <w:numPr>
          <w:ilvl w:val="0"/>
          <w:numId w:val="68"/>
        </w:numPr>
        <w:rPr>
          <w:rFonts w:ascii="Arial" w:cs="Arial" w:eastAsia="Arial" w:hAnsi="Arial"/>
          <w:sz w:val="22"/>
          <w:szCs w:val="22"/>
          <w:color w:val="auto"/>
        </w:rPr>
      </w:pPr>
      <w:r>
        <w:rPr>
          <w:rFonts w:ascii="Times New Roman" w:cs="Times New Roman" w:eastAsia="Times New Roman" w:hAnsi="Times New Roman"/>
          <w:sz w:val="20"/>
          <w:szCs w:val="20"/>
          <w:color w:val="auto"/>
        </w:rPr>
        <w:t xml:space="preserve">making payroll contributions to any 401(k) plan, deferred compensation plan or any similar plan, but </w:t>
      </w:r>
      <w:r>
        <w:rPr>
          <w:rFonts w:ascii="Times New Roman" w:cs="Times New Roman" w:eastAsia="Times New Roman" w:hAnsi="Times New Roman"/>
          <w:sz w:val="21"/>
          <w:szCs w:val="21"/>
          <w:b w:val="1"/>
          <w:bCs w:val="1"/>
          <w:u w:val="single" w:color="auto"/>
          <w:color w:val="auto"/>
        </w:rPr>
        <w:t>not</w:t>
      </w:r>
      <w:r>
        <w:rPr>
          <w:rFonts w:ascii="Times New Roman" w:cs="Times New Roman" w:eastAsia="Times New Roman" w:hAnsi="Times New Roman"/>
          <w:sz w:val="20"/>
          <w:szCs w:val="20"/>
          <w:color w:val="auto"/>
        </w:rPr>
        <w:t xml:space="preserve"> (1) intraplan transfers involving any Company securities or (2) a change in “investment direction” under such plan to increase or decrease your percentage investment contribution allocated to Company securities (see further discussion which follows);</w:t>
      </w:r>
    </w:p>
    <w:p>
      <w:pPr>
        <w:spacing w:after="0" w:line="2" w:lineRule="exact"/>
        <w:rPr>
          <w:rFonts w:ascii="Arial" w:cs="Arial" w:eastAsia="Arial" w:hAnsi="Arial"/>
          <w:sz w:val="22"/>
          <w:szCs w:val="22"/>
          <w:color w:val="auto"/>
        </w:rPr>
      </w:pPr>
    </w:p>
    <w:p>
      <w:pPr>
        <w:ind w:left="660" w:right="20" w:hanging="328"/>
        <w:spacing w:after="0" w:line="235" w:lineRule="auto"/>
        <w:tabs>
          <w:tab w:leader="none" w:pos="669" w:val="left"/>
        </w:tabs>
        <w:numPr>
          <w:ilvl w:val="0"/>
          <w:numId w:val="68"/>
        </w:numPr>
        <w:rPr>
          <w:rFonts w:ascii="Arial" w:cs="Arial" w:eastAsia="Arial" w:hAnsi="Arial"/>
          <w:sz w:val="22"/>
          <w:szCs w:val="22"/>
          <w:color w:val="auto"/>
        </w:rPr>
      </w:pPr>
      <w:r>
        <w:rPr>
          <w:rFonts w:ascii="Times New Roman" w:cs="Times New Roman" w:eastAsia="Times New Roman" w:hAnsi="Times New Roman"/>
          <w:sz w:val="20"/>
          <w:szCs w:val="20"/>
          <w:color w:val="auto"/>
        </w:rPr>
        <w:t>execution of a transaction pursuant to a contract, instruction, or plan described in Securities Exchange Act Rule 10b5-1 (called a “</w:t>
      </w:r>
      <w:r>
        <w:rPr>
          <w:rFonts w:ascii="Times New Roman" w:cs="Times New Roman" w:eastAsia="Times New Roman" w:hAnsi="Times New Roman"/>
          <w:sz w:val="21"/>
          <w:szCs w:val="21"/>
          <w:u w:val="single" w:color="auto"/>
          <w:color w:val="auto"/>
        </w:rPr>
        <w:t>Trading Plan</w:t>
      </w:r>
      <w:r>
        <w:rPr>
          <w:rFonts w:ascii="Times New Roman" w:cs="Times New Roman" w:eastAsia="Times New Roman" w:hAnsi="Times New Roman"/>
          <w:sz w:val="20"/>
          <w:szCs w:val="20"/>
          <w:color w:val="auto"/>
        </w:rPr>
        <w:t>”), as discussed below (see further discussion which follows); or</w:t>
      </w:r>
    </w:p>
    <w:p>
      <w:pPr>
        <w:spacing w:after="0" w:line="1" w:lineRule="exact"/>
        <w:rPr>
          <w:rFonts w:ascii="Arial" w:cs="Arial" w:eastAsia="Arial" w:hAnsi="Arial"/>
          <w:sz w:val="22"/>
          <w:szCs w:val="22"/>
          <w:color w:val="auto"/>
        </w:rPr>
      </w:pPr>
    </w:p>
    <w:p>
      <w:pPr>
        <w:ind w:left="660" w:right="20" w:hanging="328"/>
        <w:spacing w:after="0" w:line="231" w:lineRule="auto"/>
        <w:tabs>
          <w:tab w:leader="none" w:pos="669" w:val="left"/>
        </w:tabs>
        <w:numPr>
          <w:ilvl w:val="0"/>
          <w:numId w:val="68"/>
        </w:numPr>
        <w:rPr>
          <w:rFonts w:ascii="Arial" w:cs="Arial" w:eastAsia="Arial" w:hAnsi="Arial"/>
          <w:sz w:val="22"/>
          <w:szCs w:val="22"/>
          <w:color w:val="auto"/>
        </w:rPr>
      </w:pPr>
      <w:r>
        <w:rPr>
          <w:rFonts w:ascii="Times New Roman" w:cs="Times New Roman" w:eastAsia="Times New Roman" w:hAnsi="Times New Roman"/>
          <w:sz w:val="20"/>
          <w:szCs w:val="20"/>
          <w:color w:val="auto"/>
        </w:rPr>
        <w:t>any other transaction designated by the board of directors or any board committee or senior management, with reference to this Policy, as a Permitted Transaction.</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i w:val="1"/>
          <w:iCs w:val="1"/>
          <w:color w:val="auto"/>
        </w:rPr>
        <w:t>Pre-Disclosure of Undisclosed Material, Non-public Information</w:t>
      </w:r>
    </w:p>
    <w:p>
      <w:pPr>
        <w:spacing w:after="0" w:line="26"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You may not enter into any Permitted Transaction unless you have disclosed any material, non-public information of which you are aware to the Corporate Secretary. If you are a director or an executive officer of Company, the information must be disclosed to the Corporate Secretary, and the Corporate Secretary must disclose any such information to the Chief Executive Officer before any transaction listed qualifies as a Permitted Transaction. This ensures that Company is fully aware of any material information affecting any security before you enter into a transaction involving Company securities.</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2"/>
          <w:szCs w:val="22"/>
          <w:b w:val="1"/>
          <w:bCs w:val="1"/>
          <w:i w:val="1"/>
          <w:iCs w:val="1"/>
          <w:color w:val="auto"/>
        </w:rPr>
        <w:t xml:space="preserve">Employee Benefit Plan Transactions. </w:t>
      </w:r>
      <w:r>
        <w:rPr>
          <w:rFonts w:ascii="Times New Roman" w:cs="Times New Roman" w:eastAsia="Times New Roman" w:hAnsi="Times New Roman"/>
          <w:sz w:val="19"/>
          <w:szCs w:val="19"/>
          <w:color w:val="auto"/>
        </w:rPr>
        <w:t>Included in the definition of Permitted Transactions are most of the ongoing transactions you</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19"/>
          <w:szCs w:val="19"/>
          <w:color w:val="auto"/>
        </w:rPr>
        <w:t>might enter into under Company’s equity-based benefit plans. For example, although your ongoing participation in a plan may involve the regular purchase of Company’s common stock, either directly pursuant to an investment election, those purchases are Permitted Transactions.</w:t>
      </w:r>
    </w:p>
    <w:p>
      <w:pPr>
        <w:spacing w:after="0" w:line="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1"/>
          <w:szCs w:val="21"/>
          <w:b w:val="1"/>
          <w:bCs w:val="1"/>
          <w:i w:val="1"/>
          <w:iCs w:val="1"/>
          <w:color w:val="auto"/>
        </w:rPr>
        <w:t xml:space="preserve">Note, however, that the movement of balances in those plans into or out of Company securities or changes in your investment direction under those plans are not Permitted Transactions. </w:t>
      </w:r>
      <w:r>
        <w:rPr>
          <w:rFonts w:ascii="Times New Roman" w:cs="Times New Roman" w:eastAsia="Times New Roman" w:hAnsi="Times New Roman"/>
          <w:sz w:val="18"/>
          <w:szCs w:val="18"/>
          <w:color w:val="auto"/>
        </w:rPr>
        <w:t>This means that you may not make such transfers or elections while you</w:t>
      </w:r>
    </w:p>
    <w:p>
      <w:pPr>
        <w:spacing w:after="0" w:line="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are in possession of material, non-public information and that such transfers or elections must be made in compliance with any other restrictions under this Policy that apply to you (for instance, such transfers or</w:t>
      </w:r>
    </w:p>
    <w:p>
      <w:pPr>
        <w:sectPr>
          <w:pgSz w:w="11900" w:h="16838" w:orient="portrait"/>
          <w:cols w:equalWidth="0" w:num="1">
            <w:col w:w="11240"/>
          </w:cols>
          <w:pgMar w:left="320" w:top="1425"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20"/>
          <w:szCs w:val="20"/>
          <w:color w:val="auto"/>
        </w:rPr>
        <w:t>elections could only be made during an open trading window and with pre-clearance if you are in Group Two or Three).</w:t>
      </w:r>
    </w:p>
    <w:p>
      <w:pPr>
        <w:spacing w:after="0" w:line="22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 xml:space="preserve">Transactions in employee stock options are also considered Permitted Transactions if there is no related sale on the market or to a person other than Company. </w:t>
      </w:r>
      <w:r>
        <w:rPr>
          <w:rFonts w:ascii="Times New Roman" w:cs="Times New Roman" w:eastAsia="Times New Roman" w:hAnsi="Times New Roman"/>
          <w:sz w:val="21"/>
          <w:szCs w:val="21"/>
          <w:b w:val="1"/>
          <w:bCs w:val="1"/>
          <w:i w:val="1"/>
          <w:iCs w:val="1"/>
          <w:color w:val="auto"/>
        </w:rPr>
        <w:t>Note, however, that a sale of stock following or in connection with an option exercise is not a transaction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b w:val="1"/>
          <w:bCs w:val="1"/>
          <w:i w:val="1"/>
          <w:iCs w:val="1"/>
          <w:color w:val="auto"/>
        </w:rPr>
        <w:t xml:space="preserve">with Company and is, therefore, not a Permitted Transaction. </w:t>
      </w:r>
      <w:r>
        <w:rPr>
          <w:rFonts w:ascii="Times New Roman" w:cs="Times New Roman" w:eastAsia="Times New Roman" w:hAnsi="Times New Roman"/>
          <w:sz w:val="19"/>
          <w:szCs w:val="19"/>
          <w:color w:val="auto"/>
        </w:rPr>
        <w:t>Thus, you may engage in a cash exercise of an option as long as you</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19"/>
          <w:szCs w:val="19"/>
          <w:color w:val="auto"/>
        </w:rPr>
        <w:t>retain the stock you buy in the exercise. You can also engage in stock-for-stock exercises or elect stock withholding without violating the Policy. However, it would not be a Permitted Transaction for you to exercise a stock option, sell the resulting stock and then use the proceeds from that sale to pay for the exercise of additional stock options in a same day sale. Although exercises of Company stock options are Permitted Transactions, members of Groups Two and Three must pre-clear all stock option exercises.</w:t>
      </w:r>
    </w:p>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b w:val="1"/>
          <w:bCs w:val="1"/>
          <w:i w:val="1"/>
          <w:iCs w:val="1"/>
          <w:color w:val="auto"/>
        </w:rPr>
        <w:t xml:space="preserve">Transactions in Which There is No Change in Beneficial Ownership. </w:t>
      </w:r>
      <w:r>
        <w:rPr>
          <w:rFonts w:ascii="Times New Roman" w:cs="Times New Roman" w:eastAsia="Times New Roman" w:hAnsi="Times New Roman"/>
          <w:sz w:val="19"/>
          <w:szCs w:val="19"/>
          <w:color w:val="auto"/>
        </w:rPr>
        <w:t>Certain transactions involve merely a change in the form in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19"/>
          <w:szCs w:val="19"/>
          <w:color w:val="auto"/>
        </w:rPr>
        <w:t>which you own securities. For example, you may transfer shares of stock to a trust if you are the only beneficiary of the trust during your lifetime. Likewise, changing the form of ownership to include a member of your household as a joint owner or as a sole owner is a Permitted Transaction since members of your household are considered the same as you for purposes of this Policy (and the shares of stock will remain subject to the terms of this Policy).</w:t>
      </w:r>
    </w:p>
    <w:p>
      <w:pPr>
        <w:spacing w:after="0" w:line="20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b w:val="1"/>
          <w:bCs w:val="1"/>
          <w:i w:val="1"/>
          <w:iCs w:val="1"/>
          <w:color w:val="auto"/>
        </w:rPr>
        <w:t>10b5-1 Trading Plans</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SEC has enacted a rule (Rule 10b5-1 under the Securities Exchange Act) that provides an affirmative defense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against violations of the insider trading laws if you enter into a contract, provide instructions, or adopt a written plan for a transaction in securities when you are not in possession of material, non-public information, even if it turns out that you had such information when the transaction is actually completed. The initiation of, and any modification to (including termination), any such Trading Plan will be deemed to be a transaction in the Company’s securities, and such initiation or modification (including termination) is subject to all limitations and prohibitions relating to transactions in the Company’s securities. Each such Trading Plan, and any modification (including termination) thereof, must be submitted to and pre-approved by the General Counsel, who may impose such conditions on the implementation and operation of the Trading Plan as the General Counsel deems necessary or advisable. However, compliance of the Trading Plan to the terms of Rule 10b5-1 and the execution of transactions pursuant to the Trading Plan are the sole responsibility of the person initiating the Trading Plan, not the Company or the General Counsel.</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Trading Plans do not exempt individuals from complying with Section 16 short-swing profit rules or liability.</w:t>
      </w:r>
    </w:p>
    <w:p>
      <w:pPr>
        <w:spacing w:after="0" w:line="23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Rule 10b5-1 presents an opportunity for insiders to establish arrangements to sell (or purchase) Company stock without the restrictions of trading windows and black-out periods, even when there is undisclosed material information. A Trading Plan may also help reduce negative publicity that may result when key executives sell the Company’s stock. Rule 10b5-1 only provides an “affirmative defense” in the event there is an insider trading lawsuit. It does not prevent someone from bringing a lawsuit.</w:t>
      </w:r>
    </w:p>
    <w:p>
      <w:pPr>
        <w:spacing w:after="0" w:line="193"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A director, officer or employee may enter into a Trading Plan only when he or she is not in possession of material, non-public information, and only during a trading window period outside of the trading black-out period. Although transactions effected under a Trading Plan will not require further pre-clearance at the time of the trade, any transaction (including the quantity and price) made pursuant to a Trading Plan of a Section 16 reporting person must be reported to the Company promptly on the day of each trade to permit the Company’s filing coordinator to assist in the preparation and filing of a required</w:t>
      </w:r>
    </w:p>
    <w:p>
      <w:pPr>
        <w:sectPr>
          <w:pgSz w:w="11900" w:h="16838" w:orient="portrait"/>
          <w:cols w:equalWidth="0" w:num="1">
            <w:col w:w="11240"/>
          </w:cols>
          <w:pgMar w:left="320" w:top="1413" w:right="339" w:bottom="1440" w:gutter="0" w:footer="0" w:header="0"/>
        </w:sectPr>
      </w:pPr>
    </w:p>
    <w:bookmarkStart w:id="113" w:name="page114"/>
    <w:bookmarkEnd w:id="113"/>
    <w:p>
      <w:pPr>
        <w:jc w:val="both"/>
        <w:spacing w:after="0" w:line="247" w:lineRule="auto"/>
        <w:rPr>
          <w:sz w:val="20"/>
          <w:szCs w:val="20"/>
          <w:color w:val="auto"/>
        </w:rPr>
      </w:pPr>
      <w:r>
        <w:rPr>
          <w:rFonts w:ascii="Times New Roman" w:cs="Times New Roman" w:eastAsia="Times New Roman" w:hAnsi="Times New Roman"/>
          <w:sz w:val="20"/>
          <w:szCs w:val="20"/>
          <w:color w:val="auto"/>
        </w:rPr>
        <w:t>Form 4. Such reporting may be oral or in writing (including by e-mail) and should include the identity of the reporting person, the type of transaction, the date of the transaction, the number of shares involved and the purchase or sale price. However, the ultimate responsibility, and liability, for timely filing remains with the Section 16 reporting person.</w:t>
      </w:r>
    </w:p>
    <w:p>
      <w:pPr>
        <w:spacing w:after="0" w:line="208"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The Company reserves the right from time to time to suspend, discontinue or otherwise prohibit any transaction in the Company’s securities, even pursuant to a previously approved Trading Plan, if the General Counsel, in its discretion, determines that such suspension,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discontinuation or other prohibition is in the best interests of the Company. Any Trading Plan submitted for approval hereunder should</w:t>
      </w:r>
    </w:p>
    <w:p>
      <w:pPr>
        <w:spacing w:after="0" w:line="1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explicitly acknowledge the Company’s right to prohibit transactions in the Company’s securities. Failure to discontinue purchases and sales as directed shall constitute a violation of the terms of this Policy and result in a loss of the exemption set forth herein.</w:t>
      </w:r>
    </w:p>
    <w:p>
      <w:pPr>
        <w:spacing w:after="0" w:line="215"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Officers, directors and employees may adopt Trading Plans with brokers that outline a pre-set plan for trading of the Company’s stock, including the exercise of options. Trades pursuant to a Trading Plan generally may occur at any time. Trading Plans must be reviewed, approved and counter-signed by the Company, and must comply in all respects with the requirements of Rule 10b5-1, which include the following:</w:t>
      </w:r>
    </w:p>
    <w:p>
      <w:pPr>
        <w:spacing w:after="0" w:line="207" w:lineRule="exact"/>
        <w:rPr>
          <w:sz w:val="20"/>
          <w:szCs w:val="20"/>
          <w:color w:val="auto"/>
        </w:rPr>
      </w:pPr>
    </w:p>
    <w:p>
      <w:pPr>
        <w:jc w:val="both"/>
        <w:ind w:left="660" w:hanging="328"/>
        <w:spacing w:after="0" w:line="253" w:lineRule="auto"/>
        <w:tabs>
          <w:tab w:leader="none" w:pos="655" w:val="left"/>
        </w:tabs>
        <w:numPr>
          <w:ilvl w:val="0"/>
          <w:numId w:val="69"/>
        </w:numPr>
        <w:rPr>
          <w:rFonts w:ascii="Arial" w:cs="Arial" w:eastAsia="Arial" w:hAnsi="Arial"/>
          <w:sz w:val="21"/>
          <w:szCs w:val="21"/>
          <w:color w:val="auto"/>
        </w:rPr>
      </w:pPr>
      <w:r>
        <w:rPr>
          <w:rFonts w:ascii="Times New Roman" w:cs="Times New Roman" w:eastAsia="Times New Roman" w:hAnsi="Times New Roman"/>
          <w:sz w:val="19"/>
          <w:szCs w:val="19"/>
          <w:color w:val="auto"/>
        </w:rPr>
        <w:t>a cooling-off period for insiders of the later of (1) 90 days following adoption of the Trading Plan; or (2) two business days following the disclosure in certain periodic reports of the Company’s financial results for the fiscal quarter in which the plan was adopted (but not to exceed 120 days following adoption of the Trading Plan) before any trading can commence under the Trading Plan;</w:t>
      </w:r>
    </w:p>
    <w:p>
      <w:pPr>
        <w:spacing w:after="0" w:line="216" w:lineRule="exact"/>
        <w:rPr>
          <w:rFonts w:ascii="Arial" w:cs="Arial" w:eastAsia="Arial" w:hAnsi="Arial"/>
          <w:sz w:val="21"/>
          <w:szCs w:val="21"/>
          <w:color w:val="auto"/>
        </w:rPr>
      </w:pPr>
    </w:p>
    <w:p>
      <w:pPr>
        <w:ind w:left="660" w:hanging="328"/>
        <w:spacing w:after="0"/>
        <w:tabs>
          <w:tab w:leader="none" w:pos="660" w:val="left"/>
        </w:tabs>
        <w:numPr>
          <w:ilvl w:val="0"/>
          <w:numId w:val="69"/>
        </w:numPr>
        <w:rPr>
          <w:rFonts w:ascii="Arial" w:cs="Arial" w:eastAsia="Arial" w:hAnsi="Arial"/>
          <w:sz w:val="22"/>
          <w:szCs w:val="22"/>
          <w:color w:val="auto"/>
        </w:rPr>
      </w:pPr>
      <w:r>
        <w:rPr>
          <w:rFonts w:ascii="Times New Roman" w:cs="Times New Roman" w:eastAsia="Times New Roman" w:hAnsi="Times New Roman"/>
          <w:sz w:val="20"/>
          <w:szCs w:val="20"/>
          <w:color w:val="auto"/>
        </w:rPr>
        <w:t>a cooling-off period of 30 days for other persons;</w:t>
      </w:r>
    </w:p>
    <w:p>
      <w:pPr>
        <w:spacing w:after="0" w:line="233" w:lineRule="exact"/>
        <w:rPr>
          <w:rFonts w:ascii="Arial" w:cs="Arial" w:eastAsia="Arial" w:hAnsi="Arial"/>
          <w:sz w:val="22"/>
          <w:szCs w:val="22"/>
          <w:color w:val="auto"/>
        </w:rPr>
      </w:pPr>
    </w:p>
    <w:p>
      <w:pPr>
        <w:jc w:val="both"/>
        <w:ind w:left="660" w:hanging="328"/>
        <w:spacing w:after="0" w:line="236" w:lineRule="auto"/>
        <w:tabs>
          <w:tab w:leader="none" w:pos="655" w:val="left"/>
        </w:tabs>
        <w:numPr>
          <w:ilvl w:val="0"/>
          <w:numId w:val="69"/>
        </w:numPr>
        <w:rPr>
          <w:rFonts w:ascii="Arial" w:cs="Arial" w:eastAsia="Arial" w:hAnsi="Arial"/>
          <w:sz w:val="22"/>
          <w:szCs w:val="22"/>
          <w:color w:val="auto"/>
        </w:rPr>
      </w:pPr>
      <w:r>
        <w:rPr>
          <w:rFonts w:ascii="Times New Roman" w:cs="Times New Roman" w:eastAsia="Times New Roman" w:hAnsi="Times New Roman"/>
          <w:sz w:val="20"/>
          <w:szCs w:val="20"/>
          <w:color w:val="auto"/>
        </w:rPr>
        <w:t>a condition for insiders to include a representation in their Trading Plan certifying, at the time of the adoption, that: (1) they are not aware of material nonpublic information about the Company or its securities; and (2) they are adopting the Trading Plan in good faith and not as part of a plan or scheme to evade the prohibitions of Rule 10b-5;</w:t>
      </w:r>
    </w:p>
    <w:p>
      <w:pPr>
        <w:spacing w:after="0" w:line="216" w:lineRule="exact"/>
        <w:rPr>
          <w:rFonts w:ascii="Arial" w:cs="Arial" w:eastAsia="Arial" w:hAnsi="Arial"/>
          <w:sz w:val="22"/>
          <w:szCs w:val="22"/>
          <w:color w:val="auto"/>
        </w:rPr>
      </w:pPr>
    </w:p>
    <w:p>
      <w:pPr>
        <w:ind w:left="660" w:hanging="328"/>
        <w:spacing w:after="0"/>
        <w:tabs>
          <w:tab w:leader="none" w:pos="660" w:val="left"/>
        </w:tabs>
        <w:numPr>
          <w:ilvl w:val="0"/>
          <w:numId w:val="69"/>
        </w:numPr>
        <w:rPr>
          <w:rFonts w:ascii="Arial" w:cs="Arial" w:eastAsia="Arial" w:hAnsi="Arial"/>
          <w:sz w:val="22"/>
          <w:szCs w:val="22"/>
          <w:color w:val="auto"/>
        </w:rPr>
      </w:pPr>
      <w:r>
        <w:rPr>
          <w:rFonts w:ascii="Times New Roman" w:cs="Times New Roman" w:eastAsia="Times New Roman" w:hAnsi="Times New Roman"/>
          <w:sz w:val="20"/>
          <w:szCs w:val="20"/>
          <w:color w:val="auto"/>
        </w:rPr>
        <w:t>a limitation on using multiple overlapping Trading Plans (except as otherwise permitted by Rule 10b5-1);</w:t>
      </w:r>
    </w:p>
    <w:p>
      <w:pPr>
        <w:spacing w:after="0" w:line="233" w:lineRule="exact"/>
        <w:rPr>
          <w:rFonts w:ascii="Arial" w:cs="Arial" w:eastAsia="Arial" w:hAnsi="Arial"/>
          <w:sz w:val="22"/>
          <w:szCs w:val="22"/>
          <w:color w:val="auto"/>
        </w:rPr>
      </w:pPr>
    </w:p>
    <w:p>
      <w:pPr>
        <w:ind w:left="660" w:hanging="328"/>
        <w:spacing w:after="0" w:line="242" w:lineRule="auto"/>
        <w:tabs>
          <w:tab w:leader="none" w:pos="655" w:val="left"/>
        </w:tabs>
        <w:numPr>
          <w:ilvl w:val="0"/>
          <w:numId w:val="69"/>
        </w:numPr>
        <w:rPr>
          <w:rFonts w:ascii="Arial" w:cs="Arial" w:eastAsia="Arial" w:hAnsi="Arial"/>
          <w:sz w:val="22"/>
          <w:szCs w:val="22"/>
          <w:color w:val="auto"/>
        </w:rPr>
      </w:pPr>
      <w:r>
        <w:rPr>
          <w:rFonts w:ascii="Times New Roman" w:cs="Times New Roman" w:eastAsia="Times New Roman" w:hAnsi="Times New Roman"/>
          <w:sz w:val="20"/>
          <w:szCs w:val="20"/>
          <w:color w:val="auto"/>
        </w:rPr>
        <w:t>a limitation on the ability of anyone other than issuers to rely on the affirmative defense for a single trade plan to one such Trading Plan during any consecutive 12-month period; and</w:t>
      </w:r>
    </w:p>
    <w:p>
      <w:pPr>
        <w:ind w:left="660" w:right="2420" w:hanging="328"/>
        <w:spacing w:after="0" w:line="455" w:lineRule="auto"/>
        <w:tabs>
          <w:tab w:leader="none" w:pos="655" w:val="left"/>
        </w:tabs>
        <w:numPr>
          <w:ilvl w:val="0"/>
          <w:numId w:val="69"/>
        </w:numPr>
        <w:rPr>
          <w:rFonts w:ascii="Arial" w:cs="Arial" w:eastAsia="Arial" w:hAnsi="Arial"/>
          <w:sz w:val="22"/>
          <w:szCs w:val="22"/>
          <w:color w:val="auto"/>
        </w:rPr>
      </w:pPr>
      <w:r>
        <w:rPr>
          <w:rFonts w:ascii="Times New Roman" w:cs="Times New Roman" w:eastAsia="Times New Roman" w:hAnsi="Times New Roman"/>
          <w:sz w:val="20"/>
          <w:szCs w:val="20"/>
          <w:color w:val="auto"/>
        </w:rPr>
        <w:t>a condition that all persons entering into a Trading Plan must act in good faith with respect to that plan. Please review the following description of how a Trading Plan works.</w:t>
      </w:r>
    </w:p>
    <w:p>
      <w:pPr>
        <w:ind w:left="660"/>
        <w:spacing w:after="0"/>
        <w:rPr>
          <w:rFonts w:ascii="Arial" w:cs="Arial" w:eastAsia="Arial" w:hAnsi="Arial"/>
          <w:sz w:val="22"/>
          <w:szCs w:val="22"/>
          <w:color w:val="auto"/>
        </w:rPr>
      </w:pPr>
      <w:r>
        <w:rPr>
          <w:rFonts w:ascii="Times New Roman" w:cs="Times New Roman" w:eastAsia="Times New Roman" w:hAnsi="Times New Roman"/>
          <w:sz w:val="20"/>
          <w:szCs w:val="20"/>
          <w:color w:val="auto"/>
        </w:rPr>
        <w:t>Pursuant to Rule 10b5-1, an individual’s purchase or sale of securities will not be “on the basis of” material, non-public information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if:</w:t>
      </w:r>
    </w:p>
    <w:p>
      <w:pPr>
        <w:spacing w:after="0" w:line="234" w:lineRule="exact"/>
        <w:rPr>
          <w:sz w:val="20"/>
          <w:szCs w:val="20"/>
          <w:color w:val="auto"/>
        </w:rPr>
      </w:pPr>
    </w:p>
    <w:p>
      <w:pPr>
        <w:ind w:left="660" w:hanging="328"/>
        <w:spacing w:after="0" w:line="270" w:lineRule="auto"/>
        <w:tabs>
          <w:tab w:leader="none" w:pos="655" w:val="left"/>
        </w:tabs>
        <w:numPr>
          <w:ilvl w:val="0"/>
          <w:numId w:val="70"/>
        </w:numPr>
        <w:rPr>
          <w:rFonts w:ascii="Arial" w:cs="Arial" w:eastAsia="Arial" w:hAnsi="Arial"/>
          <w:sz w:val="21"/>
          <w:szCs w:val="21"/>
          <w:color w:val="auto"/>
        </w:rPr>
      </w:pPr>
      <w:r>
        <w:rPr>
          <w:rFonts w:ascii="Times New Roman" w:cs="Times New Roman" w:eastAsia="Times New Roman" w:hAnsi="Times New Roman"/>
          <w:sz w:val="19"/>
          <w:szCs w:val="19"/>
          <w:color w:val="auto"/>
        </w:rPr>
        <w:t>First, before becoming aware of the information, the individual enters into a binding contract to purchase or sell the securities, provides instructions to another person to sell the securities or adopts a written plan for trading the securities (i.e., the Trading Plan).</w:t>
      </w:r>
    </w:p>
    <w:p>
      <w:pPr>
        <w:sectPr>
          <w:pgSz w:w="11900" w:h="16838" w:orient="portrait"/>
          <w:cols w:equalWidth="0" w:num="1">
            <w:col w:w="11240"/>
          </w:cols>
          <w:pgMar w:left="320" w:top="1426" w:right="339" w:bottom="1440" w:gutter="0" w:footer="0" w:header="0"/>
        </w:sectPr>
      </w:pPr>
    </w:p>
    <w:bookmarkStart w:id="114" w:name="page115"/>
    <w:bookmarkEnd w:id="114"/>
    <w:p>
      <w:pPr>
        <w:ind w:left="660" w:hanging="328"/>
        <w:spacing w:after="0"/>
        <w:tabs>
          <w:tab w:leader="none" w:pos="660" w:val="left"/>
        </w:tabs>
        <w:numPr>
          <w:ilvl w:val="0"/>
          <w:numId w:val="71"/>
        </w:numPr>
        <w:rPr>
          <w:rFonts w:ascii="Arial" w:cs="Arial" w:eastAsia="Arial" w:hAnsi="Arial"/>
          <w:sz w:val="22"/>
          <w:szCs w:val="22"/>
          <w:color w:val="auto"/>
        </w:rPr>
      </w:pPr>
      <w:r>
        <w:rPr>
          <w:rFonts w:ascii="Times New Roman" w:cs="Times New Roman" w:eastAsia="Times New Roman" w:hAnsi="Times New Roman"/>
          <w:sz w:val="20"/>
          <w:szCs w:val="20"/>
          <w:color w:val="auto"/>
        </w:rPr>
        <w:t>Second, the Trading Plan must either:</w:t>
      </w:r>
    </w:p>
    <w:p>
      <w:pPr>
        <w:spacing w:after="0" w:line="233" w:lineRule="exact"/>
        <w:rPr>
          <w:rFonts w:ascii="Arial" w:cs="Arial" w:eastAsia="Arial" w:hAnsi="Arial"/>
          <w:sz w:val="22"/>
          <w:szCs w:val="22"/>
          <w:color w:val="auto"/>
        </w:rPr>
      </w:pPr>
    </w:p>
    <w:p>
      <w:pPr>
        <w:ind w:left="660" w:right="20" w:hanging="328"/>
        <w:spacing w:after="0" w:line="245" w:lineRule="auto"/>
        <w:tabs>
          <w:tab w:leader="none" w:pos="655" w:val="left"/>
        </w:tabs>
        <w:numPr>
          <w:ilvl w:val="0"/>
          <w:numId w:val="71"/>
        </w:numPr>
        <w:rPr>
          <w:rFonts w:ascii="Arial" w:cs="Arial" w:eastAsia="Arial" w:hAnsi="Arial"/>
          <w:sz w:val="22"/>
          <w:szCs w:val="22"/>
          <w:color w:val="auto"/>
        </w:rPr>
      </w:pPr>
      <w:r>
        <w:rPr>
          <w:rFonts w:ascii="Times New Roman" w:cs="Times New Roman" w:eastAsia="Times New Roman" w:hAnsi="Times New Roman"/>
          <w:sz w:val="20"/>
          <w:szCs w:val="20"/>
          <w:color w:val="auto"/>
        </w:rPr>
        <w:t>specify the amount of securities to be purchased or sold, the price at which the securities are to be purchased or sold and the date on which the securities are to be purchased or sold;</w:t>
      </w:r>
    </w:p>
    <w:p>
      <w:pPr>
        <w:spacing w:after="0" w:line="208" w:lineRule="exact"/>
        <w:rPr>
          <w:rFonts w:ascii="Arial" w:cs="Arial" w:eastAsia="Arial" w:hAnsi="Arial"/>
          <w:sz w:val="22"/>
          <w:szCs w:val="22"/>
          <w:color w:val="auto"/>
        </w:rPr>
      </w:pPr>
    </w:p>
    <w:p>
      <w:pPr>
        <w:ind w:left="660" w:hanging="328"/>
        <w:spacing w:after="0"/>
        <w:tabs>
          <w:tab w:leader="none" w:pos="660" w:val="left"/>
        </w:tabs>
        <w:numPr>
          <w:ilvl w:val="0"/>
          <w:numId w:val="71"/>
        </w:numPr>
        <w:rPr>
          <w:rFonts w:ascii="Arial" w:cs="Arial" w:eastAsia="Arial" w:hAnsi="Arial"/>
          <w:sz w:val="22"/>
          <w:szCs w:val="22"/>
          <w:color w:val="auto"/>
        </w:rPr>
      </w:pPr>
      <w:r>
        <w:rPr>
          <w:rFonts w:ascii="Times New Roman" w:cs="Times New Roman" w:eastAsia="Times New Roman" w:hAnsi="Times New Roman"/>
          <w:sz w:val="20"/>
          <w:szCs w:val="20"/>
          <w:color w:val="auto"/>
        </w:rPr>
        <w:t>include a written formula or computer program for determining the amount, price and date of the transactions; or</w:t>
      </w:r>
    </w:p>
    <w:p>
      <w:pPr>
        <w:spacing w:after="0" w:line="233" w:lineRule="exact"/>
        <w:rPr>
          <w:rFonts w:ascii="Arial" w:cs="Arial" w:eastAsia="Arial" w:hAnsi="Arial"/>
          <w:sz w:val="22"/>
          <w:szCs w:val="22"/>
          <w:color w:val="auto"/>
        </w:rPr>
      </w:pPr>
    </w:p>
    <w:p>
      <w:pPr>
        <w:ind w:left="660" w:hanging="328"/>
        <w:spacing w:after="0" w:line="245" w:lineRule="auto"/>
        <w:tabs>
          <w:tab w:leader="none" w:pos="655" w:val="left"/>
        </w:tabs>
        <w:numPr>
          <w:ilvl w:val="0"/>
          <w:numId w:val="71"/>
        </w:numPr>
        <w:rPr>
          <w:rFonts w:ascii="Arial" w:cs="Arial" w:eastAsia="Arial" w:hAnsi="Arial"/>
          <w:sz w:val="22"/>
          <w:szCs w:val="22"/>
          <w:color w:val="auto"/>
        </w:rPr>
      </w:pPr>
      <w:r>
        <w:rPr>
          <w:rFonts w:ascii="Times New Roman" w:cs="Times New Roman" w:eastAsia="Times New Roman" w:hAnsi="Times New Roman"/>
          <w:sz w:val="20"/>
          <w:szCs w:val="20"/>
          <w:color w:val="auto"/>
        </w:rPr>
        <w:t>prohibit the individual from exercising any subsequent influence over the purchase or sale of the Company’s stock under the Trading Plan in question.</w:t>
      </w:r>
    </w:p>
    <w:p>
      <w:pPr>
        <w:spacing w:after="0" w:line="208" w:lineRule="exact"/>
        <w:rPr>
          <w:rFonts w:ascii="Arial" w:cs="Arial" w:eastAsia="Arial" w:hAnsi="Arial"/>
          <w:sz w:val="22"/>
          <w:szCs w:val="22"/>
          <w:color w:val="auto"/>
        </w:rPr>
      </w:pPr>
    </w:p>
    <w:p>
      <w:pPr>
        <w:ind w:left="660" w:hanging="328"/>
        <w:spacing w:after="0" w:line="245" w:lineRule="auto"/>
        <w:tabs>
          <w:tab w:leader="none" w:pos="655" w:val="left"/>
        </w:tabs>
        <w:numPr>
          <w:ilvl w:val="0"/>
          <w:numId w:val="71"/>
        </w:numPr>
        <w:rPr>
          <w:rFonts w:ascii="Arial" w:cs="Arial" w:eastAsia="Arial" w:hAnsi="Arial"/>
          <w:sz w:val="22"/>
          <w:szCs w:val="22"/>
          <w:color w:val="auto"/>
        </w:rPr>
      </w:pPr>
      <w:r>
        <w:rPr>
          <w:rFonts w:ascii="Times New Roman" w:cs="Times New Roman" w:eastAsia="Times New Roman" w:hAnsi="Times New Roman"/>
          <w:sz w:val="20"/>
          <w:szCs w:val="20"/>
          <w:color w:val="auto"/>
        </w:rPr>
        <w:t>Third, the purchase or sale must occur pursuant to the Trading Plan and the individual must not enter into a corresponding hedging transaction or alter or deviate from the Trading Plan.</w:t>
      </w:r>
    </w:p>
    <w:p>
      <w:pPr>
        <w:spacing w:after="0" w:line="222" w:lineRule="exact"/>
        <w:rPr>
          <w:rFonts w:ascii="Arial" w:cs="Arial" w:eastAsia="Arial" w:hAnsi="Arial"/>
          <w:sz w:val="22"/>
          <w:szCs w:val="22"/>
          <w:color w:val="auto"/>
        </w:rPr>
      </w:pPr>
    </w:p>
    <w:p>
      <w:pPr>
        <w:ind w:left="660" w:hanging="328"/>
        <w:spacing w:after="0"/>
        <w:tabs>
          <w:tab w:leader="none" w:pos="660" w:val="left"/>
        </w:tabs>
        <w:numPr>
          <w:ilvl w:val="0"/>
          <w:numId w:val="71"/>
        </w:numPr>
        <w:rPr>
          <w:rFonts w:ascii="Arial" w:cs="Arial" w:eastAsia="Arial" w:hAnsi="Arial"/>
          <w:sz w:val="22"/>
          <w:szCs w:val="22"/>
          <w:color w:val="auto"/>
        </w:rPr>
      </w:pPr>
      <w:r>
        <w:rPr>
          <w:rFonts w:ascii="Times New Roman" w:cs="Times New Roman" w:eastAsia="Times New Roman" w:hAnsi="Times New Roman"/>
          <w:sz w:val="20"/>
          <w:szCs w:val="20"/>
          <w:color w:val="auto"/>
        </w:rPr>
        <w:t>Fourth, the Trading Plan must satisfy the requirements set forth above.</w:t>
      </w:r>
    </w:p>
    <w:p>
      <w:pPr>
        <w:spacing w:after="0" w:line="233"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Revocation of Trading Plans should occur only in unusual circumstances. Effectiveness of any revocation or amendment of a Trading Plan will be subject to the prior review and approval of the General Counsel</w:t>
      </w:r>
      <w:r>
        <w:rPr>
          <w:rFonts w:ascii="Times New Roman" w:cs="Times New Roman" w:eastAsia="Times New Roman" w:hAnsi="Times New Roman"/>
          <w:sz w:val="21"/>
          <w:szCs w:val="21"/>
          <w:color w:val="auto"/>
        </w:rPr>
        <w:t>. Revocation is effected upon written notice to the broker.</w:t>
      </w:r>
      <w:r>
        <w:rPr>
          <w:rFonts w:ascii="Times New Roman" w:cs="Times New Roman" w:eastAsia="Times New Roman" w:hAnsi="Times New Roman"/>
          <w:sz w:val="20"/>
          <w:szCs w:val="20"/>
          <w:color w:val="auto"/>
        </w:rPr>
        <w:t xml:space="preserve"> Once a Trading Plan has been revoked, the participant must wait until the applicable cooling-off period has expired as described above before trading outside of a Trading Plan or establishing a new Trading Plan. You should note that revocation of a Trading Plan can result in the loss of an affirmative defense for past or future transactions under a Trading Plan. You should consult with your own legal counsel before deciding to revoke a Trading Plan. In any event, you should not assume that compliance with the aforementioned cooling-off period will protect you from possible adverse legal consequences of a Trading Plan revocation.</w:t>
      </w:r>
    </w:p>
    <w:p>
      <w:pPr>
        <w:spacing w:after="0" w:line="19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9"/>
          <w:szCs w:val="19"/>
          <w:color w:val="auto"/>
        </w:rPr>
        <w:t>Amendment or modification of Trading Plans should occur only in unusual circumstances. A person acting in good faith may amend a prior Trading Plan only if: 1) any such amendment or modification is submitted to and pre-approved by the General Counsel, who may impose such conditions on the implementation and operation of the Trading Plan as the General Counsel deems necessary or advisable and 2) such amendments and modifications are made outside of a quarterly trading black-out period and at a time when the Trading Plan participant</w:t>
      </w:r>
    </w:p>
    <w:p>
      <w:pPr>
        <w:spacing w:after="0" w:line="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does not possess material, non-public information. Plan amendments must not take effect for at least 30 days after the plan amendments are made.</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 xml:space="preserve">Under certain circumstances, a Trading Plan </w:t>
      </w:r>
      <w:r>
        <w:rPr>
          <w:rFonts w:ascii="Times New Roman" w:cs="Times New Roman" w:eastAsia="Times New Roman" w:hAnsi="Times New Roman"/>
          <w:sz w:val="21"/>
          <w:szCs w:val="21"/>
          <w:i w:val="1"/>
          <w:iCs w:val="1"/>
          <w:color w:val="auto"/>
        </w:rPr>
        <w:t>must</w:t>
      </w:r>
      <w:r>
        <w:rPr>
          <w:rFonts w:ascii="Times New Roman" w:cs="Times New Roman" w:eastAsia="Times New Roman" w:hAnsi="Times New Roman"/>
          <w:sz w:val="20"/>
          <w:szCs w:val="20"/>
          <w:color w:val="auto"/>
        </w:rPr>
        <w:t xml:space="preserve"> be revoked. This may include circumstances such </w:t>
      </w:r>
      <w:r>
        <w:rPr>
          <w:rFonts w:ascii="Times New Roman" w:cs="Times New Roman" w:eastAsia="Times New Roman" w:hAnsi="Times New Roman"/>
          <w:sz w:val="21"/>
          <w:szCs w:val="21"/>
          <w:color w:val="auto"/>
        </w:rPr>
        <w:t>as the announcement of 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 xml:space="preserve">merger or the occurrence of an event that would cause the transaction either to violate the law or to have an adverse effect on the Company. The </w:t>
      </w:r>
      <w:r>
        <w:rPr>
          <w:rFonts w:ascii="Times New Roman" w:cs="Times New Roman" w:eastAsia="Times New Roman" w:hAnsi="Times New Roman"/>
          <w:sz w:val="19"/>
          <w:szCs w:val="19"/>
          <w:color w:val="auto"/>
        </w:rPr>
        <w:t>General Counsel</w:t>
      </w:r>
      <w:r>
        <w:rPr>
          <w:rFonts w:ascii="Times New Roman" w:cs="Times New Roman" w:eastAsia="Times New Roman" w:hAnsi="Times New Roman"/>
          <w:sz w:val="21"/>
          <w:szCs w:val="21"/>
          <w:color w:val="auto"/>
        </w:rPr>
        <w:t xml:space="preserve"> or administrator of the Company’s stock plans is authorized to notify the broker in such circumstances, thereby insulating the insider in the event of revocation.</w:t>
      </w:r>
    </w:p>
    <w:p>
      <w:pPr>
        <w:spacing w:after="0" w:line="207" w:lineRule="exact"/>
        <w:rPr>
          <w:sz w:val="20"/>
          <w:szCs w:val="20"/>
          <w:color w:val="auto"/>
        </w:rPr>
      </w:pPr>
    </w:p>
    <w:p>
      <w:pPr>
        <w:ind w:left="660" w:hanging="328"/>
        <w:spacing w:after="0"/>
        <w:tabs>
          <w:tab w:leader="none" w:pos="660" w:val="left"/>
        </w:tabs>
        <w:numPr>
          <w:ilvl w:val="0"/>
          <w:numId w:val="72"/>
        </w:numPr>
        <w:rPr>
          <w:rFonts w:ascii="Arial" w:cs="Arial" w:eastAsia="Arial" w:hAnsi="Arial"/>
          <w:sz w:val="22"/>
          <w:szCs w:val="22"/>
          <w:color w:val="auto"/>
        </w:rPr>
      </w:pPr>
      <w:r>
        <w:rPr>
          <w:rFonts w:ascii="Times New Roman" w:cs="Times New Roman" w:eastAsia="Times New Roman" w:hAnsi="Times New Roman"/>
          <w:sz w:val="20"/>
          <w:szCs w:val="20"/>
          <w:u w:val="single" w:color="auto"/>
          <w:color w:val="auto"/>
        </w:rPr>
        <w:t>Insider Reporting Requirements, Short-Swing Profits and Short Sales (Applicable to Officers, Directors and 10% Stockholders)</w:t>
      </w:r>
    </w:p>
    <w:p>
      <w:pPr>
        <w:spacing w:after="0" w:line="21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0"/>
          <w:szCs w:val="20"/>
          <w:b w:val="1"/>
          <w:bCs w:val="1"/>
          <w:i w:val="1"/>
          <w:iCs w:val="1"/>
          <w:color w:val="auto"/>
        </w:rPr>
        <w:t xml:space="preserve">Reporting Obligations Under Section 16(a). </w:t>
      </w:r>
      <w:r>
        <w:rPr>
          <w:rFonts w:ascii="Times New Roman" w:cs="Times New Roman" w:eastAsia="Times New Roman" w:hAnsi="Times New Roman"/>
          <w:sz w:val="20"/>
          <w:szCs w:val="20"/>
          <w:color w:val="auto"/>
        </w:rPr>
        <w:t>SEC Forms 3, 4 and 5 Section 16(a) of the Exchange Act generally requires all officers,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directors and 10% stockholders (“</w:t>
      </w:r>
      <w:r>
        <w:rPr>
          <w:rFonts w:ascii="Times New Roman" w:cs="Times New Roman" w:eastAsia="Times New Roman" w:hAnsi="Times New Roman"/>
          <w:sz w:val="21"/>
          <w:szCs w:val="21"/>
          <w:u w:val="single" w:color="auto"/>
          <w:color w:val="auto"/>
        </w:rPr>
        <w:t>insiders</w:t>
      </w:r>
      <w:r>
        <w:rPr>
          <w:rFonts w:ascii="Times New Roman" w:cs="Times New Roman" w:eastAsia="Times New Roman" w:hAnsi="Times New Roman"/>
          <w:sz w:val="20"/>
          <w:szCs w:val="20"/>
          <w:color w:val="auto"/>
        </w:rPr>
        <w:t>”), within 10 days after the insider becomes an officer, director, or 10% stockholder, to file with the SEC an “Initial Statement of Beneficial Ownership of Securities” on SEC Form 3 listing the amount of the Company’s stock, options and warrants which the insider beneficially owns. Following the initial filing on SEC Form 3, changes in beneficial ownership of the Company’s stock, options and warrants must be reported on SEC Form 4, generally within two business days after the date on which such change occurs, or in certain</w:t>
      </w:r>
    </w:p>
    <w:p>
      <w:pPr>
        <w:sectPr>
          <w:pgSz w:w="11900" w:h="16838" w:orient="portrait"/>
          <w:cols w:equalWidth="0" w:num="1">
            <w:col w:w="11240"/>
          </w:cols>
          <w:pgMar w:left="320" w:top="1426" w:right="339" w:bottom="1440" w:gutter="0" w:footer="0" w:header="0"/>
        </w:sectPr>
      </w:pPr>
    </w:p>
    <w:bookmarkStart w:id="115" w:name="page116"/>
    <w:bookmarkEnd w:id="115"/>
    <w:p>
      <w:pPr>
        <w:jc w:val="both"/>
        <w:spacing w:after="0" w:line="243" w:lineRule="auto"/>
        <w:rPr>
          <w:sz w:val="20"/>
          <w:szCs w:val="20"/>
          <w:color w:val="auto"/>
        </w:rPr>
      </w:pPr>
      <w:r>
        <w:rPr>
          <w:rFonts w:ascii="Times New Roman" w:cs="Times New Roman" w:eastAsia="Times New Roman" w:hAnsi="Times New Roman"/>
          <w:sz w:val="20"/>
          <w:szCs w:val="20"/>
          <w:color w:val="auto"/>
        </w:rPr>
        <w:t>cases on Form 5, within 45 days after fiscal year end. The two-business-day Form 4 deadline begins to run from the trade date rather than the settlement date. A Form 4 must be filed even if, as a result of balancing transactions, there has been no net change in holdings. In certain situations, purchases or sales of Company stock made within six months prior to the filing of a Form 3 must be reported on Form 4. Similarly, certain purchases or sales of Company stock made within six months after an officer or director ceases to be an insider must be reported on Form 4.</w:t>
      </w:r>
    </w:p>
    <w:p>
      <w:pPr>
        <w:spacing w:after="0" w:line="209"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b w:val="1"/>
          <w:bCs w:val="1"/>
          <w:i w:val="1"/>
          <w:iCs w:val="1"/>
          <w:color w:val="auto"/>
        </w:rPr>
        <w:t xml:space="preserve">Recovery of Profits Under Section 16(b). </w:t>
      </w:r>
      <w:r>
        <w:rPr>
          <w:rFonts w:ascii="Times New Roman" w:cs="Times New Roman" w:eastAsia="Times New Roman" w:hAnsi="Times New Roman"/>
          <w:sz w:val="20"/>
          <w:szCs w:val="20"/>
          <w:color w:val="auto"/>
        </w:rPr>
        <w:t>For the purpose of preventing the unfair use of information which may have been obtained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by an insider, any profits realized by any officer, director or 10% stockholder may be recovered by the Company. When such a purchase and sale occurs, good faith is no defense. The insider is liable even if compelled to sell for personal reasons, and even if the sale takes place after full disclosure and without the use of any inside information.</w:t>
      </w:r>
    </w:p>
    <w:p>
      <w:pPr>
        <w:spacing w:after="0" w:line="201"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0"/>
          <w:szCs w:val="20"/>
          <w:color w:val="auto"/>
        </w:rPr>
        <w:t>The liability of an insider under Section 16(b) of the Exchange Act is only to the Company itself. The Company, however, cannot waive its right to short swing profits, and any Company stockholder can bring suit in the name of the Company. Reports of ownership filed with the SEC on Form 3, Form 4 or Form 5 pursuant to Section 16(a) (discussed above) are readily available to the public, and certain attorneys carefully monitor these reports for potential Section 16(b) violations. In addition, liabilities under Section 16(b) may require separate disclosure in the Company’s annual report to the SEC on Form 10-K or its proxy statement for its annual meeting of stockholders. No suit may be brought more than two years after the date the profit was realized. However, if the insider fails to file a report of the transaction under Section 16(a), as required, the two-year limitation period does not begin to run until after the transactions giving rise to the profit have been disclosed. Failure to report transactions and late filing of reports require separate disclosure in the Company’s proxy statement.</w:t>
      </w:r>
    </w:p>
    <w:p>
      <w:pPr>
        <w:spacing w:after="0" w:line="202"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b w:val="1"/>
          <w:bCs w:val="1"/>
          <w:i w:val="1"/>
          <w:iCs w:val="1"/>
          <w:color w:val="auto"/>
        </w:rPr>
        <w:t xml:space="preserve">Short Sales Prohibited Under Section 16(c). </w:t>
      </w:r>
      <w:r>
        <w:rPr>
          <w:rFonts w:ascii="Times New Roman" w:cs="Times New Roman" w:eastAsia="Times New Roman" w:hAnsi="Times New Roman"/>
          <w:sz w:val="20"/>
          <w:szCs w:val="20"/>
          <w:color w:val="auto"/>
        </w:rPr>
        <w:t>Section 16(c) of the Exchange Act prohibits insiders absolutely from making short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sales of the Company’s equity securities. Short sales include sales of stock which the insider does not own at the time of sale, or sales of stock against which the insider does not deliver the shares within 20 days after the sale. Under certain circumstances, the purchase or sale of put or call options, or the writing of such options, can result in a violation of Section 16(c). Insiders violating Section 16(c) face criminal liability.</w:t>
      </w:r>
    </w:p>
    <w:p>
      <w:pPr>
        <w:spacing w:after="0" w:line="20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0"/>
          <w:szCs w:val="20"/>
          <w:b w:val="1"/>
          <w:bCs w:val="1"/>
          <w:color w:val="auto"/>
        </w:rPr>
        <w:t>The General Counsel should be consulted if you have any questions regarding reporting obligations, short-swing profits or short sales under Section 16.</w:t>
      </w:r>
    </w:p>
    <w:p>
      <w:pPr>
        <w:spacing w:after="0" w:line="192"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b w:val="1"/>
          <w:bCs w:val="1"/>
          <w:i w:val="1"/>
          <w:iCs w:val="1"/>
          <w:color w:val="auto"/>
        </w:rPr>
        <w:t>Rule 144 (Applicable to Officers, Directors and 10% Stockholders)</w:t>
      </w:r>
      <w:r>
        <w:rPr>
          <w:rFonts w:ascii="Times New Roman" w:cs="Times New Roman" w:eastAsia="Times New Roman" w:hAnsi="Times New Roman"/>
          <w:sz w:val="20"/>
          <w:szCs w:val="20"/>
          <w:color w:val="auto"/>
        </w:rPr>
        <w:t>. Rule 144 provides a safe harbor exemption to the registration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requirements of the Securities Act of 1933, as amended, for certain resales of “restricted securities” and “control securities”. “Restricted securities” are securities acquired from an issuer, or an affiliate of an issuer, in a transaction or chain of transactions not involving a public offering. “Control securities” are any securities owned by directors, executive officers or other “affiliates” of the issuer, including stock purchased in the open market and stock received upon exercise of stock options. Sales of restricted securities and control securities must comply with the requirements of Rule 144, which are summarized below:</w:t>
      </w:r>
    </w:p>
    <w:p>
      <w:pPr>
        <w:spacing w:after="0" w:line="188" w:lineRule="exact"/>
        <w:rPr>
          <w:sz w:val="20"/>
          <w:szCs w:val="20"/>
          <w:color w:val="auto"/>
        </w:rPr>
      </w:pPr>
    </w:p>
    <w:p>
      <w:pPr>
        <w:ind w:left="660" w:hanging="328"/>
        <w:spacing w:after="0"/>
        <w:tabs>
          <w:tab w:leader="none" w:pos="660" w:val="left"/>
        </w:tabs>
        <w:numPr>
          <w:ilvl w:val="0"/>
          <w:numId w:val="73"/>
        </w:numPr>
        <w:rPr>
          <w:rFonts w:ascii="Arial" w:cs="Arial" w:eastAsia="Arial" w:hAnsi="Arial"/>
          <w:sz w:val="20"/>
          <w:szCs w:val="20"/>
          <w:color w:val="auto"/>
        </w:rPr>
      </w:pPr>
      <w:r>
        <w:rPr>
          <w:rFonts w:ascii="Times New Roman" w:cs="Times New Roman" w:eastAsia="Times New Roman" w:hAnsi="Times New Roman"/>
          <w:sz w:val="22"/>
          <w:szCs w:val="22"/>
          <w:i w:val="1"/>
          <w:iCs w:val="1"/>
          <w:color w:val="auto"/>
        </w:rPr>
        <w:t>Holding Period</w:t>
      </w:r>
      <w:r>
        <w:rPr>
          <w:rFonts w:ascii="Times New Roman" w:cs="Times New Roman" w:eastAsia="Times New Roman" w:hAnsi="Times New Roman"/>
          <w:sz w:val="22"/>
          <w:szCs w:val="22"/>
          <w:color w:val="auto"/>
        </w:rPr>
        <w:t>. Restricted securities must be held for at least six months before they may be sold in the market.</w:t>
      </w:r>
    </w:p>
    <w:p>
      <w:pPr>
        <w:spacing w:after="0" w:line="233" w:lineRule="exact"/>
        <w:rPr>
          <w:rFonts w:ascii="Arial" w:cs="Arial" w:eastAsia="Arial" w:hAnsi="Arial"/>
          <w:sz w:val="20"/>
          <w:szCs w:val="20"/>
          <w:color w:val="auto"/>
        </w:rPr>
      </w:pPr>
    </w:p>
    <w:p>
      <w:pPr>
        <w:ind w:left="660" w:hanging="328"/>
        <w:spacing w:after="0" w:line="275" w:lineRule="auto"/>
        <w:tabs>
          <w:tab w:leader="none" w:pos="676" w:val="left"/>
        </w:tabs>
        <w:numPr>
          <w:ilvl w:val="0"/>
          <w:numId w:val="73"/>
        </w:numPr>
        <w:rPr>
          <w:rFonts w:ascii="Arial" w:cs="Arial" w:eastAsia="Arial" w:hAnsi="Arial"/>
          <w:sz w:val="20"/>
          <w:szCs w:val="20"/>
          <w:color w:val="auto"/>
        </w:rPr>
      </w:pPr>
      <w:r>
        <w:rPr>
          <w:rFonts w:ascii="Times New Roman" w:cs="Times New Roman" w:eastAsia="Times New Roman" w:hAnsi="Times New Roman"/>
          <w:sz w:val="22"/>
          <w:szCs w:val="22"/>
          <w:i w:val="1"/>
          <w:iCs w:val="1"/>
          <w:color w:val="auto"/>
        </w:rPr>
        <w:t>Current Public Information</w:t>
      </w:r>
      <w:r>
        <w:rPr>
          <w:rFonts w:ascii="Times New Roman" w:cs="Times New Roman" w:eastAsia="Times New Roman" w:hAnsi="Times New Roman"/>
          <w:sz w:val="22"/>
          <w:szCs w:val="22"/>
          <w:color w:val="auto"/>
        </w:rPr>
        <w:t>. The Company must have filed all SEC-required reports during the last 12 months or such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shorter period that the Company was required to file such reports.</w:t>
      </w:r>
    </w:p>
    <w:p>
      <w:pPr>
        <w:sectPr>
          <w:pgSz w:w="11900" w:h="16838" w:orient="portrait"/>
          <w:cols w:equalWidth="0" w:num="1">
            <w:col w:w="11240"/>
          </w:cols>
          <w:pgMar w:left="320" w:top="1413" w:right="339" w:bottom="1440" w:gutter="0" w:footer="0" w:header="0"/>
        </w:sectPr>
      </w:pPr>
    </w:p>
    <w:bookmarkStart w:id="116" w:name="page117"/>
    <w:bookmarkEnd w:id="116"/>
    <w:p>
      <w:pPr>
        <w:spacing w:after="0" w:line="208" w:lineRule="exact"/>
        <w:rPr>
          <w:sz w:val="20"/>
          <w:szCs w:val="20"/>
          <w:color w:val="auto"/>
        </w:rPr>
      </w:pPr>
    </w:p>
    <w:p>
      <w:pPr>
        <w:jc w:val="both"/>
        <w:ind w:left="660" w:hanging="328"/>
        <w:spacing w:after="0" w:line="245" w:lineRule="auto"/>
        <w:tabs>
          <w:tab w:leader="none" w:pos="663" w:val="left"/>
        </w:tabs>
        <w:numPr>
          <w:ilvl w:val="0"/>
          <w:numId w:val="74"/>
        </w:numPr>
        <w:rPr>
          <w:rFonts w:ascii="Arial" w:cs="Arial" w:eastAsia="Arial" w:hAnsi="Arial"/>
          <w:sz w:val="20"/>
          <w:szCs w:val="20"/>
          <w:color w:val="auto"/>
        </w:rPr>
      </w:pPr>
      <w:r>
        <w:rPr>
          <w:rFonts w:ascii="Times New Roman" w:cs="Times New Roman" w:eastAsia="Times New Roman" w:hAnsi="Times New Roman"/>
          <w:sz w:val="22"/>
          <w:szCs w:val="22"/>
          <w:i w:val="1"/>
          <w:iCs w:val="1"/>
          <w:color w:val="auto"/>
        </w:rPr>
        <w:t>Volume Limitations</w:t>
      </w:r>
      <w:r>
        <w:rPr>
          <w:rFonts w:ascii="Times New Roman" w:cs="Times New Roman" w:eastAsia="Times New Roman" w:hAnsi="Times New Roman"/>
          <w:sz w:val="22"/>
          <w:szCs w:val="22"/>
          <w:color w:val="auto"/>
        </w:rPr>
        <w:t>. For affiliates, total sales of Company common stock for any three-month period may not exceed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greater of: (i) 1% of the total number of outstanding shares of Company common stock, as reflected in the most recent report or statement published by the Company, or (ii) the average weekly reported volume of such shares traded during the four calendar weeks preceding the filing of the requisite Form 144.</w:t>
      </w:r>
    </w:p>
    <w:p>
      <w:pPr>
        <w:spacing w:after="0" w:line="195" w:lineRule="exact"/>
        <w:rPr>
          <w:rFonts w:ascii="Arial" w:cs="Arial" w:eastAsia="Arial" w:hAnsi="Arial"/>
          <w:sz w:val="20"/>
          <w:szCs w:val="20"/>
          <w:color w:val="auto"/>
        </w:rPr>
      </w:pPr>
    </w:p>
    <w:p>
      <w:pPr>
        <w:jc w:val="both"/>
        <w:ind w:left="660" w:hanging="328"/>
        <w:spacing w:after="0" w:line="238" w:lineRule="auto"/>
        <w:tabs>
          <w:tab w:leader="none" w:pos="663" w:val="left"/>
        </w:tabs>
        <w:numPr>
          <w:ilvl w:val="0"/>
          <w:numId w:val="74"/>
        </w:numPr>
        <w:rPr>
          <w:rFonts w:ascii="Arial" w:cs="Arial" w:eastAsia="Arial" w:hAnsi="Arial"/>
          <w:sz w:val="20"/>
          <w:szCs w:val="20"/>
          <w:color w:val="auto"/>
        </w:rPr>
      </w:pPr>
      <w:r>
        <w:rPr>
          <w:rFonts w:ascii="Times New Roman" w:cs="Times New Roman" w:eastAsia="Times New Roman" w:hAnsi="Times New Roman"/>
          <w:sz w:val="22"/>
          <w:szCs w:val="22"/>
          <w:i w:val="1"/>
          <w:iCs w:val="1"/>
          <w:color w:val="auto"/>
        </w:rPr>
        <w:t>Method of Sale</w:t>
      </w:r>
      <w:r>
        <w:rPr>
          <w:rFonts w:ascii="Times New Roman" w:cs="Times New Roman" w:eastAsia="Times New Roman" w:hAnsi="Times New Roman"/>
          <w:sz w:val="22"/>
          <w:szCs w:val="22"/>
          <w:color w:val="auto"/>
        </w:rPr>
        <w:t>. For affiliates, the shares must be sold either in a “broker’s transaction” or in a transaction directly with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“market maker.” A “broker’s transaction” is one in which the broker does no more than execute the sale order and receive the usual and customary commission. Neither the broker nor the selling person can solicit or arrange for the sale order. In addition, the selling person or Board member must not pay any fee or commission other than to the broker. A “market maker” includes a specialist permitted to act as a dealer, a dealer acting in the position of a block positioner, and a dealer who holds himself out as being willing to buy and sell Company common stock for his own account on a regular and continuous basis.</w:t>
      </w:r>
    </w:p>
    <w:p>
      <w:pPr>
        <w:spacing w:after="0" w:line="201" w:lineRule="exact"/>
        <w:rPr>
          <w:rFonts w:ascii="Arial" w:cs="Arial" w:eastAsia="Arial" w:hAnsi="Arial"/>
          <w:sz w:val="20"/>
          <w:szCs w:val="20"/>
          <w:color w:val="auto"/>
        </w:rPr>
      </w:pPr>
    </w:p>
    <w:p>
      <w:pPr>
        <w:jc w:val="both"/>
        <w:ind w:left="660" w:hanging="328"/>
        <w:spacing w:after="0" w:line="252" w:lineRule="auto"/>
        <w:tabs>
          <w:tab w:leader="none" w:pos="676" w:val="left"/>
        </w:tabs>
        <w:numPr>
          <w:ilvl w:val="0"/>
          <w:numId w:val="74"/>
        </w:numPr>
        <w:rPr>
          <w:rFonts w:ascii="Arial" w:cs="Arial" w:eastAsia="Arial" w:hAnsi="Arial"/>
          <w:sz w:val="20"/>
          <w:szCs w:val="20"/>
          <w:color w:val="auto"/>
        </w:rPr>
      </w:pPr>
      <w:r>
        <w:rPr>
          <w:rFonts w:ascii="Times New Roman" w:cs="Times New Roman" w:eastAsia="Times New Roman" w:hAnsi="Times New Roman"/>
          <w:sz w:val="22"/>
          <w:szCs w:val="22"/>
          <w:i w:val="1"/>
          <w:iCs w:val="1"/>
          <w:color w:val="auto"/>
        </w:rPr>
        <w:t>Notice of Proposed Sale</w:t>
      </w:r>
      <w:r>
        <w:rPr>
          <w:rFonts w:ascii="Times New Roman" w:cs="Times New Roman" w:eastAsia="Times New Roman" w:hAnsi="Times New Roman"/>
          <w:sz w:val="22"/>
          <w:szCs w:val="22"/>
          <w:color w:val="auto"/>
        </w:rPr>
        <w:t>. For affiliates, a notice of the sale (a Form 144) may be required to be filed with the SEC via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EDGAR at the time of the sale. Brokers generally have internal procedures for executing sales under Rule 144 and will assist you in completing the Form 144 and in complying with the other requirements of Rule 144.</w:t>
      </w:r>
    </w:p>
    <w:p>
      <w:pPr>
        <w:spacing w:after="0" w:line="197" w:lineRule="exact"/>
        <w:rPr>
          <w:sz w:val="20"/>
          <w:szCs w:val="20"/>
          <w:color w:val="auto"/>
        </w:rPr>
      </w:pPr>
    </w:p>
    <w:p>
      <w:pPr>
        <w:ind w:right="500" w:firstLine="648"/>
        <w:spacing w:after="0" w:line="269" w:lineRule="auto"/>
        <w:rPr>
          <w:sz w:val="20"/>
          <w:szCs w:val="20"/>
          <w:color w:val="auto"/>
        </w:rPr>
      </w:pPr>
      <w:r>
        <w:rPr>
          <w:rFonts w:ascii="Times New Roman" w:cs="Times New Roman" w:eastAsia="Times New Roman" w:hAnsi="Times New Roman"/>
          <w:sz w:val="20"/>
          <w:szCs w:val="20"/>
          <w:color w:val="auto"/>
        </w:rPr>
        <w:t>If you are subject to Rule 144, you must instruct your broker who handles trades in Company securities to follow the brokerage firm’s Rule 144 compliance procedures in connection with all trades.</w:t>
      </w:r>
    </w:p>
    <w:p>
      <w:pPr>
        <w:spacing w:after="0" w:line="186" w:lineRule="exact"/>
        <w:rPr>
          <w:sz w:val="20"/>
          <w:szCs w:val="20"/>
          <w:color w:val="auto"/>
        </w:rPr>
      </w:pPr>
    </w:p>
    <w:p>
      <w:pPr>
        <w:ind w:left="640" w:hanging="308"/>
        <w:spacing w:after="0"/>
        <w:tabs>
          <w:tab w:leader="none" w:pos="640" w:val="left"/>
        </w:tabs>
        <w:numPr>
          <w:ilvl w:val="0"/>
          <w:numId w:val="75"/>
        </w:numPr>
        <w:rPr>
          <w:rFonts w:ascii="Arial" w:cs="Arial" w:eastAsia="Arial" w:hAnsi="Arial"/>
          <w:sz w:val="22"/>
          <w:szCs w:val="22"/>
          <w:color w:val="auto"/>
        </w:rPr>
      </w:pPr>
      <w:r>
        <w:rPr>
          <w:rFonts w:ascii="Times New Roman" w:cs="Times New Roman" w:eastAsia="Times New Roman" w:hAnsi="Times New Roman"/>
          <w:sz w:val="20"/>
          <w:szCs w:val="20"/>
          <w:u w:val="single" w:color="auto"/>
          <w:color w:val="auto"/>
        </w:rPr>
        <w:t>Sanctions for Violations of this Policy</w:t>
      </w:r>
    </w:p>
    <w:p>
      <w:pPr>
        <w:spacing w:after="0" w:line="21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0"/>
          <w:szCs w:val="20"/>
          <w:color w:val="auto"/>
        </w:rPr>
        <w:t xml:space="preserve">The SEC, the stock exchanges and plaintiffs’ lawyers focus on uncovering insider </w:t>
      </w:r>
      <w:r>
        <w:rPr>
          <w:rFonts w:ascii="Times New Roman" w:cs="Times New Roman" w:eastAsia="Times New Roman" w:hAnsi="Times New Roman"/>
          <w:sz w:val="21"/>
          <w:szCs w:val="21"/>
          <w:color w:val="auto"/>
        </w:rPr>
        <w:t>trading, and use sophisticated technologies to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investigate suspicious activity</w:t>
      </w:r>
      <w:r>
        <w:rPr>
          <w:rFonts w:ascii="Times New Roman" w:cs="Times New Roman" w:eastAsia="Times New Roman" w:hAnsi="Times New Roman"/>
          <w:sz w:val="19"/>
          <w:szCs w:val="19"/>
          <w:color w:val="auto"/>
        </w:rPr>
        <w:t>.</w:t>
      </w:r>
    </w:p>
    <w:p>
      <w:pPr>
        <w:spacing w:after="0" w:line="16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 xml:space="preserve">A breach of the insider </w:t>
      </w:r>
      <w:r>
        <w:rPr>
          <w:rFonts w:ascii="Times New Roman" w:cs="Times New Roman" w:eastAsia="Times New Roman" w:hAnsi="Times New Roman"/>
          <w:sz w:val="21"/>
          <w:szCs w:val="21"/>
          <w:color w:val="auto"/>
        </w:rPr>
        <w:t>trading</w:t>
      </w:r>
      <w:r>
        <w:rPr>
          <w:rFonts w:ascii="Times New Roman" w:cs="Times New Roman" w:eastAsia="Times New Roman" w:hAnsi="Times New Roman"/>
          <w:sz w:val="20"/>
          <w:szCs w:val="20"/>
          <w:color w:val="auto"/>
        </w:rPr>
        <w:t xml:space="preserve"> laws could expose the insider to criminal fines of up to $5,000,000 and imprisonment of up to 20 years, in addition to civil penalties (up to three times the profits earned), and injunctive actions. In addition, punitive damages may be imposed under applicable state laws. Securities laws also subject controlling persons to civil penalties for illegal insider </w:t>
      </w:r>
      <w:r>
        <w:rPr>
          <w:rFonts w:ascii="Times New Roman" w:cs="Times New Roman" w:eastAsia="Times New Roman" w:hAnsi="Times New Roman"/>
          <w:sz w:val="21"/>
          <w:szCs w:val="21"/>
          <w:color w:val="auto"/>
        </w:rPr>
        <w:t>trading</w:t>
      </w:r>
      <w:r>
        <w:rPr>
          <w:rFonts w:ascii="Times New Roman" w:cs="Times New Roman" w:eastAsia="Times New Roman" w:hAnsi="Times New Roman"/>
          <w:sz w:val="20"/>
          <w:szCs w:val="20"/>
          <w:color w:val="auto"/>
        </w:rPr>
        <w:t xml:space="preserve"> by employees. Controlling persons include directors, officers and supervisors. These persons may be subject to fines of up to the greater of $2,479,282(as adjusted from time to time) or three times the profit realized or loss avoided by the insider. Accordingly, all Company employees must comply with this policy and applicable securities laws and ensure that those employees who they supervise also comply.</w:t>
      </w:r>
    </w:p>
    <w:p>
      <w:pPr>
        <w:spacing w:after="0" w:line="21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color w:val="auto"/>
        </w:rPr>
        <w:t>Inside information does not belong to any of Company’s individual employees, officers or directors. This information is an asset of the company. For any person to use such information for personal benefit or to disclose it to others outside of the Company violates the Company’s Code of Business Conduct and Ethics, this policy and federal securities laws. More particularly, insider trading is a fraud against</w:t>
      </w:r>
    </w:p>
    <w:p>
      <w:pPr>
        <w:spacing w:after="0" w:line="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members of the investing public and against the Company. Whether or not there is any actual trading of our securities, any violation of this Policy will be grounds for discipline, up to termination of employment for cause.</w:t>
      </w:r>
    </w:p>
    <w:p>
      <w:pPr>
        <w:spacing w:after="0" w:line="229" w:lineRule="exact"/>
        <w:rPr>
          <w:sz w:val="20"/>
          <w:szCs w:val="20"/>
          <w:color w:val="auto"/>
        </w:rPr>
      </w:pPr>
    </w:p>
    <w:p>
      <w:pPr>
        <w:ind w:left="660" w:hanging="328"/>
        <w:spacing w:after="0"/>
        <w:tabs>
          <w:tab w:leader="none" w:pos="660" w:val="left"/>
        </w:tabs>
        <w:numPr>
          <w:ilvl w:val="0"/>
          <w:numId w:val="76"/>
        </w:numPr>
        <w:rPr>
          <w:rFonts w:ascii="Arial" w:cs="Arial" w:eastAsia="Arial" w:hAnsi="Arial"/>
          <w:sz w:val="22"/>
          <w:szCs w:val="22"/>
          <w:color w:val="auto"/>
        </w:rPr>
      </w:pPr>
      <w:r>
        <w:rPr>
          <w:rFonts w:ascii="Times New Roman" w:cs="Times New Roman" w:eastAsia="Times New Roman" w:hAnsi="Times New Roman"/>
          <w:sz w:val="20"/>
          <w:szCs w:val="20"/>
          <w:u w:val="single" w:color="auto"/>
          <w:color w:val="auto"/>
        </w:rPr>
        <w:t>Administration of this Policy</w:t>
      </w:r>
    </w:p>
    <w:p>
      <w:pPr>
        <w:sectPr>
          <w:pgSz w:w="11900" w:h="16838" w:orient="portrait"/>
          <w:cols w:equalWidth="0" w:num="1">
            <w:col w:w="11240"/>
          </w:cols>
          <w:pgMar w:left="320" w:top="1440" w:right="339" w:bottom="1440" w:gutter="0" w:footer="0" w:header="0"/>
        </w:sectPr>
      </w:pPr>
    </w:p>
    <w:bookmarkStart w:id="117" w:name="page118"/>
    <w:bookmarkEnd w:id="117"/>
    <w:p>
      <w:pPr>
        <w:jc w:val="both"/>
        <w:ind w:right="20"/>
        <w:spacing w:after="0" w:line="245" w:lineRule="auto"/>
        <w:rPr>
          <w:sz w:val="20"/>
          <w:szCs w:val="20"/>
          <w:color w:val="auto"/>
        </w:rPr>
      </w:pPr>
      <w:r>
        <w:rPr>
          <w:rFonts w:ascii="Times New Roman" w:cs="Times New Roman" w:eastAsia="Times New Roman" w:hAnsi="Times New Roman"/>
          <w:sz w:val="22"/>
          <w:szCs w:val="22"/>
          <w:b w:val="1"/>
          <w:bCs w:val="1"/>
          <w:i w:val="1"/>
          <w:iCs w:val="1"/>
          <w:color w:val="auto"/>
        </w:rPr>
        <w:t xml:space="preserve">Administration by the General Counsel. </w:t>
      </w:r>
      <w:r>
        <w:rPr>
          <w:rFonts w:ascii="Times New Roman" w:cs="Times New Roman" w:eastAsia="Times New Roman" w:hAnsi="Times New Roman"/>
          <w:sz w:val="19"/>
          <w:szCs w:val="19"/>
          <w:color w:val="auto"/>
        </w:rPr>
        <w:t>The day-to-day administration of this Policy will be carried out by the General Counsel. If you</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19"/>
          <w:szCs w:val="19"/>
          <w:color w:val="auto"/>
        </w:rPr>
        <w:t>have any questions concerning the interpretation of this Policy, you should direct your questions to the General Counsel.</w:t>
      </w:r>
    </w:p>
    <w:p>
      <w:pPr>
        <w:spacing w:after="0" w:line="20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 xml:space="preserve">Reporting Violations. </w:t>
      </w:r>
      <w:r>
        <w:rPr>
          <w:rFonts w:ascii="Times New Roman" w:cs="Times New Roman" w:eastAsia="Times New Roman" w:hAnsi="Times New Roman"/>
          <w:sz w:val="20"/>
          <w:szCs w:val="20"/>
          <w:color w:val="auto"/>
        </w:rPr>
        <w:t>If you become aware of any violation of this Policy, you should report it immediately to the General Counsel, or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otherwise in accordance with the Company’s Code of Business Conduct and Ethics. </w:t>
      </w:r>
      <w:r>
        <w:rPr>
          <w:rFonts w:ascii="Times New Roman" w:cs="Times New Roman" w:eastAsia="Times New Roman" w:hAnsi="Times New Roman"/>
          <w:sz w:val="21"/>
          <w:szCs w:val="21"/>
          <w:color w:val="auto"/>
        </w:rPr>
        <w:t>Reports classified as accounting/audit irregularities,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 xml:space="preserve">insider trading, improper loans to executives, retaliation against whistleblowers, fraud, kickbacks, falsification of Company records, or conflicts of interest will be referred automatically to the Company’s Audit Committee. </w:t>
      </w:r>
      <w:r>
        <w:rPr>
          <w:rFonts w:ascii="Times New Roman" w:cs="Times New Roman" w:eastAsia="Times New Roman" w:hAnsi="Times New Roman"/>
          <w:sz w:val="19"/>
          <w:szCs w:val="19"/>
          <w:color w:val="auto"/>
        </w:rPr>
        <w:t>Employees will not be disciplined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or retaliated against in any way for reporting violations in good faith.</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 xml:space="preserve">Exemptions. </w:t>
      </w:r>
      <w:r>
        <w:rPr>
          <w:rFonts w:ascii="Times New Roman" w:cs="Times New Roman" w:eastAsia="Times New Roman" w:hAnsi="Times New Roman"/>
          <w:sz w:val="20"/>
          <w:szCs w:val="20"/>
          <w:color w:val="auto"/>
        </w:rPr>
        <w:t>An individual subject to the trading windows or special blackout periods described in this Section IV may request the General</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Counsel to grant him or her a hardship exemption from those restrictions if he or she is not otherwise prohibited from trading under Section II. However, we anticipate that exemptions will be given very rarely and only in extreme circumstances.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2"/>
          <w:szCs w:val="22"/>
          <w:b w:val="1"/>
          <w:bCs w:val="1"/>
          <w:i w:val="1"/>
          <w:iCs w:val="1"/>
          <w:color w:val="auto"/>
        </w:rPr>
        <w:t xml:space="preserve">Amendment of the Policy. </w:t>
      </w:r>
      <w:r>
        <w:rPr>
          <w:rFonts w:ascii="Times New Roman" w:cs="Times New Roman" w:eastAsia="Times New Roman" w:hAnsi="Times New Roman"/>
          <w:sz w:val="19"/>
          <w:szCs w:val="19"/>
          <w:color w:val="auto"/>
        </w:rPr>
        <w:t>Company’s senior officers reserve the right to amend this Policy from time to time in consultation with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19"/>
          <w:szCs w:val="19"/>
          <w:color w:val="auto"/>
        </w:rPr>
        <w:t>Nominating and Corporate Governance Committee of the Board of Directors. If the Policy is amended, we will communicate to you through normal communications channels the substance of any such changes.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Please bear in mind that the ultimate responsibility for complying with this Policy and applicable laws and regulations rests with you.</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You should use your best judgment and consult with the General Counsel and your legal and financial advisors, as needed.</w:t>
      </w:r>
    </w:p>
    <w:p>
      <w:pPr>
        <w:spacing w:after="0" w:line="212" w:lineRule="exact"/>
        <w:rPr>
          <w:sz w:val="20"/>
          <w:szCs w:val="20"/>
          <w:color w:val="auto"/>
        </w:rPr>
      </w:pPr>
    </w:p>
    <w:p>
      <w:pPr>
        <w:ind w:right="120" w:firstLine="1296"/>
        <w:spacing w:after="0" w:line="261" w:lineRule="auto"/>
        <w:rPr>
          <w:sz w:val="20"/>
          <w:szCs w:val="20"/>
          <w:color w:val="auto"/>
        </w:rPr>
      </w:pPr>
      <w:r>
        <w:rPr>
          <w:rFonts w:ascii="Times New Roman" w:cs="Times New Roman" w:eastAsia="Times New Roman" w:hAnsi="Times New Roman"/>
          <w:sz w:val="18"/>
          <w:szCs w:val="18"/>
          <w:color w:val="auto"/>
        </w:rPr>
        <w:t>The intent of this Insider Trading Policy is to define the details and specific requirements for all employees, officers, consultants, and directors who have material nonpublic information about Cantaloupe or other companies, including Cantaloupe’ suppliers and customers. Information is considered material if there is substantial likelihood that a reasonable investor would consider the information important in making a decision to purchase, sell or hold the Company’s securities. Material information can be positive or negative and can relate to any aspect of the business.</w:t>
      </w:r>
    </w:p>
    <w:p>
      <w:pPr>
        <w:spacing w:after="0" w:line="193" w:lineRule="exact"/>
        <w:rPr>
          <w:sz w:val="20"/>
          <w:szCs w:val="20"/>
          <w:color w:val="auto"/>
        </w:rPr>
      </w:pPr>
    </w:p>
    <w:p>
      <w:pPr>
        <w:ind w:right="80" w:firstLine="1296"/>
        <w:spacing w:after="0" w:line="242" w:lineRule="auto"/>
        <w:rPr>
          <w:sz w:val="20"/>
          <w:szCs w:val="20"/>
          <w:color w:val="auto"/>
        </w:rPr>
      </w:pPr>
      <w:r>
        <w:rPr>
          <w:rFonts w:ascii="Times New Roman" w:cs="Times New Roman" w:eastAsia="Times New Roman" w:hAnsi="Times New Roman"/>
          <w:sz w:val="18"/>
          <w:szCs w:val="18"/>
          <w:color w:val="auto"/>
        </w:rPr>
        <w:t>No employee, officer, consultant, or director may engage in any transactions in Company securities, including its common stock and any other type of securities that the Company may issue, if the employee, officer, consultants, and director is aware of material nonpublic/confidential information relating to the Company.No employee, officer, consultant, or director may engage in any transactions in Company securities, including its common stock and any other type of securities that the Company may issue, if the employee, officer, consultants, and director is aware of material nonpublic/confidential information relating to the Company.</w:t>
      </w:r>
    </w:p>
    <w:p>
      <w:pPr>
        <w:spacing w:after="0" w:line="212" w:lineRule="exact"/>
        <w:rPr>
          <w:sz w:val="20"/>
          <w:szCs w:val="20"/>
          <w:color w:val="auto"/>
        </w:rPr>
      </w:pPr>
    </w:p>
    <w:p>
      <w:pPr>
        <w:ind w:right="160" w:firstLine="1296"/>
        <w:spacing w:after="0" w:line="245" w:lineRule="auto"/>
        <w:rPr>
          <w:sz w:val="20"/>
          <w:szCs w:val="20"/>
          <w:color w:val="auto"/>
        </w:rPr>
      </w:pPr>
      <w:r>
        <w:rPr>
          <w:rFonts w:ascii="Times New Roman" w:cs="Times New Roman" w:eastAsia="Times New Roman" w:hAnsi="Times New Roman"/>
          <w:sz w:val="18"/>
          <w:szCs w:val="18"/>
          <w:color w:val="auto"/>
        </w:rPr>
        <w:t>No employee, officer, consultant or director may engage in any transaction involving the purchase or sale of any of the securities of another company, directly or indirectly, if the employee, officer, director, or consultant is aware of material, nonpublic/confidential information about that company, including any information the employee, officer, director or consultant obtained in the course of employment with or serving as a director or consultant of the Company.</w:t>
      </w:r>
    </w:p>
    <w:p>
      <w:pPr>
        <w:spacing w:after="0" w:line="208" w:lineRule="exact"/>
        <w:rPr>
          <w:sz w:val="20"/>
          <w:szCs w:val="20"/>
          <w:color w:val="auto"/>
        </w:rPr>
      </w:pPr>
    </w:p>
    <w:p>
      <w:pPr>
        <w:jc w:val="both"/>
        <w:ind w:right="240" w:firstLine="1296"/>
        <w:spacing w:after="0"/>
        <w:rPr>
          <w:sz w:val="20"/>
          <w:szCs w:val="20"/>
          <w:color w:val="auto"/>
        </w:rPr>
      </w:pPr>
      <w:r>
        <w:rPr>
          <w:rFonts w:ascii="Times New Roman" w:cs="Times New Roman" w:eastAsia="Times New Roman" w:hAnsi="Times New Roman"/>
          <w:sz w:val="18"/>
          <w:szCs w:val="18"/>
          <w:color w:val="auto"/>
        </w:rPr>
        <w:t>No employee, officer, consultant or director may directly or indirectly pass (or “tip”) nonpublic/confidential information on to others (except that employees working on matters for the Company involving such information may provide such information to other Company employees or Company advisors who have a need to know such information for performance of their duties to the Company) or recommend to anyone the purchase or sale of any securities on the basis of any material nonpublic/confidential information.</w:t>
      </w:r>
    </w:p>
    <w:p>
      <w:pPr>
        <w:sectPr>
          <w:pgSz w:w="11900" w:h="16838" w:orient="portrait"/>
          <w:cols w:equalWidth="0" w:num="1">
            <w:col w:w="11240"/>
          </w:cols>
          <w:pgMar w:left="320" w:top="1402" w:right="339"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22"/>
          <w:szCs w:val="22"/>
          <w:b w:val="1"/>
          <w:bCs w:val="1"/>
          <w:color w:val="auto"/>
        </w:rPr>
        <w:t>Exhibit 21.1</w:t>
      </w: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9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3580" w:type="dxa"/>
            <w:vAlign w:val="bottom"/>
            <w:gridSpan w:val="3"/>
          </w:tcPr>
          <w:p>
            <w:pPr>
              <w:ind w:left="20"/>
              <w:spacing w:after="0"/>
              <w:rPr>
                <w:sz w:val="20"/>
                <w:szCs w:val="20"/>
                <w:color w:val="auto"/>
              </w:rPr>
            </w:pPr>
            <w:r>
              <w:rPr>
                <w:rFonts w:ascii="Times New Roman" w:cs="Times New Roman" w:eastAsia="Times New Roman" w:hAnsi="Times New Roman"/>
                <w:sz w:val="20"/>
                <w:szCs w:val="20"/>
                <w:b w:val="1"/>
                <w:bCs w:val="1"/>
                <w:color w:val="auto"/>
                <w:w w:val="98"/>
              </w:rPr>
              <w:t>SUBSIDIARIES OF THE REGISTRANT</w:t>
            </w:r>
          </w:p>
        </w:tc>
        <w:tc>
          <w:tcPr>
            <w:tcW w:w="2180" w:type="dxa"/>
            <w:vAlign w:val="bottom"/>
          </w:tcPr>
          <w:p>
            <w:pPr>
              <w:spacing w:after="0"/>
              <w:rPr>
                <w:sz w:val="22"/>
                <w:szCs w:val="22"/>
                <w:color w:val="auto"/>
              </w:rPr>
            </w:pPr>
          </w:p>
        </w:tc>
      </w:tr>
      <w:tr>
        <w:trPr>
          <w:trHeight w:val="872"/>
        </w:trPr>
        <w:tc>
          <w:tcPr>
            <w:tcW w:w="9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w w:val="97"/>
              </w:rPr>
              <w:t>Subsidiary</w:t>
            </w:r>
          </w:p>
        </w:tc>
        <w:tc>
          <w:tcPr>
            <w:tcW w:w="1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1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State or Province of Incorporation</w:t>
            </w:r>
          </w:p>
        </w:tc>
        <w:tc>
          <w:tcPr>
            <w:tcW w:w="21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w w:val="98"/>
              </w:rPr>
              <w:t>Country of Incorporation</w:t>
            </w:r>
          </w:p>
        </w:tc>
      </w:tr>
      <w:tr>
        <w:trPr>
          <w:trHeight w:val="20"/>
        </w:trPr>
        <w:tc>
          <w:tcPr>
            <w:tcW w:w="92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2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r>
      <w:tr>
        <w:trPr>
          <w:trHeight w:val="445"/>
        </w:trPr>
        <w:tc>
          <w:tcPr>
            <w:tcW w:w="598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Cantaloupe Solutions Canada, Inc. British Columbia</w:t>
            </w:r>
          </w:p>
        </w:tc>
        <w:tc>
          <w:tcPr>
            <w:tcW w:w="2180" w:type="dxa"/>
            <w:vAlign w:val="bottom"/>
          </w:tcPr>
          <w:p>
            <w:pPr>
              <w:spacing w:after="0"/>
              <w:rPr>
                <w:sz w:val="20"/>
                <w:szCs w:val="20"/>
                <w:color w:val="auto"/>
              </w:rPr>
            </w:pPr>
            <w:r>
              <w:rPr>
                <w:rFonts w:ascii="Times New Roman" w:cs="Times New Roman" w:eastAsia="Times New Roman" w:hAnsi="Times New Roman"/>
                <w:sz w:val="20"/>
                <w:szCs w:val="20"/>
                <w:color w:val="auto"/>
              </w:rPr>
              <w:t>Canada</w:t>
            </w:r>
          </w:p>
        </w:tc>
      </w:tr>
      <w:tr>
        <w:trPr>
          <w:trHeight w:val="473"/>
        </w:trPr>
        <w:tc>
          <w:tcPr>
            <w:tcW w:w="240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9"/>
              </w:rPr>
              <w:t>Cantaloupe International, Inc.</w:t>
            </w:r>
          </w:p>
        </w:tc>
        <w:tc>
          <w:tcPr>
            <w:tcW w:w="440" w:type="dxa"/>
            <w:vAlign w:val="bottom"/>
          </w:tcPr>
          <w:p>
            <w:pPr>
              <w:spacing w:after="0"/>
              <w:rPr>
                <w:sz w:val="24"/>
                <w:szCs w:val="24"/>
                <w:color w:val="auto"/>
              </w:rPr>
            </w:pPr>
          </w:p>
        </w:tc>
        <w:tc>
          <w:tcPr>
            <w:tcW w:w="31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Delaware</w:t>
            </w:r>
          </w:p>
        </w:tc>
        <w:tc>
          <w:tcPr>
            <w:tcW w:w="2180" w:type="dxa"/>
            <w:vAlign w:val="bottom"/>
          </w:tcPr>
          <w:p>
            <w:pPr>
              <w:spacing w:after="0"/>
              <w:rPr>
                <w:sz w:val="20"/>
                <w:szCs w:val="20"/>
                <w:color w:val="auto"/>
              </w:rPr>
            </w:pPr>
            <w:r>
              <w:rPr>
                <w:rFonts w:ascii="Times New Roman" w:cs="Times New Roman" w:eastAsia="Times New Roman" w:hAnsi="Times New Roman"/>
                <w:sz w:val="20"/>
                <w:szCs w:val="20"/>
                <w:color w:val="auto"/>
              </w:rPr>
              <w:t>United States</w:t>
            </w:r>
          </w:p>
        </w:tc>
      </w:tr>
      <w:tr>
        <w:trPr>
          <w:trHeight w:val="473"/>
        </w:trPr>
        <w:tc>
          <w:tcPr>
            <w:tcW w:w="24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Cantaloupe Systems, Inc.</w:t>
            </w:r>
          </w:p>
        </w:tc>
        <w:tc>
          <w:tcPr>
            <w:tcW w:w="440" w:type="dxa"/>
            <w:vAlign w:val="bottom"/>
          </w:tcPr>
          <w:p>
            <w:pPr>
              <w:spacing w:after="0"/>
              <w:rPr>
                <w:sz w:val="24"/>
                <w:szCs w:val="24"/>
                <w:color w:val="auto"/>
              </w:rPr>
            </w:pPr>
          </w:p>
        </w:tc>
        <w:tc>
          <w:tcPr>
            <w:tcW w:w="31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Delaware</w:t>
            </w:r>
          </w:p>
        </w:tc>
        <w:tc>
          <w:tcPr>
            <w:tcW w:w="2180" w:type="dxa"/>
            <w:vAlign w:val="bottom"/>
          </w:tcPr>
          <w:p>
            <w:pPr>
              <w:spacing w:after="0"/>
              <w:rPr>
                <w:sz w:val="20"/>
                <w:szCs w:val="20"/>
                <w:color w:val="auto"/>
              </w:rPr>
            </w:pPr>
            <w:r>
              <w:rPr>
                <w:rFonts w:ascii="Times New Roman" w:cs="Times New Roman" w:eastAsia="Times New Roman" w:hAnsi="Times New Roman"/>
                <w:sz w:val="20"/>
                <w:szCs w:val="20"/>
                <w:color w:val="auto"/>
              </w:rPr>
              <w:t>United States</w:t>
            </w:r>
          </w:p>
        </w:tc>
      </w:tr>
      <w:tr>
        <w:trPr>
          <w:trHeight w:val="486"/>
        </w:trPr>
        <w:tc>
          <w:tcPr>
            <w:tcW w:w="24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Stitch Networks Corporation</w:t>
            </w:r>
          </w:p>
        </w:tc>
        <w:tc>
          <w:tcPr>
            <w:tcW w:w="440" w:type="dxa"/>
            <w:vAlign w:val="bottom"/>
          </w:tcPr>
          <w:p>
            <w:pPr>
              <w:spacing w:after="0"/>
              <w:rPr>
                <w:sz w:val="24"/>
                <w:szCs w:val="24"/>
                <w:color w:val="auto"/>
              </w:rPr>
            </w:pPr>
          </w:p>
        </w:tc>
        <w:tc>
          <w:tcPr>
            <w:tcW w:w="31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Delaware</w:t>
            </w:r>
          </w:p>
        </w:tc>
        <w:tc>
          <w:tcPr>
            <w:tcW w:w="2180" w:type="dxa"/>
            <w:vAlign w:val="bottom"/>
          </w:tcPr>
          <w:p>
            <w:pPr>
              <w:spacing w:after="0"/>
              <w:rPr>
                <w:sz w:val="20"/>
                <w:szCs w:val="20"/>
                <w:color w:val="auto"/>
              </w:rPr>
            </w:pPr>
            <w:r>
              <w:rPr>
                <w:rFonts w:ascii="Times New Roman" w:cs="Times New Roman" w:eastAsia="Times New Roman" w:hAnsi="Times New Roman"/>
                <w:sz w:val="20"/>
                <w:szCs w:val="20"/>
                <w:color w:val="auto"/>
              </w:rPr>
              <w:t>United States</w:t>
            </w:r>
          </w:p>
        </w:tc>
      </w:tr>
      <w:tr>
        <w:trPr>
          <w:trHeight w:val="432"/>
        </w:trPr>
        <w:tc>
          <w:tcPr>
            <w:tcW w:w="24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USAT Capital Corp, LLC.</w:t>
            </w:r>
          </w:p>
        </w:tc>
        <w:tc>
          <w:tcPr>
            <w:tcW w:w="440" w:type="dxa"/>
            <w:vAlign w:val="bottom"/>
          </w:tcPr>
          <w:p>
            <w:pPr>
              <w:spacing w:after="0"/>
              <w:rPr>
                <w:sz w:val="24"/>
                <w:szCs w:val="24"/>
                <w:color w:val="auto"/>
              </w:rPr>
            </w:pPr>
          </w:p>
        </w:tc>
        <w:tc>
          <w:tcPr>
            <w:tcW w:w="31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Pennsylvania</w:t>
            </w:r>
          </w:p>
        </w:tc>
        <w:tc>
          <w:tcPr>
            <w:tcW w:w="2180" w:type="dxa"/>
            <w:vAlign w:val="bottom"/>
          </w:tcPr>
          <w:p>
            <w:pPr>
              <w:spacing w:after="0"/>
              <w:rPr>
                <w:sz w:val="20"/>
                <w:szCs w:val="20"/>
                <w:color w:val="auto"/>
              </w:rPr>
            </w:pPr>
            <w:r>
              <w:rPr>
                <w:rFonts w:ascii="Times New Roman" w:cs="Times New Roman" w:eastAsia="Times New Roman" w:hAnsi="Times New Roman"/>
                <w:sz w:val="20"/>
                <w:szCs w:val="20"/>
                <w:color w:val="auto"/>
              </w:rPr>
              <w:t>United States</w:t>
            </w:r>
          </w:p>
        </w:tc>
      </w:tr>
      <w:tr>
        <w:trPr>
          <w:trHeight w:val="432"/>
        </w:trPr>
        <w:tc>
          <w:tcPr>
            <w:tcW w:w="24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Three Square Market, Inc.</w:t>
            </w:r>
          </w:p>
        </w:tc>
        <w:tc>
          <w:tcPr>
            <w:tcW w:w="440" w:type="dxa"/>
            <w:vAlign w:val="bottom"/>
          </w:tcPr>
          <w:p>
            <w:pPr>
              <w:spacing w:after="0"/>
              <w:rPr>
                <w:sz w:val="24"/>
                <w:szCs w:val="24"/>
                <w:color w:val="auto"/>
              </w:rPr>
            </w:pPr>
          </w:p>
        </w:tc>
        <w:tc>
          <w:tcPr>
            <w:tcW w:w="31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Wisconsin</w:t>
            </w:r>
          </w:p>
        </w:tc>
        <w:tc>
          <w:tcPr>
            <w:tcW w:w="2180" w:type="dxa"/>
            <w:vAlign w:val="bottom"/>
          </w:tcPr>
          <w:p>
            <w:pPr>
              <w:spacing w:after="0"/>
              <w:rPr>
                <w:sz w:val="20"/>
                <w:szCs w:val="20"/>
                <w:color w:val="auto"/>
              </w:rPr>
            </w:pPr>
            <w:r>
              <w:rPr>
                <w:rFonts w:ascii="Times New Roman" w:cs="Times New Roman" w:eastAsia="Times New Roman" w:hAnsi="Times New Roman"/>
                <w:sz w:val="20"/>
                <w:szCs w:val="20"/>
                <w:color w:val="auto"/>
              </w:rPr>
              <w:t>United States</w:t>
            </w:r>
          </w:p>
        </w:tc>
      </w:tr>
      <w:tr>
        <w:trPr>
          <w:trHeight w:val="432"/>
        </w:trPr>
        <w:tc>
          <w:tcPr>
            <w:tcW w:w="240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9"/>
              </w:rPr>
              <w:t>Three Square Market Limited</w:t>
            </w:r>
          </w:p>
        </w:tc>
        <w:tc>
          <w:tcPr>
            <w:tcW w:w="4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80" w:type="dxa"/>
            <w:vAlign w:val="bottom"/>
          </w:tcPr>
          <w:p>
            <w:pPr>
              <w:spacing w:after="0"/>
              <w:rPr>
                <w:sz w:val="20"/>
                <w:szCs w:val="20"/>
                <w:color w:val="auto"/>
              </w:rPr>
            </w:pPr>
            <w:r>
              <w:rPr>
                <w:rFonts w:ascii="Times New Roman" w:cs="Times New Roman" w:eastAsia="Times New Roman" w:hAnsi="Times New Roman"/>
                <w:sz w:val="20"/>
                <w:szCs w:val="20"/>
                <w:color w:val="auto"/>
              </w:rPr>
              <w:t>United Kingdom</w:t>
            </w:r>
          </w:p>
        </w:tc>
      </w:tr>
      <w:tr>
        <w:trPr>
          <w:trHeight w:val="310"/>
        </w:trPr>
        <w:tc>
          <w:tcPr>
            <w:tcW w:w="598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Cheq Lifestyle Technology, Inc.</w:t>
            </w:r>
          </w:p>
        </w:tc>
        <w:tc>
          <w:tcPr>
            <w:tcW w:w="2180" w:type="dxa"/>
            <w:vAlign w:val="bottom"/>
          </w:tcPr>
          <w:p>
            <w:pPr>
              <w:spacing w:after="0"/>
              <w:rPr>
                <w:sz w:val="20"/>
                <w:szCs w:val="20"/>
                <w:color w:val="auto"/>
              </w:rPr>
            </w:pPr>
            <w:r>
              <w:rPr>
                <w:rFonts w:ascii="Times New Roman" w:cs="Times New Roman" w:eastAsia="Times New Roman" w:hAnsi="Times New Roman"/>
                <w:sz w:val="20"/>
                <w:szCs w:val="20"/>
                <w:color w:val="auto"/>
              </w:rPr>
              <w:t>United States</w:t>
            </w:r>
          </w:p>
        </w:tc>
      </w:tr>
    </w:tbl>
    <w:p>
      <w:pPr>
        <w:sectPr>
          <w:pgSz w:w="11900" w:h="16838" w:orient="portrait"/>
          <w:cols w:equalWidth="0" w:num="1">
            <w:col w:w="11220"/>
          </w:cols>
          <w:pgMar w:left="340" w:top="1418" w:right="33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20"/>
          <w:szCs w:val="20"/>
          <w:b w:val="1"/>
          <w:bCs w:val="1"/>
          <w:color w:val="auto"/>
        </w:rPr>
        <w:t>Exhibit 23.1</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Consent of Independent Registered Public Accounting Firm</w:t>
      </w:r>
    </w:p>
    <w:p>
      <w:pPr>
        <w:spacing w:after="0" w:line="2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Nos. 333-368997, 333-248106, 333-248105, 333-217818, 333-234233, and 333-199009 on Form S-8 of our reports dated September 10, 2024, relating to the financial statements of Cantaloupe, Inc. and the effectiveness of Cantaloupe, Inc.'s internal control over financial reporting appearing in this Annual Report on Form 10-K for the year ended June 30, 2024.</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Atlanta, Georgia</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10, 2024</w:t>
      </w:r>
    </w:p>
    <w:p>
      <w:pPr>
        <w:sectPr>
          <w:pgSz w:w="11900" w:h="16838" w:orient="portrait"/>
          <w:cols w:equalWidth="0" w:num="1">
            <w:col w:w="11240"/>
          </w:cols>
          <w:pgMar w:left="320" w:top="896" w:right="33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20"/>
          <w:szCs w:val="20"/>
          <w:b w:val="1"/>
          <w:bCs w:val="1"/>
          <w:color w:val="auto"/>
        </w:rPr>
        <w:t>Exhibit 23.2</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Consent of Independent Registered Public Accounting Firm</w:t>
      </w:r>
    </w:p>
    <w:p>
      <w:pPr>
        <w:spacing w:after="0" w:line="2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S-8 (Nos. 333-268997, 333-248106, 333-248105, 333-234233, 333-217818, and 333-199009) of Cantaloupe, Inc. of our report dated September 25, 2023, relating to the consolidated financial statements, which appears in this Annual Report on Form 10-K.</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 P.C.</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Richmond, Virginia</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10, 2024</w:t>
      </w:r>
    </w:p>
    <w:p>
      <w:pPr>
        <w:sectPr>
          <w:pgSz w:w="11900" w:h="16838" w:orient="portrait"/>
          <w:cols w:equalWidth="0" w:num="1">
            <w:col w:w="11240"/>
          </w:cols>
          <w:pgMar w:left="320" w:top="896" w:right="339"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UNDER THE SECURITIES EXCHANGE ACT OF 1934</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Ravi Venkatesan, certify that:</w:t>
      </w:r>
    </w:p>
    <w:p>
      <w:pPr>
        <w:spacing w:after="0" w:line="185" w:lineRule="exact"/>
        <w:rPr>
          <w:sz w:val="20"/>
          <w:szCs w:val="20"/>
          <w:color w:val="auto"/>
        </w:rPr>
      </w:pPr>
    </w:p>
    <w:p>
      <w:pPr>
        <w:ind w:left="340" w:hanging="332"/>
        <w:spacing w:after="0"/>
        <w:tabs>
          <w:tab w:leader="none" w:pos="3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Cantaloupe, Inc.;</w:t>
      </w:r>
    </w:p>
    <w:p>
      <w:pPr>
        <w:spacing w:after="0" w:line="184"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660" w:right="680" w:hanging="328"/>
        <w:spacing w:after="0" w:line="312" w:lineRule="auto"/>
        <w:tabs>
          <w:tab w:leader="none" w:pos="650" w:val="left"/>
        </w:tabs>
        <w:numPr>
          <w:ilvl w:val="1"/>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upon such evaluation; and</w:t>
      </w:r>
    </w:p>
    <w:p>
      <w:pPr>
        <w:spacing w:after="0" w:line="99" w:lineRule="exact"/>
        <w:rPr>
          <w:rFonts w:ascii="Times New Roman" w:cs="Times New Roman" w:eastAsia="Times New Roman" w:hAnsi="Times New Roman"/>
          <w:sz w:val="17"/>
          <w:szCs w:val="17"/>
          <w:color w:val="auto"/>
        </w:rPr>
      </w:pPr>
    </w:p>
    <w:p>
      <w:pPr>
        <w:ind w:left="660" w:right="140" w:hanging="328"/>
        <w:spacing w:after="0" w:line="266" w:lineRule="auto"/>
        <w:tabs>
          <w:tab w:leader="none" w:pos="66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6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81"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8"/>
          <w:szCs w:val="18"/>
          <w:color w:val="auto"/>
        </w:rPr>
        <w:t>Date: September 10, 2024</w:t>
      </w:r>
      <w:r>
        <w:rPr>
          <w:sz w:val="20"/>
          <w:szCs w:val="20"/>
          <w:color w:val="auto"/>
        </w:rPr>
        <w:tab/>
      </w:r>
      <w:r>
        <w:rPr>
          <w:rFonts w:ascii="Times New Roman" w:cs="Times New Roman" w:eastAsia="Times New Roman" w:hAnsi="Times New Roman"/>
          <w:sz w:val="17"/>
          <w:szCs w:val="17"/>
          <w:color w:val="auto"/>
        </w:rPr>
        <w:t>/s/ Ravi Venkatesan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4901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3">
                      <a:extLst>
                        <a:ext uri="{28A0092B-C50C-407E-A947-70E740481C1C}"/>
                      </a:extLst>
                    </a:blip>
                    <a:srcRect/>
                    <a:stretch>
                      <a:fillRect/>
                    </a:stretch>
                  </pic:blipFill>
                  <pic:spPr bwMode="auto">
                    <a:xfrm>
                      <a:off x="0" y="0"/>
                      <a:ext cx="3549015" cy="8890"/>
                    </a:xfrm>
                    <a:prstGeom prst="rect">
                      <a:avLst/>
                    </a:prstGeom>
                    <a:noFill/>
                  </pic:spPr>
                </pic:pic>
              </a:graphicData>
            </a:graphic>
          </wp:anchor>
        </w:drawing>
      </w:r>
    </w:p>
    <w:p>
      <w:pPr>
        <w:spacing w:after="0" w:line="3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Ravi Venkatesan</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887" w:right="33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UNDER THE SECURITIES EXCHANGE ACT OF 1934</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Scott Stewart, certify that:</w:t>
      </w:r>
    </w:p>
    <w:p>
      <w:pPr>
        <w:spacing w:after="0" w:line="185" w:lineRule="exact"/>
        <w:rPr>
          <w:sz w:val="20"/>
          <w:szCs w:val="20"/>
          <w:color w:val="auto"/>
        </w:rPr>
      </w:pPr>
    </w:p>
    <w:p>
      <w:pPr>
        <w:ind w:left="340" w:hanging="332"/>
        <w:spacing w:after="0"/>
        <w:tabs>
          <w:tab w:leader="none" w:pos="3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Cantaloupe, Inc.;</w:t>
      </w:r>
    </w:p>
    <w:p>
      <w:pPr>
        <w:spacing w:after="0" w:line="184"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660" w:right="680" w:hanging="328"/>
        <w:spacing w:after="0" w:line="312" w:lineRule="auto"/>
        <w:tabs>
          <w:tab w:leader="none" w:pos="650" w:val="left"/>
        </w:tabs>
        <w:numPr>
          <w:ilvl w:val="1"/>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upon such evaluation; and</w:t>
      </w:r>
    </w:p>
    <w:p>
      <w:pPr>
        <w:spacing w:after="0" w:line="99" w:lineRule="exact"/>
        <w:rPr>
          <w:rFonts w:ascii="Times New Roman" w:cs="Times New Roman" w:eastAsia="Times New Roman" w:hAnsi="Times New Roman"/>
          <w:sz w:val="17"/>
          <w:szCs w:val="17"/>
          <w:color w:val="auto"/>
        </w:rPr>
      </w:pPr>
    </w:p>
    <w:p>
      <w:pPr>
        <w:ind w:left="660" w:right="140" w:hanging="328"/>
        <w:spacing w:after="0" w:line="266" w:lineRule="auto"/>
        <w:tabs>
          <w:tab w:leader="none" w:pos="66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6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81" w:lineRule="exact"/>
        <w:rPr>
          <w:sz w:val="20"/>
          <w:szCs w:val="20"/>
          <w:color w:val="auto"/>
        </w:rPr>
      </w:pPr>
    </w:p>
    <w:p>
      <w:pPr>
        <w:ind w:left="20"/>
        <w:spacing w:after="0"/>
        <w:tabs>
          <w:tab w:leader="none" w:pos="5580" w:val="left"/>
        </w:tabs>
        <w:rPr>
          <w:sz w:val="20"/>
          <w:szCs w:val="20"/>
          <w:color w:val="auto"/>
        </w:rPr>
      </w:pPr>
      <w:r>
        <w:rPr>
          <w:rFonts w:ascii="Times New Roman" w:cs="Times New Roman" w:eastAsia="Times New Roman" w:hAnsi="Times New Roman"/>
          <w:sz w:val="18"/>
          <w:szCs w:val="18"/>
          <w:color w:val="auto"/>
        </w:rPr>
        <w:t>Date: September 10, 2024</w:t>
      </w:r>
      <w:r>
        <w:rPr>
          <w:sz w:val="20"/>
          <w:szCs w:val="20"/>
          <w:color w:val="auto"/>
        </w:rPr>
        <w:tab/>
      </w:r>
      <w:r>
        <w:rPr>
          <w:rFonts w:ascii="Times New Roman" w:cs="Times New Roman" w:eastAsia="Times New Roman" w:hAnsi="Times New Roman"/>
          <w:sz w:val="17"/>
          <w:szCs w:val="17"/>
          <w:color w:val="auto"/>
        </w:rPr>
        <w:t>/s/ Scott Stewart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17145</wp:posOffset>
            </wp:positionV>
            <wp:extent cx="357505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4">
                      <a:extLst>
                        <a:ext uri="{28A0092B-C50C-407E-A947-70E740481C1C}"/>
                      </a:extLst>
                    </a:blip>
                    <a:srcRect/>
                    <a:stretch>
                      <a:fillRect/>
                    </a:stretch>
                  </pic:blipFill>
                  <pic:spPr bwMode="auto">
                    <a:xfrm>
                      <a:off x="0" y="0"/>
                      <a:ext cx="3575050" cy="8255"/>
                    </a:xfrm>
                    <a:prstGeom prst="rect">
                      <a:avLst/>
                    </a:prstGeom>
                    <a:noFill/>
                  </pic:spPr>
                </pic:pic>
              </a:graphicData>
            </a:graphic>
          </wp:anchor>
        </w:drawing>
      </w:r>
    </w:p>
    <w:p>
      <w:pPr>
        <w:spacing w:after="0" w:line="3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Scott Stewart</w:t>
      </w:r>
    </w:p>
    <w:p>
      <w:pPr>
        <w:spacing w:after="0" w:line="2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887" w:right="33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8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CERTIFICATIONS OF CHIEF EXECUTIVE OFFICER PURSUANT TO SECTION 906 OF THE SARBANES-OXLEY ACT OF 2002 (18 U.S.C. SECTION 1350)</w:t>
      </w:r>
    </w:p>
    <w:p>
      <w:pPr>
        <w:spacing w:after="0" w:line="107" w:lineRule="exact"/>
        <w:rPr>
          <w:sz w:val="20"/>
          <w:szCs w:val="20"/>
          <w:color w:val="auto"/>
        </w:rPr>
      </w:pPr>
    </w:p>
    <w:p>
      <w:pPr>
        <w:jc w:val="both"/>
        <w:ind w:right="80"/>
        <w:spacing w:after="0" w:line="236" w:lineRule="exact"/>
        <w:rPr>
          <w:sz w:val="20"/>
          <w:szCs w:val="20"/>
          <w:color w:val="auto"/>
        </w:rPr>
      </w:pPr>
      <w:r>
        <w:rPr>
          <w:rFonts w:ascii="Times New Roman" w:cs="Times New Roman" w:eastAsia="Times New Roman" w:hAnsi="Times New Roman"/>
          <w:sz w:val="18"/>
          <w:szCs w:val="18"/>
          <w:color w:val="auto"/>
        </w:rPr>
        <w:t>In connection with the Annual Report of Cantaloupe, Inc., a Pennsylvania corporation (the “Company”),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the period ended June 30, 2024 (the “Report”), I, Ravi Venkatesan, Chief Executive Officer of the Company, hereby certify, pursuant to 18 U.S.C. § 1350, as adopted pursuant to § 906 of the Sarbanes-Oxley Act of 2002, that, to my knowledge:</w:t>
      </w:r>
    </w:p>
    <w:p>
      <w:pPr>
        <w:spacing w:after="0" w:line="158" w:lineRule="exact"/>
        <w:rPr>
          <w:sz w:val="20"/>
          <w:szCs w:val="20"/>
          <w:color w:val="auto"/>
        </w:rPr>
      </w:pPr>
    </w:p>
    <w:p>
      <w:pPr>
        <w:ind w:left="640" w:hanging="308"/>
        <w:spacing w:after="0"/>
        <w:tabs>
          <w:tab w:leader="none" w:pos="6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84"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76" w:lineRule="exact"/>
        <w:rPr>
          <w:sz w:val="20"/>
          <w:szCs w:val="20"/>
          <w:color w:val="auto"/>
        </w:rPr>
      </w:pPr>
    </w:p>
    <w:p>
      <w:pPr>
        <w:ind w:left="20"/>
        <w:spacing w:after="0"/>
        <w:tabs>
          <w:tab w:leader="none" w:pos="5580" w:val="left"/>
        </w:tabs>
        <w:rPr>
          <w:sz w:val="20"/>
          <w:szCs w:val="20"/>
          <w:color w:val="auto"/>
        </w:rPr>
      </w:pPr>
      <w:r>
        <w:rPr>
          <w:rFonts w:ascii="Times New Roman" w:cs="Times New Roman" w:eastAsia="Times New Roman" w:hAnsi="Times New Roman"/>
          <w:sz w:val="18"/>
          <w:szCs w:val="18"/>
          <w:color w:val="auto"/>
        </w:rPr>
        <w:t>Date: September 10, 2024</w:t>
      </w:r>
      <w:r>
        <w:rPr>
          <w:sz w:val="20"/>
          <w:szCs w:val="20"/>
          <w:color w:val="auto"/>
        </w:rPr>
        <w:tab/>
      </w:r>
      <w:r>
        <w:rPr>
          <w:rFonts w:ascii="Times New Roman" w:cs="Times New Roman" w:eastAsia="Times New Roman" w:hAnsi="Times New Roman"/>
          <w:sz w:val="17"/>
          <w:szCs w:val="17"/>
          <w:color w:val="auto"/>
        </w:rPr>
        <w:t>/s/ Ravi Venkatesan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34290</wp:posOffset>
            </wp:positionV>
            <wp:extent cx="357505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5">
                      <a:extLst>
                        <a:ext uri="{28A0092B-C50C-407E-A947-70E740481C1C}"/>
                      </a:extLst>
                    </a:blip>
                    <a:srcRect/>
                    <a:stretch>
                      <a:fillRect/>
                    </a:stretch>
                  </pic:blipFill>
                  <pic:spPr bwMode="auto">
                    <a:xfrm>
                      <a:off x="0" y="0"/>
                      <a:ext cx="3575050" cy="8890"/>
                    </a:xfrm>
                    <a:prstGeom prst="rect">
                      <a:avLst/>
                    </a:prstGeom>
                    <a:noFill/>
                  </pic:spPr>
                </pic:pic>
              </a:graphicData>
            </a:graphic>
          </wp:anchor>
        </w:drawing>
      </w:r>
    </w:p>
    <w:p>
      <w:pPr>
        <w:spacing w:after="0" w:line="5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Ravi Venkatesan</w:t>
      </w:r>
    </w:p>
    <w:p>
      <w:pPr>
        <w:spacing w:after="0" w:line="2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887" w:right="33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85" w:lineRule="exact"/>
        <w:rPr>
          <w:sz w:val="20"/>
          <w:szCs w:val="20"/>
          <w:color w:val="auto"/>
        </w:rPr>
      </w:pPr>
    </w:p>
    <w:p>
      <w:pPr>
        <w:jc w:val="center"/>
        <w:ind w:left="340" w:right="276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CERTIFICATIONS OF CHIEF FINANCIAL OFFICER PURSUANT TO SECTION 906 OF THE SARBANES OXLEY ACT OF 2002 (18 U.S.C. SECTION 1350)</w:t>
      </w:r>
    </w:p>
    <w:p>
      <w:pPr>
        <w:spacing w:after="0" w:line="148"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Cantaloupe, Inc., a Pennsylvania corporation (the “Company”), on Form 10-K for the period ended June 30, 2024 (the “Report”), I, Scott Stewart, Chief Financial Officer of the Company, hereby certify, pursuant to 18 U.S.C. § 1350, as adopted pursuant to § 906 of the Sarbanes-Oxley Act of 2002, that, to my knowledge:</w:t>
      </w:r>
    </w:p>
    <w:p>
      <w:pPr>
        <w:spacing w:after="0" w:line="135" w:lineRule="exact"/>
        <w:rPr>
          <w:sz w:val="20"/>
          <w:szCs w:val="20"/>
          <w:color w:val="auto"/>
        </w:rPr>
      </w:pPr>
    </w:p>
    <w:p>
      <w:pPr>
        <w:ind w:left="640" w:hanging="308"/>
        <w:spacing w:after="0"/>
        <w:tabs>
          <w:tab w:leader="none" w:pos="6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84"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63" w:lineRule="exact"/>
        <w:rPr>
          <w:sz w:val="20"/>
          <w:szCs w:val="20"/>
          <w:color w:val="auto"/>
        </w:rPr>
      </w:pPr>
    </w:p>
    <w:p>
      <w:pPr>
        <w:ind w:left="20"/>
        <w:spacing w:after="0"/>
        <w:tabs>
          <w:tab w:leader="none" w:pos="5600" w:val="left"/>
        </w:tabs>
        <w:rPr>
          <w:sz w:val="20"/>
          <w:szCs w:val="20"/>
          <w:color w:val="auto"/>
        </w:rPr>
      </w:pPr>
      <w:r>
        <w:rPr>
          <w:rFonts w:ascii="Times New Roman" w:cs="Times New Roman" w:eastAsia="Times New Roman" w:hAnsi="Times New Roman"/>
          <w:sz w:val="18"/>
          <w:szCs w:val="18"/>
          <w:color w:val="auto"/>
        </w:rPr>
        <w:t>Date: September 10, 2024</w:t>
      </w:r>
      <w:r>
        <w:rPr>
          <w:sz w:val="20"/>
          <w:szCs w:val="20"/>
          <w:color w:val="auto"/>
        </w:rPr>
        <w:tab/>
      </w:r>
      <w:r>
        <w:rPr>
          <w:rFonts w:ascii="Times New Roman" w:cs="Times New Roman" w:eastAsia="Times New Roman" w:hAnsi="Times New Roman"/>
          <w:sz w:val="17"/>
          <w:szCs w:val="17"/>
          <w:color w:val="auto"/>
        </w:rPr>
        <w:t>/s/ Scott Stewart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17145</wp:posOffset>
            </wp:positionV>
            <wp:extent cx="355727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6">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Scott Stewart</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887" w:right="33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18"/>
          <w:szCs w:val="18"/>
          <w:b w:val="1"/>
          <w:bCs w:val="1"/>
          <w:color w:val="auto"/>
        </w:rPr>
        <w:t>Exhibit 97.1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Cantaloupe,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Incentive Compensation Clawback Policy</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(Effective as of October 2, 2023)</w:t>
      </w:r>
    </w:p>
    <w:p>
      <w:pPr>
        <w:spacing w:after="0" w:line="24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of Cantaloupe,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has determined that, in addition to the Company’s Dodd-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Frank Wall Street Reform and Consumer Protection Act of 2010 clawback policy applicable to executive officers (the “</w:t>
      </w:r>
      <w:r>
        <w:rPr>
          <w:rFonts w:ascii="Times New Roman" w:cs="Times New Roman" w:eastAsia="Times New Roman" w:hAnsi="Times New Roman"/>
          <w:sz w:val="17"/>
          <w:szCs w:val="17"/>
          <w:b w:val="1"/>
          <w:bCs w:val="1"/>
          <w:color w:val="auto"/>
        </w:rPr>
        <w:t>Dodd-Frank Clawback Policy</w:t>
      </w:r>
      <w:r>
        <w:rPr>
          <w:rFonts w:ascii="Times New Roman" w:cs="Times New Roman" w:eastAsia="Times New Roman" w:hAnsi="Times New Roman"/>
          <w:sz w:val="17"/>
          <w:szCs w:val="17"/>
          <w:color w:val="auto"/>
        </w:rPr>
        <w:t>”), it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 in the best interests of the Company and its shareholders to continue to maintain this Cantaloupe, Inc. Amended and Restated Incentive Compensation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Policy (this “</w:t>
      </w:r>
      <w:r>
        <w:rPr>
          <w:rFonts w:ascii="Times New Roman" w:cs="Times New Roman" w:eastAsia="Times New Roman" w:hAnsi="Times New Roman"/>
          <w:sz w:val="18"/>
          <w:szCs w:val="18"/>
          <w:b w:val="1"/>
          <w:bCs w:val="1"/>
          <w:color w:val="auto"/>
        </w:rPr>
        <w:t>Policy</w:t>
      </w:r>
      <w:r>
        <w:rPr>
          <w:rFonts w:ascii="Times New Roman" w:cs="Times New Roman" w:eastAsia="Times New Roman" w:hAnsi="Times New Roman"/>
          <w:sz w:val="18"/>
          <w:szCs w:val="18"/>
          <w:color w:val="auto"/>
        </w:rPr>
        <w:t>”) as a matter of good corporate governance, to reinforce accountability and the Company’s pay-for-performance compensation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philosophy. Under this Policy, the Company may, in its sole discretion, based upon the recommendation of its Compensation Committee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Committee</w:t>
      </w:r>
      <w:r>
        <w:rPr>
          <w:rFonts w:ascii="Times New Roman" w:cs="Times New Roman" w:eastAsia="Times New Roman" w:hAnsi="Times New Roman"/>
          <w:sz w:val="18"/>
          <w:szCs w:val="18"/>
          <w:color w:val="auto"/>
        </w:rPr>
        <w:t>”), require the return, repayment, or forfeiture of any cash, equity, or equity-based incentive compensation payment or award made or granted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any Covered Person (as defined below) as set forth in this Policy. Any determinations made by the Board under this Policy shall be final and binding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affected individuals.</w:t>
      </w:r>
    </w:p>
    <w:p>
      <w:pPr>
        <w:spacing w:after="0" w:line="230" w:lineRule="exact"/>
        <w:rPr>
          <w:sz w:val="20"/>
          <w:szCs w:val="20"/>
          <w:color w:val="auto"/>
        </w:rPr>
      </w:pPr>
    </w:p>
    <w:p>
      <w:pPr>
        <w:ind w:left="1000" w:hanging="344"/>
        <w:spacing w:after="0"/>
        <w:tabs>
          <w:tab w:leader="none" w:pos="1000"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Restatements</w:t>
      </w:r>
    </w:p>
    <w:p>
      <w:pPr>
        <w:spacing w:after="0" w:line="256" w:lineRule="exact"/>
        <w:rPr>
          <w:sz w:val="20"/>
          <w:szCs w:val="20"/>
          <w:color w:val="auto"/>
        </w:rPr>
      </w:pPr>
    </w:p>
    <w:p>
      <w:pPr>
        <w:jc w:val="both"/>
        <w:ind w:right="200" w:firstLine="1296"/>
        <w:spacing w:after="0" w:line="266" w:lineRule="auto"/>
        <w:rPr>
          <w:sz w:val="20"/>
          <w:szCs w:val="20"/>
          <w:color w:val="auto"/>
        </w:rPr>
      </w:pPr>
      <w:r>
        <w:rPr>
          <w:rFonts w:ascii="Times New Roman" w:cs="Times New Roman" w:eastAsia="Times New Roman" w:hAnsi="Times New Roman"/>
          <w:sz w:val="18"/>
          <w:szCs w:val="18"/>
          <w:color w:val="auto"/>
        </w:rPr>
        <w:t>In the event of a restatement of the Company’s financial results (other than due to a change in applicable accounting methods, rules, or interpretations) the result of which is that any incentive compensation paid, settled, or awarded to a Covered Person would have been lower or none at all had it been calculated based on such restated results, the Committee shall review such incentive compensation.</w:t>
      </w:r>
    </w:p>
    <w:p>
      <w:pPr>
        <w:spacing w:after="0" w:line="203" w:lineRule="exact"/>
        <w:rPr>
          <w:sz w:val="20"/>
          <w:szCs w:val="20"/>
          <w:color w:val="auto"/>
        </w:rPr>
      </w:pPr>
    </w:p>
    <w:p>
      <w:pPr>
        <w:ind w:right="80" w:firstLine="1296"/>
        <w:spacing w:after="0" w:line="258" w:lineRule="auto"/>
        <w:rPr>
          <w:sz w:val="20"/>
          <w:szCs w:val="20"/>
          <w:color w:val="auto"/>
        </w:rPr>
      </w:pPr>
      <w:r>
        <w:rPr>
          <w:rFonts w:ascii="Times New Roman" w:cs="Times New Roman" w:eastAsia="Times New Roman" w:hAnsi="Times New Roman"/>
          <w:sz w:val="18"/>
          <w:szCs w:val="18"/>
          <w:color w:val="auto"/>
        </w:rPr>
        <w:t>If the Committee determines that (i) the amount of any incentive compensation actually paid, settled, or awarded to a Covered Person (the “</w:t>
      </w:r>
      <w:r>
        <w:rPr>
          <w:rFonts w:ascii="Times New Roman" w:cs="Times New Roman" w:eastAsia="Times New Roman" w:hAnsi="Times New Roman"/>
          <w:sz w:val="18"/>
          <w:szCs w:val="18"/>
          <w:b w:val="1"/>
          <w:bCs w:val="1"/>
          <w:color w:val="auto"/>
        </w:rPr>
        <w:t>Awarded Compensation</w:t>
      </w:r>
      <w:r>
        <w:rPr>
          <w:rFonts w:ascii="Times New Roman" w:cs="Times New Roman" w:eastAsia="Times New Roman" w:hAnsi="Times New Roman"/>
          <w:sz w:val="18"/>
          <w:szCs w:val="18"/>
          <w:color w:val="auto"/>
        </w:rPr>
        <w:t>”) would have been a lower amount had it been calculated based upon the restated financial results (the “</w:t>
      </w:r>
      <w:r>
        <w:rPr>
          <w:rFonts w:ascii="Times New Roman" w:cs="Times New Roman" w:eastAsia="Times New Roman" w:hAnsi="Times New Roman"/>
          <w:sz w:val="18"/>
          <w:szCs w:val="18"/>
          <w:b w:val="1"/>
          <w:bCs w:val="1"/>
          <w:color w:val="auto"/>
        </w:rPr>
        <w:t>Actual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Compensation</w:t>
      </w:r>
      <w:r>
        <w:rPr>
          <w:rFonts w:ascii="Times New Roman" w:cs="Times New Roman" w:eastAsia="Times New Roman" w:hAnsi="Times New Roman"/>
          <w:sz w:val="18"/>
          <w:szCs w:val="18"/>
          <w:color w:val="auto"/>
        </w:rPr>
        <w:t>”), and (ii) that the Covered Person engaged in fraud or intentional misconduct that contributed to the need for the restatement, then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 shall, except as provided below, recommend to the Board that the Covered Person be required to return, repay, or forfeit the difference between the Awarded Compensation and the Actual Compensation.</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II. Other Violations</w:t>
      </w:r>
    </w:p>
    <w:p>
      <w:pPr>
        <w:spacing w:after="0" w:line="256" w:lineRule="exact"/>
        <w:rPr>
          <w:sz w:val="20"/>
          <w:szCs w:val="20"/>
          <w:color w:val="auto"/>
        </w:rPr>
      </w:pPr>
    </w:p>
    <w:p>
      <w:pPr>
        <w:ind w:right="100" w:firstLine="1296"/>
        <w:spacing w:after="0" w:line="256" w:lineRule="auto"/>
        <w:rPr>
          <w:sz w:val="20"/>
          <w:szCs w:val="20"/>
          <w:color w:val="auto"/>
        </w:rPr>
      </w:pPr>
      <w:r>
        <w:rPr>
          <w:rFonts w:ascii="Times New Roman" w:cs="Times New Roman" w:eastAsia="Times New Roman" w:hAnsi="Times New Roman"/>
          <w:sz w:val="18"/>
          <w:szCs w:val="18"/>
          <w:color w:val="auto"/>
        </w:rPr>
        <w:t>If the Board determines that a Covered Person engaged in intentional misconduct or fraud, or knowingly violated any law, regulation, or Company policy (including, without limitation, any Code of Conduct or employee handbook) in connection with his or her employment or engagement by the Company, resulting in significant reputational or financial harm to the Company, the Board may, upon recommendation of the Committee, within one year following payment or vesting of the incentive compensation, seek recovery of all or a portion of the incentive compensation awarded or paid to the Covered Person (or in which such Covered Person vested) for the performance period (or vesting period) in which the violation occurred. In addition, the Board may conclude that any unpaid or unvested incentive compensation has not been earned and must be forfeited.</w:t>
      </w:r>
    </w:p>
    <w:p>
      <w:pPr>
        <w:spacing w:after="0" w:line="214" w:lineRule="exact"/>
        <w:rPr>
          <w:sz w:val="20"/>
          <w:szCs w:val="20"/>
          <w:color w:val="auto"/>
        </w:rPr>
      </w:pPr>
    </w:p>
    <w:p>
      <w:pPr>
        <w:ind w:firstLine="1296"/>
        <w:spacing w:after="0" w:line="256" w:lineRule="auto"/>
        <w:rPr>
          <w:sz w:val="20"/>
          <w:szCs w:val="20"/>
          <w:color w:val="auto"/>
        </w:rPr>
      </w:pPr>
      <w:r>
        <w:rPr>
          <w:rFonts w:ascii="Times New Roman" w:cs="Times New Roman" w:eastAsia="Times New Roman" w:hAnsi="Times New Roman"/>
          <w:sz w:val="18"/>
          <w:szCs w:val="18"/>
          <w:color w:val="auto"/>
        </w:rPr>
        <w:t>The Board and the Committee may consider the following, as well as other factors they deem relevant, in connection with its decision to recoup, or cause the forfeiture of, incentive compensation in connection with the commission of a legal, regulatory, or compliance violation: (i) the Company may seek recovery of incentive compensation even if the misconduct did not result in an award or payment greater than would have been awarded absent the misconduct, and (ii) in determining whether to seek recovery and the amount, if any, by which the payment or award should be reduced, the Board and the Committee may consider the seriousness of the compliance violation, whether the Covered Person was unjustly enriched, and any other factors they deem relevant to the determination.</w:t>
      </w:r>
    </w:p>
    <w:p>
      <w:pPr>
        <w:sectPr>
          <w:pgSz w:w="11900" w:h="16838" w:orient="portrait"/>
          <w:cols w:equalWidth="0" w:num="1">
            <w:col w:w="11240"/>
          </w:cols>
          <w:pgMar w:left="320" w:top="1413" w:right="339" w:bottom="1440" w:gutter="0" w:footer="0" w:header="0"/>
        </w:sectPr>
      </w:pPr>
    </w:p>
    <w:bookmarkStart w:id="126" w:name="page127"/>
    <w:bookmarkEnd w:id="126"/>
    <w:p>
      <w:pPr>
        <w:ind w:left="660"/>
        <w:spacing w:after="0"/>
        <w:rPr>
          <w:sz w:val="20"/>
          <w:szCs w:val="20"/>
          <w:color w:val="auto"/>
        </w:rPr>
      </w:pPr>
      <w:r>
        <w:rPr>
          <w:rFonts w:ascii="Times New Roman" w:cs="Times New Roman" w:eastAsia="Times New Roman" w:hAnsi="Times New Roman"/>
          <w:sz w:val="18"/>
          <w:szCs w:val="18"/>
          <w:b w:val="1"/>
          <w:bCs w:val="1"/>
          <w:color w:val="auto"/>
        </w:rPr>
        <w:t>III. Policy Determinations</w:t>
      </w:r>
    </w:p>
    <w:p>
      <w:pPr>
        <w:spacing w:after="0" w:line="256" w:lineRule="exact"/>
        <w:rPr>
          <w:sz w:val="20"/>
          <w:szCs w:val="20"/>
          <w:color w:val="auto"/>
        </w:rPr>
      </w:pPr>
    </w:p>
    <w:p>
      <w:pPr>
        <w:ind w:right="100" w:firstLine="1296"/>
        <w:spacing w:after="0" w:line="253" w:lineRule="auto"/>
        <w:rPr>
          <w:sz w:val="20"/>
          <w:szCs w:val="20"/>
          <w:color w:val="auto"/>
        </w:rPr>
      </w:pPr>
      <w:r>
        <w:rPr>
          <w:rFonts w:ascii="Times New Roman" w:cs="Times New Roman" w:eastAsia="Times New Roman" w:hAnsi="Times New Roman"/>
          <w:sz w:val="18"/>
          <w:szCs w:val="18"/>
          <w:color w:val="auto"/>
        </w:rPr>
        <w:t>The Committee may determine not to recommend (and the Board may determine not to require) a return, repayment, or forfeiture of incentive compensation under this Policy to the extent it determines (i) that to do so would be unreasonable or (ii) that it would not be in the best interests of the Company to do so. In making the determination, the Committee and/or the Board may take into account considerations as it deems appropriate, including but not limited to (A) the likelihood of success in recovering the compensation under governing law versus the cost and effort involved, (B) the passage of time since the occurrence of the act in respect of the applicable intentional misconduct, (C) any threatened or pending legal proceeding relating to the applicable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intentional misconduct, or (D) any other factors the Committee deems relevant.</w:t>
      </w:r>
    </w:p>
    <w:p>
      <w:pPr>
        <w:spacing w:after="0" w:line="234" w:lineRule="exact"/>
        <w:rPr>
          <w:sz w:val="20"/>
          <w:szCs w:val="20"/>
          <w:color w:val="auto"/>
        </w:rPr>
      </w:pPr>
    </w:p>
    <w:p>
      <w:pPr>
        <w:jc w:val="both"/>
        <w:ind w:right="140" w:firstLine="1296"/>
        <w:spacing w:after="0" w:line="266" w:lineRule="auto"/>
        <w:rPr>
          <w:sz w:val="20"/>
          <w:szCs w:val="20"/>
          <w:color w:val="auto"/>
        </w:rPr>
      </w:pPr>
      <w:r>
        <w:rPr>
          <w:rFonts w:ascii="Times New Roman" w:cs="Times New Roman" w:eastAsia="Times New Roman" w:hAnsi="Times New Roman"/>
          <w:sz w:val="18"/>
          <w:szCs w:val="18"/>
          <w:color w:val="auto"/>
        </w:rPr>
        <w:t>If the Board upon recommendation of the Committee determines to seek a clawback pursuant to this Policy, the Company shall make a written demand for repayment from the Covered Person and, if such Covered Person does not within a reasonable period tender repayment in response to the demand, the Company may seek a court order against the Covered Person for such repayment.</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IV. Certain Definitions</w:t>
      </w:r>
    </w:p>
    <w:p>
      <w:pPr>
        <w:spacing w:after="0" w:line="252"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For the purposes of this Policy, the term “</w:t>
      </w:r>
      <w:r>
        <w:rPr>
          <w:rFonts w:ascii="Times New Roman" w:cs="Times New Roman" w:eastAsia="Times New Roman" w:hAnsi="Times New Roman"/>
          <w:sz w:val="18"/>
          <w:szCs w:val="18"/>
          <w:b w:val="1"/>
          <w:bCs w:val="1"/>
          <w:color w:val="auto"/>
        </w:rPr>
        <w:t>Covered Person</w:t>
      </w:r>
      <w:r>
        <w:rPr>
          <w:rFonts w:ascii="Times New Roman" w:cs="Times New Roman" w:eastAsia="Times New Roman" w:hAnsi="Times New Roman"/>
          <w:sz w:val="18"/>
          <w:szCs w:val="18"/>
          <w:color w:val="auto"/>
        </w:rPr>
        <w:t>” shall refer to any former or current (i) chief executive officer, president, chief financial officer, chief operating officer, and chief compliance officer, as well as any other “executive officer” of the Company as defined in Rule 3b-7 under the Securities Exchange Act of 1934, as amended, (ii) any other employee of the Company with a title of Senior Vice President or above, and (iii) any non-employee director on the Board (a “</w:t>
      </w:r>
      <w:r>
        <w:rPr>
          <w:rFonts w:ascii="Times New Roman" w:cs="Times New Roman" w:eastAsia="Times New Roman" w:hAnsi="Times New Roman"/>
          <w:sz w:val="18"/>
          <w:szCs w:val="18"/>
          <w:b w:val="1"/>
          <w:bCs w:val="1"/>
          <w:color w:val="auto"/>
        </w:rPr>
        <w:t>Director</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color w:val="auto"/>
        </w:rPr>
        <w:t>In addition, the term “</w:t>
      </w:r>
      <w:r>
        <w:rPr>
          <w:rFonts w:ascii="Times New Roman" w:cs="Times New Roman" w:eastAsia="Times New Roman" w:hAnsi="Times New Roman"/>
          <w:sz w:val="18"/>
          <w:szCs w:val="18"/>
          <w:b w:val="1"/>
          <w:bCs w:val="1"/>
          <w:color w:val="auto"/>
        </w:rPr>
        <w:t>Incentive Compensation</w:t>
      </w:r>
      <w:r>
        <w:rPr>
          <w:rFonts w:ascii="Times New Roman" w:cs="Times New Roman" w:eastAsia="Times New Roman" w:hAnsi="Times New Roman"/>
          <w:sz w:val="18"/>
          <w:szCs w:val="18"/>
          <w:color w:val="auto"/>
        </w:rPr>
        <w:t>” shall refer to all cash, equity, or equity-based bonuses and other incentive, equity, and equity-based compensation paid, settled, granted, or awarded to a Covered Person.</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V. General</w:t>
      </w:r>
    </w:p>
    <w:p>
      <w:pPr>
        <w:spacing w:after="0" w:line="256" w:lineRule="exact"/>
        <w:rPr>
          <w:sz w:val="20"/>
          <w:szCs w:val="20"/>
          <w:color w:val="auto"/>
        </w:rPr>
      </w:pPr>
    </w:p>
    <w:p>
      <w:pPr>
        <w:ind w:right="4000" w:firstLine="1296"/>
        <w:spacing w:after="0" w:line="282" w:lineRule="auto"/>
        <w:rPr>
          <w:sz w:val="20"/>
          <w:szCs w:val="20"/>
          <w:color w:val="auto"/>
        </w:rPr>
      </w:pPr>
      <w:r>
        <w:rPr>
          <w:rFonts w:ascii="Times New Roman" w:cs="Times New Roman" w:eastAsia="Times New Roman" w:hAnsi="Times New Roman"/>
          <w:sz w:val="18"/>
          <w:szCs w:val="18"/>
          <w:color w:val="auto"/>
        </w:rPr>
        <w:t>The Committee shall review this Policy at such times as it deems appropriate, and propose recommended changes to the Board.</w:t>
      </w:r>
    </w:p>
    <w:p>
      <w:pPr>
        <w:spacing w:after="0" w:line="18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This Policy shall be effective as of October 2, 2023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and shall apply to any incentive compensation to be paid, settled, or awarded to a Covered Person thereafter under any applicable Company compensation policy, plan, or program, and shall be incorporated into any such applicable compensation policy, plan, and program currently adopted or which may be adopted by the Company as of or after the Effective Date. The Board intends that this Policy is a supplement to any other clawback policies in effect now or in the future at the Company, including but not limited to the Dodd-Frank Clawback Policy, as may be amended and/or restated.</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Policy is intended to be in addition to and not in lieu of the terms of the Dodd-Frank Clawback Policy.</w:t>
      </w:r>
    </w:p>
    <w:p>
      <w:pPr>
        <w:spacing w:after="0" w:line="234" w:lineRule="exact"/>
        <w:rPr>
          <w:sz w:val="20"/>
          <w:szCs w:val="20"/>
          <w:color w:val="auto"/>
        </w:rPr>
      </w:pPr>
    </w:p>
    <w:p>
      <w:pPr>
        <w:ind w:right="20" w:firstLine="1296"/>
        <w:spacing w:after="0" w:line="255" w:lineRule="auto"/>
        <w:rPr>
          <w:sz w:val="20"/>
          <w:szCs w:val="20"/>
          <w:color w:val="auto"/>
        </w:rPr>
      </w:pPr>
      <w:r>
        <w:rPr>
          <w:rFonts w:ascii="Times New Roman" w:cs="Times New Roman" w:eastAsia="Times New Roman" w:hAnsi="Times New Roman"/>
          <w:sz w:val="18"/>
          <w:szCs w:val="18"/>
          <w:color w:val="auto"/>
        </w:rPr>
        <w:t>Any recoupment under this Policy may be in addition to any other remedies that may be available to the Company under the Dodd-Frank Clawback Policy and/or applicable law, including disciplinary actions up to and including termination of employment or engagement by the Company; provided, however, if such Dodd-Frank Clawback Policy and/or other law, provides that a greater amount of compensation shall be subject to clawback, such other policy or law shall apply to the amount in excess of the amount subject to clawback under this Policy;</w:t>
      </w:r>
    </w:p>
    <w:p>
      <w:pPr>
        <w:spacing w:after="0" w:line="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provided further, this Policy shall not permit or result in double-recovery for compensation under this Policy that is otherwise subject to the Dodd-Frank Clawback Policy as the intent is only for one-time recovery. To the extent permitted by applicable law, the Board may seek recovery of funds in the manner it chooses, including by seeking reimbursement from a Covered Person of all or part of the compensation awarded or paid, by electing to withhold unpaid compensation, by set off, or by rescinding or cancelling unvested equity or equity-based awards.</w:t>
      </w:r>
    </w:p>
    <w:p>
      <w:pPr>
        <w:spacing w:after="0" w:line="21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Notwithstanding anything to the contrary in this Policy, in the event of any conduct covered by Section I or II of this Policy that results in the unjust enrichment of a Covered Person that was not directly involved in such conduct, the Board may implement the remedies specified in Section I or II of this Policy, as applicable, in</w:t>
      </w:r>
    </w:p>
    <w:p>
      <w:pPr>
        <w:sectPr>
          <w:pgSz w:w="11900" w:h="16838" w:orient="portrait"/>
          <w:cols w:equalWidth="0" w:num="1">
            <w:col w:w="11200"/>
          </w:cols>
          <w:pgMar w:left="320" w:top="1413" w:right="37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color w:val="auto"/>
        </w:rPr>
        <w:t>its sole discretion with respect to the incentive compensation of the Covered Person that was not directly involved in such conduct.</w:t>
      </w:r>
    </w:p>
    <w:p>
      <w:pPr>
        <w:spacing w:after="0" w:line="252"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The failure to exercise its rights under this Policy at any time shall in no way be construed as a waiver of any such provision or limit the Company’s ability to exercise its rights at any time.</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This policy shall be binding and enforceable against all Covered Persons and their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beneficiaries.</w:t>
      </w:r>
    </w:p>
    <w:p>
      <w:pPr>
        <w:spacing w:after="0" w:line="234" w:lineRule="exact"/>
        <w:rPr>
          <w:sz w:val="20"/>
          <w:szCs w:val="20"/>
          <w:color w:val="auto"/>
        </w:rPr>
      </w:pPr>
    </w:p>
    <w:p>
      <w:pPr>
        <w:ind w:right="360" w:firstLine="1296"/>
        <w:spacing w:after="0" w:line="282" w:lineRule="auto"/>
        <w:rPr>
          <w:sz w:val="20"/>
          <w:szCs w:val="20"/>
          <w:color w:val="auto"/>
        </w:rPr>
      </w:pPr>
      <w:r>
        <w:rPr>
          <w:rFonts w:ascii="Times New Roman" w:cs="Times New Roman" w:eastAsia="Times New Roman" w:hAnsi="Times New Roman"/>
          <w:sz w:val="18"/>
          <w:szCs w:val="18"/>
          <w:color w:val="auto"/>
        </w:rPr>
        <w:t>The Board may amend this Policy from time to time in its discretion, including, without limitation, to effectuate any “clawback” or recoupment of incentive compensation provisions required applicable law.</w:t>
      </w:r>
    </w:p>
    <w:sectPr>
      <w:pgSz w:w="11900" w:h="16838" w:orient="portrait"/>
      <w:cols w:equalWidth="0" w:num="1">
        <w:col w:w="11100"/>
      </w:cols>
      <w:pgMar w:left="320" w:top="1417"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53EA438"/>
    <w:multiLevelType w:val="hybridMultilevel"/>
    <w:lvl w:ilvl="0">
      <w:lvlJc w:val="left"/>
      <w:lvlText w:val="☒"/>
      <w:numFmt w:val="bullet"/>
      <w:start w:val="1"/>
    </w:lvl>
  </w:abstractNum>
  <w:abstractNum w:abstractNumId="1">
    <w:nsid w:val="3855585C"/>
    <w:multiLevelType w:val="hybridMultilevel"/>
    <w:lvl w:ilvl="0">
      <w:lvlJc w:val="left"/>
      <w:lvlText w:val="☐"/>
      <w:numFmt w:val="bullet"/>
      <w:start w:val="1"/>
    </w:lvl>
  </w:abstractNum>
  <w:abstractNum w:abstractNumId="2">
    <w:nsid w:val="70A64E2A"/>
    <w:multiLevelType w:val="hybridMultilevel"/>
    <w:lvl w:ilvl="0">
      <w:lvlJc w:val="left"/>
      <w:lvlText w:val="•"/>
      <w:numFmt w:val="bullet"/>
      <w:start w:val="1"/>
    </w:lvl>
  </w:abstractNum>
  <w:abstractNum w:abstractNumId="3">
    <w:nsid w:val="6A2342EC"/>
    <w:multiLevelType w:val="hybridMultilevel"/>
    <w:lvl w:ilvl="0">
      <w:lvlJc w:val="left"/>
      <w:lvlText w:val="•"/>
      <w:numFmt w:val="bullet"/>
      <w:start w:val="1"/>
    </w:lvl>
  </w:abstractNum>
  <w:abstractNum w:abstractNumId="4">
    <w:nsid w:val="2A487CB0"/>
    <w:multiLevelType w:val="hybridMultilevel"/>
    <w:lvl w:ilvl="0">
      <w:lvlJc w:val="left"/>
      <w:lvlText w:val="•"/>
      <w:numFmt w:val="bullet"/>
      <w:start w:val="1"/>
    </w:lvl>
  </w:abstractNum>
  <w:abstractNum w:abstractNumId="5">
    <w:nsid w:val="1D4ED43B"/>
    <w:multiLevelType w:val="hybridMultilevel"/>
    <w:lvl w:ilvl="0">
      <w:lvlJc w:val="left"/>
      <w:lvlText w:val="•"/>
      <w:numFmt w:val="bullet"/>
      <w:start w:val="1"/>
    </w:lvl>
  </w:abstractNum>
  <w:abstractNum w:abstractNumId="6">
    <w:nsid w:val="725A06FB"/>
    <w:multiLevelType w:val="hybridMultilevel"/>
    <w:lvl w:ilvl="0">
      <w:lvlJc w:val="left"/>
      <w:lvlText w:val="•"/>
      <w:numFmt w:val="bullet"/>
      <w:start w:val="1"/>
    </w:lvl>
  </w:abstractNum>
  <w:abstractNum w:abstractNumId="7">
    <w:nsid w:val="2CD89A32"/>
    <w:multiLevelType w:val="hybridMultilevel"/>
    <w:lvl w:ilvl="0">
      <w:lvlJc w:val="left"/>
      <w:lvlText w:val="•"/>
      <w:numFmt w:val="bullet"/>
      <w:start w:val="1"/>
    </w:lvl>
  </w:abstractNum>
  <w:abstractNum w:abstractNumId="8">
    <w:nsid w:val="57E4CCAF"/>
    <w:multiLevelType w:val="hybridMultilevel"/>
    <w:lvl w:ilvl="0">
      <w:lvlJc w:val="left"/>
      <w:lvlText w:val="•"/>
      <w:numFmt w:val="bullet"/>
      <w:start w:val="1"/>
    </w:lvl>
  </w:abstractNum>
  <w:abstractNum w:abstractNumId="9">
    <w:nsid w:val="7A6D8D3C"/>
    <w:multiLevelType w:val="hybridMultilevel"/>
    <w:lvl w:ilvl="0">
      <w:lvlJc w:val="left"/>
      <w:lvlText w:val="•"/>
      <w:numFmt w:val="bullet"/>
      <w:start w:val="1"/>
    </w:lvl>
  </w:abstractNum>
  <w:abstractNum w:abstractNumId="10">
    <w:nsid w:val="4B588F54"/>
    <w:multiLevelType w:val="hybridMultilevel"/>
    <w:lvl w:ilvl="0">
      <w:lvlJc w:val="left"/>
      <w:lvlText w:val="•"/>
      <w:numFmt w:val="bullet"/>
      <w:start w:val="1"/>
    </w:lvl>
  </w:abstractNum>
  <w:abstractNum w:abstractNumId="11">
    <w:nsid w:val="542289EC"/>
    <w:multiLevelType w:val="hybridMultilevel"/>
    <w:lvl w:ilvl="0">
      <w:lvlJc w:val="left"/>
      <w:lvlText w:val="•"/>
      <w:numFmt w:val="bullet"/>
      <w:start w:val="1"/>
    </w:lvl>
  </w:abstractNum>
  <w:abstractNum w:abstractNumId="12">
    <w:nsid w:val="6DE91B18"/>
    <w:multiLevelType w:val="hybridMultilevel"/>
    <w:lvl w:ilvl="0">
      <w:lvlJc w:val="left"/>
      <w:lvlText w:val="•"/>
      <w:numFmt w:val="bullet"/>
      <w:start w:val="1"/>
    </w:lvl>
  </w:abstractNum>
  <w:abstractNum w:abstractNumId="13">
    <w:nsid w:val="38437FDB"/>
    <w:multiLevelType w:val="hybridMultilevel"/>
    <w:lvl w:ilvl="0">
      <w:lvlJc w:val="left"/>
      <w:lvlText w:val="•"/>
      <w:numFmt w:val="bullet"/>
      <w:start w:val="1"/>
    </w:lvl>
  </w:abstractNum>
  <w:abstractNum w:abstractNumId="14">
    <w:nsid w:val="7644A45C"/>
    <w:multiLevelType w:val="hybridMultilevel"/>
    <w:lvl w:ilvl="0">
      <w:lvlJc w:val="left"/>
      <w:lvlText w:val="•"/>
      <w:numFmt w:val="bullet"/>
      <w:start w:val="1"/>
    </w:lvl>
  </w:abstractNum>
  <w:abstractNum w:abstractNumId="15">
    <w:nsid w:val="32FFF902"/>
    <w:multiLevelType w:val="hybridMultilevel"/>
    <w:lvl w:ilvl="0">
      <w:lvlJc w:val="left"/>
      <w:lvlText w:val="•"/>
      <w:numFmt w:val="bullet"/>
      <w:start w:val="1"/>
    </w:lvl>
  </w:abstractNum>
  <w:abstractNum w:abstractNumId="16">
    <w:nsid w:val="684A481A"/>
    <w:multiLevelType w:val="hybridMultilevel"/>
    <w:lvl w:ilvl="0">
      <w:lvlJc w:val="left"/>
      <w:lvlText w:val="•"/>
      <w:numFmt w:val="bullet"/>
      <w:start w:val="1"/>
    </w:lvl>
  </w:abstractNum>
  <w:abstractNum w:abstractNumId="17">
    <w:nsid w:val="579478FE"/>
    <w:multiLevelType w:val="hybridMultilevel"/>
    <w:lvl w:ilvl="0">
      <w:lvlJc w:val="left"/>
      <w:lvlText w:val="(%1)"/>
      <w:numFmt w:val="decimal"/>
      <w:start w:val="1"/>
    </w:lvl>
  </w:abstractNum>
  <w:abstractNum w:abstractNumId="18">
    <w:nsid w:val="749ABB43"/>
    <w:multiLevelType w:val="hybridMultilevel"/>
    <w:lvl w:ilvl="0">
      <w:lvlJc w:val="left"/>
      <w:lvlText w:val="•"/>
      <w:numFmt w:val="bullet"/>
      <w:start w:val="1"/>
    </w:lvl>
  </w:abstractNum>
  <w:abstractNum w:abstractNumId="19">
    <w:nsid w:val="3DC240FB"/>
    <w:multiLevelType w:val="hybridMultilevel"/>
    <w:lvl w:ilvl="0">
      <w:lvlJc w:val="left"/>
      <w:lvlText w:val="•"/>
      <w:numFmt w:val="bullet"/>
      <w:start w:val="1"/>
    </w:lvl>
  </w:abstractNum>
  <w:abstractNum w:abstractNumId="20">
    <w:nsid w:val="1BA026FA"/>
    <w:multiLevelType w:val="hybridMultilevel"/>
    <w:lvl w:ilvl="0">
      <w:lvlJc w:val="left"/>
      <w:lvlText w:val="•"/>
      <w:numFmt w:val="bullet"/>
      <w:start w:val="1"/>
    </w:lvl>
  </w:abstractNum>
  <w:abstractNum w:abstractNumId="21">
    <w:nsid w:val="79A1DEAA"/>
    <w:multiLevelType w:val="hybridMultilevel"/>
    <w:lvl w:ilvl="0">
      <w:lvlJc w:val="left"/>
      <w:lvlText w:val="•"/>
      <w:numFmt w:val="bullet"/>
      <w:start w:val="1"/>
    </w:lvl>
  </w:abstractNum>
  <w:abstractNum w:abstractNumId="22">
    <w:nsid w:val="75C6C33A"/>
    <w:multiLevelType w:val="hybridMultilevel"/>
    <w:lvl w:ilvl="0">
      <w:lvlJc w:val="left"/>
      <w:lvlText w:val="(%1)"/>
      <w:numFmt w:val="decimal"/>
      <w:start w:val="1"/>
    </w:lvl>
  </w:abstractNum>
  <w:abstractNum w:abstractNumId="23">
    <w:nsid w:val="12E685FB"/>
    <w:multiLevelType w:val="hybridMultilevel"/>
    <w:lvl w:ilvl="0">
      <w:lvlJc w:val="left"/>
      <w:lvlText w:val="(%1)"/>
      <w:numFmt w:val="decimal"/>
      <w:start w:val="1"/>
    </w:lvl>
  </w:abstractNum>
  <w:abstractNum w:abstractNumId="24">
    <w:nsid w:val="70C6A529"/>
    <w:multiLevelType w:val="hybridMultilevel"/>
    <w:lvl w:ilvl="0">
      <w:lvlJc w:val="left"/>
      <w:lvlText w:val="(%1)"/>
      <w:numFmt w:val="lowerRoman"/>
      <w:start w:val="3"/>
    </w:lvl>
  </w:abstractNum>
  <w:abstractNum w:abstractNumId="25">
    <w:nsid w:val="520EEDD1"/>
    <w:multiLevelType w:val="hybridMultilevel"/>
    <w:lvl w:ilvl="0">
      <w:lvlJc w:val="left"/>
      <w:lvlText w:val="(%1)"/>
      <w:numFmt w:val="lowerLetter"/>
      <w:start w:val="1"/>
    </w:lvl>
  </w:abstractNum>
  <w:abstractNum w:abstractNumId="26">
    <w:nsid w:val="374A3FE6"/>
    <w:multiLevelType w:val="hybridMultilevel"/>
    <w:lvl w:ilvl="0">
      <w:lvlJc w:val="left"/>
      <w:lvlText w:val="(%1)"/>
      <w:numFmt w:val="lowerLetter"/>
      <w:start w:val="1"/>
    </w:lvl>
  </w:abstractNum>
  <w:abstractNum w:abstractNumId="27">
    <w:nsid w:val="4F4EF005"/>
    <w:multiLevelType w:val="hybridMultilevel"/>
    <w:lvl w:ilvl="0">
      <w:lvlJc w:val="left"/>
      <w:lvlText w:val="•"/>
      <w:numFmt w:val="bullet"/>
      <w:start w:val="1"/>
    </w:lvl>
  </w:abstractNum>
  <w:abstractNum w:abstractNumId="28">
    <w:nsid w:val="23F9C13C"/>
    <w:multiLevelType w:val="hybridMultilevel"/>
    <w:lvl w:ilvl="0">
      <w:lvlJc w:val="left"/>
      <w:lvlText w:val="•"/>
      <w:numFmt w:val="bullet"/>
      <w:start w:val="1"/>
    </w:lvl>
  </w:abstractNum>
  <w:abstractNum w:abstractNumId="29">
    <w:nsid w:val="649BB77C"/>
    <w:multiLevelType w:val="hybridMultilevel"/>
    <w:lvl w:ilvl="0">
      <w:lvlJc w:val="left"/>
      <w:lvlText w:val="•"/>
      <w:numFmt w:val="bullet"/>
      <w:start w:val="1"/>
    </w:lvl>
  </w:abstractNum>
  <w:abstractNum w:abstractNumId="30">
    <w:nsid w:val="275AC794"/>
    <w:multiLevelType w:val="hybridMultilevel"/>
    <w:lvl w:ilvl="0">
      <w:lvlJc w:val="left"/>
      <w:lvlText w:val="(%1)"/>
      <w:numFmt w:val="lowerRoman"/>
      <w:start w:val="4"/>
    </w:lvl>
  </w:abstractNum>
  <w:abstractNum w:abstractNumId="31">
    <w:nsid w:val="39386575"/>
    <w:multiLevelType w:val="hybridMultilevel"/>
    <w:lvl w:ilvl="0">
      <w:lvlJc w:val="left"/>
      <w:lvlText w:val="(%1)"/>
      <w:numFmt w:val="lowerLetter"/>
      <w:start w:val="1"/>
    </w:lvl>
  </w:abstractNum>
  <w:abstractNum w:abstractNumId="32">
    <w:nsid w:val="1CF10FD8"/>
    <w:multiLevelType w:val="hybridMultilevel"/>
    <w:lvl w:ilvl="0">
      <w:lvlJc w:val="left"/>
      <w:lvlText w:val="*"/>
      <w:numFmt w:val="bullet"/>
      <w:start w:val="1"/>
    </w:lvl>
  </w:abstractNum>
  <w:abstractNum w:abstractNumId="33">
    <w:nsid w:val="180115BE"/>
    <w:multiLevelType w:val="hybridMultilevel"/>
    <w:lvl w:ilvl="0">
      <w:lvlJc w:val="left"/>
      <w:lvlText w:val="(%1)"/>
      <w:numFmt w:val="decimal"/>
      <w:start w:val="1"/>
    </w:lvl>
  </w:abstractNum>
  <w:abstractNum w:abstractNumId="34">
    <w:nsid w:val="235BA861"/>
    <w:multiLevelType w:val="hybridMultilevel"/>
    <w:lvl w:ilvl="0">
      <w:lvlJc w:val="left"/>
      <w:lvlText w:val="(%1)"/>
      <w:numFmt w:val="decimal"/>
      <w:start w:val="1"/>
    </w:lvl>
  </w:abstractNum>
  <w:abstractNum w:abstractNumId="35">
    <w:nsid w:val="47398C89"/>
    <w:multiLevelType w:val="hybridMultilevel"/>
    <w:lvl w:ilvl="0">
      <w:lvlJc w:val="left"/>
      <w:lvlText w:val="(%1)"/>
      <w:numFmt w:val="lowerRoman"/>
      <w:start w:val="3"/>
    </w:lvl>
  </w:abstractNum>
  <w:abstractNum w:abstractNumId="36">
    <w:nsid w:val="354FE9F9"/>
    <w:multiLevelType w:val="hybridMultilevel"/>
    <w:lvl w:ilvl="0">
      <w:lvlJc w:val="left"/>
      <w:lvlText w:val="%1."/>
      <w:numFmt w:val="decimal"/>
      <w:start w:val="16"/>
    </w:lvl>
  </w:abstractNum>
  <w:abstractNum w:abstractNumId="37">
    <w:nsid w:val="15B5AF5C"/>
    <w:multiLevelType w:val="hybridMultilevel"/>
    <w:lvl w:ilvl="0">
      <w:lvlJc w:val="left"/>
      <w:lvlText w:val="%1."/>
      <w:numFmt w:val="decimal"/>
      <w:start w:val="1"/>
    </w:lvl>
  </w:abstractNum>
  <w:abstractNum w:abstractNumId="38">
    <w:nsid w:val="741226BB"/>
    <w:multiLevelType w:val="hybridMultilevel"/>
    <w:lvl w:ilvl="0">
      <w:lvlJc w:val="left"/>
      <w:lvlText w:val="(%1)"/>
      <w:numFmt w:val="lowerLetter"/>
      <w:start w:val="1"/>
    </w:lvl>
  </w:abstractNum>
  <w:abstractNum w:abstractNumId="39">
    <w:nsid w:val="D34B6A8"/>
    <w:multiLevelType w:val="hybridMultilevel"/>
    <w:lvl w:ilvl="0">
      <w:lvlJc w:val="left"/>
      <w:lvlText w:val="%1."/>
      <w:numFmt w:val="decimal"/>
      <w:start w:val="3"/>
    </w:lvl>
  </w:abstractNum>
  <w:abstractNum w:abstractNumId="40">
    <w:nsid w:val="10233C99"/>
    <w:multiLevelType w:val="hybridMultilevel"/>
    <w:lvl w:ilvl="0">
      <w:lvlJc w:val="left"/>
      <w:lvlText w:val="(%1)"/>
      <w:numFmt w:val="lowerLetter"/>
      <w:start w:val="1"/>
    </w:lvl>
  </w:abstractNum>
  <w:abstractNum w:abstractNumId="41">
    <w:nsid w:val="3F6AB60F"/>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abstractNum>
  <w:abstractNum w:abstractNumId="42">
    <w:nsid w:val="6157409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lvl w:ilvl="3">
      <w:lvlJc w:val="left"/>
      <w:lvlText w:val="(%4)"/>
      <w:numFmt w:val="lowerLetter"/>
      <w:start w:val="4"/>
    </w:lvl>
    <w:lvl w:ilvl="4">
      <w:lvlJc w:val="left"/>
      <w:lvlText w:val="%5"/>
      <w:numFmt w:val="lowerLetter"/>
      <w:start w:val="1"/>
    </w:lvl>
  </w:abstractNum>
  <w:abstractNum w:abstractNumId="43">
    <w:nsid w:val="7E0C57B1"/>
    <w:multiLevelType w:val="hybridMultilevel"/>
    <w:lvl w:ilvl="0">
      <w:lvlJc w:val="left"/>
      <w:lvlText w:val="%1"/>
      <w:numFmt w:val="decimal"/>
      <w:start w:val="1"/>
    </w:lvl>
    <w:lvl w:ilvl="1">
      <w:lvlJc w:val="left"/>
      <w:lvlText w:val="(%2)"/>
      <w:numFmt w:val="lowerLetter"/>
      <w:start w:val="5"/>
    </w:lvl>
    <w:lvl w:ilvl="2">
      <w:lvlJc w:val="left"/>
      <w:lvlText w:val="%3"/>
      <w:numFmt w:val="lowerLetter"/>
      <w:start w:val="1"/>
    </w:lvl>
    <w:lvl w:ilvl="3">
      <w:lvlJc w:val="left"/>
      <w:lvlText w:val="%4"/>
      <w:numFmt w:val="lowerLetter"/>
      <w:start w:val="1"/>
    </w:lvl>
    <w:lvl w:ilvl="4">
      <w:lvlJc w:val="left"/>
      <w:lvlText w:val="%5"/>
      <w:numFmt w:val="lowerLetter"/>
      <w:start w:val="1"/>
    </w:lvl>
  </w:abstractNum>
  <w:abstractNum w:abstractNumId="44">
    <w:nsid w:val="77AE35EB"/>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lvl w:ilvl="3">
      <w:lvlJc w:val="left"/>
      <w:lvlText w:val="%4"/>
      <w:numFmt w:val="lowerLetter"/>
      <w:start w:val="1"/>
    </w:lvl>
    <w:lvl w:ilvl="4">
      <w:lvlJc w:val="left"/>
      <w:lvlText w:val="(%5)"/>
      <w:numFmt w:val="lowerLetter"/>
      <w:start w:val="1"/>
    </w:lvl>
  </w:abstractNum>
  <w:abstractNum w:abstractNumId="45">
    <w:nsid w:val="579BE4F1"/>
    <w:multiLevelType w:val="hybridMultilevel"/>
    <w:lvl w:ilvl="0">
      <w:lvlJc w:val="left"/>
      <w:lvlText w:val="%1."/>
      <w:numFmt w:val="decimal"/>
      <w:start w:val="7"/>
    </w:lvl>
    <w:lvl w:ilvl="1">
      <w:lvlJc w:val="left"/>
      <w:lvlText w:val="(%2)"/>
      <w:numFmt w:val="lowerLetter"/>
      <w:start w:val="1"/>
    </w:lvl>
  </w:abstractNum>
  <w:abstractNum w:abstractNumId="46">
    <w:nsid w:val="310C50B3"/>
    <w:multiLevelType w:val="hybridMultilevel"/>
    <w:lvl w:ilvl="0">
      <w:lvlJc w:val="left"/>
      <w:lvlText w:val="%1"/>
      <w:numFmt w:val="decimal"/>
      <w:start w:val="1"/>
    </w:lvl>
    <w:lvl w:ilvl="1">
      <w:lvlJc w:val="left"/>
      <w:lvlText w:val="(%2)"/>
      <w:numFmt w:val="lowerLetter"/>
      <w:start w:val="5"/>
    </w:lvl>
  </w:abstractNum>
  <w:abstractNum w:abstractNumId="47">
    <w:nsid w:val="5FF87E05"/>
    <w:multiLevelType w:val="hybridMultilevel"/>
    <w:lvl w:ilvl="0">
      <w:lvlJc w:val="left"/>
      <w:lvlText w:val="%1."/>
      <w:numFmt w:val="decimal"/>
      <w:start w:val="10"/>
    </w:lvl>
    <w:lvl w:ilvl="1">
      <w:lvlJc w:val="left"/>
      <w:lvlText w:val="%2"/>
      <w:numFmt w:val="lowerLetter"/>
      <w:start w:val="1"/>
    </w:lvl>
  </w:abstractNum>
  <w:abstractNum w:abstractNumId="48">
    <w:nsid w:val="2F305DEF"/>
    <w:multiLevelType w:val="hybridMultilevel"/>
    <w:lvl w:ilvl="0">
      <w:lvlJc w:val="left"/>
      <w:lvlText w:val="%1."/>
      <w:numFmt w:val="decimal"/>
      <w:start w:val="12"/>
    </w:lvl>
  </w:abstractNum>
  <w:abstractNum w:abstractNumId="49">
    <w:nsid w:val="25A70BF7"/>
    <w:multiLevelType w:val="hybridMultilevel"/>
    <w:lvl w:ilvl="0">
      <w:lvlJc w:val="left"/>
      <w:lvlText w:val="%1"/>
      <w:numFmt w:val="decimal"/>
      <w:start w:val="1"/>
    </w:lvl>
    <w:lvl w:ilvl="1">
      <w:lvlJc w:val="left"/>
      <w:lvlText w:val="%2."/>
      <w:numFmt w:val="decimal"/>
      <w:start w:val="1"/>
    </w:lvl>
  </w:abstractNum>
  <w:abstractNum w:abstractNumId="50">
    <w:nsid w:val="1DBABF00"/>
    <w:multiLevelType w:val="hybridMultilevel"/>
    <w:lvl w:ilvl="0">
      <w:lvlJc w:val="left"/>
      <w:lvlText w:val="(%1)"/>
      <w:numFmt w:val="decimal"/>
      <w:start w:val="30"/>
    </w:lvl>
    <w:lvl w:ilvl="1">
      <w:lvlJc w:val="left"/>
      <w:lvlText w:val="%2"/>
      <w:numFmt w:val="decimal"/>
      <w:start w:val="1"/>
    </w:lvl>
  </w:abstractNum>
  <w:abstractNum w:abstractNumId="51">
    <w:nsid w:val="4AD084E9"/>
    <w:multiLevelType w:val="hybridMultilevel"/>
    <w:lvl w:ilvl="0">
      <w:lvlJc w:val="left"/>
      <w:lvlText w:val="%1."/>
      <w:numFmt w:val="decimal"/>
      <w:start w:val="4"/>
    </w:lvl>
  </w:abstractNum>
  <w:abstractNum w:abstractNumId="52">
    <w:nsid w:val="1F48EAA1"/>
    <w:multiLevelType w:val="hybridMultilevel"/>
    <w:lvl w:ilvl="0">
      <w:lvlJc w:val="left"/>
      <w:lvlText w:val="%1."/>
      <w:numFmt w:val="decimal"/>
      <w:start w:val="8"/>
    </w:lvl>
  </w:abstractNum>
  <w:abstractNum w:abstractNumId="53">
    <w:nsid w:val="1381823A"/>
    <w:multiLevelType w:val="hybridMultilevel"/>
    <w:lvl w:ilvl="0">
      <w:lvlJc w:val="left"/>
      <w:lvlText w:val="%1."/>
      <w:numFmt w:val="upperLetter"/>
      <w:start w:val="9"/>
    </w:lvl>
  </w:abstractNum>
  <w:abstractNum w:abstractNumId="54">
    <w:nsid w:val="5DB70AE5"/>
    <w:multiLevelType w:val="hybridMultilevel"/>
    <w:lvl w:ilvl="0">
      <w:lvlJc w:val="left"/>
      <w:lvlText w:val="(%1)"/>
      <w:numFmt w:val="decimal"/>
      <w:start w:val="1"/>
    </w:lvl>
  </w:abstractNum>
  <w:abstractNum w:abstractNumId="55">
    <w:nsid w:val="100F8FCA"/>
    <w:multiLevelType w:val="hybridMultilevel"/>
    <w:lvl w:ilvl="0">
      <w:lvlJc w:val="left"/>
      <w:lvlText w:val="%1."/>
      <w:numFmt w:val="upperLetter"/>
      <w:start w:val="9"/>
    </w:lvl>
  </w:abstractNum>
  <w:abstractNum w:abstractNumId="56">
    <w:nsid w:val="6590700B"/>
    <w:multiLevelType w:val="hybridMultilevel"/>
    <w:lvl w:ilvl="0">
      <w:lvlJc w:val="left"/>
      <w:lvlText w:val="•"/>
      <w:numFmt w:val="bullet"/>
      <w:start w:val="1"/>
    </w:lvl>
  </w:abstractNum>
  <w:abstractNum w:abstractNumId="57">
    <w:nsid w:val="15014ACB"/>
    <w:multiLevelType w:val="hybridMultilevel"/>
    <w:lvl w:ilvl="0">
      <w:lvlJc w:val="left"/>
      <w:lvlText w:val="•"/>
      <w:numFmt w:val="bullet"/>
      <w:start w:val="1"/>
    </w:lvl>
  </w:abstractNum>
  <w:abstractNum w:abstractNumId="58">
    <w:nsid w:val="5F5E7FD0"/>
    <w:multiLevelType w:val="hybridMultilevel"/>
    <w:lvl w:ilvl="0">
      <w:lvlJc w:val="left"/>
      <w:lvlText w:val="•"/>
      <w:numFmt w:val="bullet"/>
      <w:start w:val="1"/>
    </w:lvl>
  </w:abstractNum>
  <w:abstractNum w:abstractNumId="59">
    <w:nsid w:val="98A3148"/>
    <w:multiLevelType w:val="hybridMultilevel"/>
    <w:lvl w:ilvl="0">
      <w:lvlJc w:val="left"/>
      <w:lvlText w:val="•"/>
      <w:numFmt w:val="bullet"/>
      <w:start w:val="1"/>
    </w:lvl>
  </w:abstractNum>
  <w:abstractNum w:abstractNumId="60">
    <w:nsid w:val="799D0247"/>
    <w:multiLevelType w:val="hybridMultilevel"/>
    <w:lvl w:ilvl="0">
      <w:lvlJc w:val="left"/>
      <w:lvlText w:val="▪"/>
      <w:numFmt w:val="bullet"/>
      <w:start w:val="1"/>
    </w:lvl>
  </w:abstractNum>
  <w:abstractNum w:abstractNumId="61">
    <w:nsid w:val="6B94764"/>
    <w:multiLevelType w:val="hybridMultilevel"/>
    <w:lvl w:ilvl="0">
      <w:lvlJc w:val="left"/>
      <w:lvlText w:val="▪"/>
      <w:numFmt w:val="bullet"/>
      <w:start w:val="1"/>
    </w:lvl>
  </w:abstractNum>
  <w:abstractNum w:abstractNumId="62">
    <w:nsid w:val="42C296BD"/>
    <w:multiLevelType w:val="hybridMultilevel"/>
    <w:lvl w:ilvl="0">
      <w:lvlJc w:val="left"/>
      <w:lvlText w:val="%1."/>
      <w:numFmt w:val="upperLetter"/>
      <w:start w:val="61"/>
    </w:lvl>
  </w:abstractNum>
  <w:abstractNum w:abstractNumId="63">
    <w:nsid w:val="168E121F"/>
    <w:multiLevelType w:val="hybridMultilevel"/>
    <w:lvl w:ilvl="0">
      <w:lvlJc w:val="left"/>
      <w:lvlText w:val="%1."/>
      <w:numFmt w:val="upperLetter"/>
      <w:start w:val="9"/>
    </w:lvl>
  </w:abstractNum>
  <w:abstractNum w:abstractNumId="64">
    <w:nsid w:val="1EBA5D23"/>
    <w:multiLevelType w:val="hybridMultilevel"/>
    <w:lvl w:ilvl="0">
      <w:lvlJc w:val="left"/>
      <w:lvlText w:val="•"/>
      <w:numFmt w:val="bullet"/>
      <w:start w:val="1"/>
    </w:lvl>
  </w:abstractNum>
  <w:abstractNum w:abstractNumId="65">
    <w:nsid w:val="661E3F1E"/>
    <w:multiLevelType w:val="hybridMultilevel"/>
    <w:lvl w:ilvl="0">
      <w:lvlJc w:val="left"/>
      <w:lvlText w:val="%1."/>
      <w:numFmt w:val="upperLetter"/>
      <w:start w:val="9"/>
    </w:lvl>
  </w:abstractNum>
  <w:abstractNum w:abstractNumId="66">
    <w:nsid w:val="5DC79EA8"/>
    <w:multiLevelType w:val="hybridMultilevel"/>
    <w:lvl w:ilvl="0">
      <w:lvlJc w:val="left"/>
      <w:lvlText w:val="%1."/>
      <w:numFmt w:val="upperLetter"/>
      <w:start w:val="9"/>
    </w:lvl>
  </w:abstractNum>
  <w:abstractNum w:abstractNumId="67">
    <w:nsid w:val="540A471C"/>
    <w:multiLevelType w:val="hybridMultilevel"/>
    <w:lvl w:ilvl="0">
      <w:lvlJc w:val="left"/>
      <w:lvlText w:val="▪"/>
      <w:numFmt w:val="bullet"/>
      <w:start w:val="1"/>
    </w:lvl>
  </w:abstractNum>
  <w:abstractNum w:abstractNumId="68">
    <w:nsid w:val="7BD3EE7B"/>
    <w:multiLevelType w:val="hybridMultilevel"/>
    <w:lvl w:ilvl="0">
      <w:lvlJc w:val="left"/>
      <w:lvlText w:val="•"/>
      <w:numFmt w:val="bullet"/>
      <w:start w:val="1"/>
    </w:lvl>
  </w:abstractNum>
  <w:abstractNum w:abstractNumId="69">
    <w:nsid w:val="51D9C564"/>
    <w:multiLevelType w:val="hybridMultilevel"/>
    <w:lvl w:ilvl="0">
      <w:lvlJc w:val="left"/>
      <w:lvlText w:val="•"/>
      <w:numFmt w:val="bullet"/>
      <w:start w:val="1"/>
    </w:lvl>
  </w:abstractNum>
  <w:abstractNum w:abstractNumId="70">
    <w:nsid w:val="613EFDC5"/>
    <w:multiLevelType w:val="hybridMultilevel"/>
    <w:lvl w:ilvl="0">
      <w:lvlJc w:val="left"/>
      <w:lvlText w:val="•"/>
      <w:numFmt w:val="bullet"/>
      <w:start w:val="1"/>
    </w:lvl>
  </w:abstractNum>
  <w:abstractNum w:abstractNumId="71">
    <w:nsid w:val="BF72B14"/>
    <w:multiLevelType w:val="hybridMultilevel"/>
    <w:lvl w:ilvl="0">
      <w:lvlJc w:val="left"/>
      <w:lvlText w:val="%1."/>
      <w:numFmt w:val="upperLetter"/>
      <w:start w:val="61"/>
    </w:lvl>
  </w:abstractNum>
  <w:abstractNum w:abstractNumId="72">
    <w:nsid w:val="11447B73"/>
    <w:multiLevelType w:val="hybridMultilevel"/>
    <w:lvl w:ilvl="0">
      <w:lvlJc w:val="left"/>
      <w:lvlText w:val="▪"/>
      <w:numFmt w:val="bullet"/>
      <w:start w:val="1"/>
    </w:lvl>
  </w:abstractNum>
  <w:abstractNum w:abstractNumId="73">
    <w:nsid w:val="42963E5A"/>
    <w:multiLevelType w:val="hybridMultilevel"/>
    <w:lvl w:ilvl="0">
      <w:lvlJc w:val="left"/>
      <w:lvlText w:val="▪"/>
      <w:numFmt w:val="bullet"/>
      <w:start w:val="1"/>
    </w:lvl>
  </w:abstractNum>
  <w:abstractNum w:abstractNumId="74">
    <w:nsid w:val="A0382C5"/>
    <w:multiLevelType w:val="hybridMultilevel"/>
    <w:lvl w:ilvl="0">
      <w:lvlJc w:val="left"/>
      <w:lvlText w:val="%1."/>
      <w:numFmt w:val="upperLetter"/>
      <w:start w:val="87"/>
    </w:lvl>
  </w:abstractNum>
  <w:abstractNum w:abstractNumId="75">
    <w:nsid w:val="8F2B15E"/>
    <w:multiLevelType w:val="hybridMultilevel"/>
    <w:lvl w:ilvl="0">
      <w:lvlJc w:val="left"/>
      <w:lvlText w:val="%1."/>
      <w:numFmt w:val="upperLetter"/>
      <w:start w:val="9"/>
    </w:lvl>
  </w:abstractNum>
  <w:abstractNum w:abstractNumId="76">
    <w:nsid w:val="1A32234B"/>
    <w:multiLevelType w:val="hybridMultilevel"/>
    <w:lvl w:ilvl="0">
      <w:lvlJc w:val="left"/>
      <w:lvlText w:val="%1."/>
      <w:numFmt w:val="decimal"/>
      <w:start w:val="1"/>
    </w:lvl>
    <w:lvl w:ilvl="1">
      <w:lvlJc w:val="left"/>
      <w:lvlText w:val="%2."/>
      <w:numFmt w:val="lowerLetter"/>
      <w:start w:val="1"/>
    </w:lvl>
  </w:abstractNum>
  <w:abstractNum w:abstractNumId="77">
    <w:nsid w:val="3B0FD379"/>
    <w:multiLevelType w:val="hybridMultilevel"/>
    <w:lvl w:ilvl="0">
      <w:lvlJc w:val="left"/>
      <w:lvlText w:val="%1."/>
      <w:numFmt w:val="decimal"/>
      <w:start w:val="1"/>
    </w:lvl>
    <w:lvl w:ilvl="1">
      <w:lvlJc w:val="left"/>
      <w:lvlText w:val="%2."/>
      <w:numFmt w:val="lowerLetter"/>
      <w:start w:val="1"/>
    </w:lvl>
  </w:abstractNum>
  <w:abstractNum w:abstractNumId="78">
    <w:nsid w:val="68EB2F63"/>
    <w:multiLevelType w:val="hybridMultilevel"/>
    <w:lvl w:ilvl="0">
      <w:lvlJc w:val="left"/>
      <w:lvlText w:val="(%1)"/>
      <w:numFmt w:val="decimal"/>
      <w:start w:val="1"/>
    </w:lvl>
  </w:abstractNum>
  <w:abstractNum w:abstractNumId="79">
    <w:nsid w:val="4962813B"/>
    <w:multiLevelType w:val="hybridMultilevel"/>
    <w:lvl w:ilvl="0">
      <w:lvlJc w:val="left"/>
      <w:lvlText w:val="(%1)"/>
      <w:numFmt w:val="decimal"/>
      <w:start w:val="1"/>
    </w:lvl>
  </w:abstractNum>
  <w:abstractNum w:abstractNumId="80">
    <w:nsid w:val="60B6DF70"/>
    <w:multiLevelType w:val="hybridMultilevel"/>
    <w:lvl w:ilvl="0">
      <w:lvlJc w:val="left"/>
      <w:lvlText w:val="%1."/>
      <w:numFmt w:val="upperLetter"/>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33" Type="http://schemas.openxmlformats.org/officeDocument/2006/relationships/image" Target="media/image109.png"/><Relationship Id="rId141" Type="http://schemas.openxmlformats.org/officeDocument/2006/relationships/image" Target="media/image110.png"/><Relationship Id="rId142" Type="http://schemas.openxmlformats.org/officeDocument/2006/relationships/image" Target="media/image111.png"/><Relationship Id="rId143" Type="http://schemas.openxmlformats.org/officeDocument/2006/relationships/image" Target="media/image112.png"/><Relationship Id="rId144" Type="http://schemas.openxmlformats.org/officeDocument/2006/relationships/image" Target="media/image113.png"/><Relationship Id="rId145" Type="http://schemas.openxmlformats.org/officeDocument/2006/relationships/image" Target="media/image114.png"/><Relationship Id="rId146" Type="http://schemas.openxmlformats.org/officeDocument/2006/relationships/image" Target="media/image115.png"/><Relationship Id="rId116" Type="http://schemas.openxmlformats.org/officeDocument/2006/relationships/hyperlink" Target="https://www.sec.gov/Archives/edgar/data/896429/000091412120002032/us55038679-ex3_1.htm" TargetMode="External"/><Relationship Id="rId117" Type="http://schemas.openxmlformats.org/officeDocument/2006/relationships/hyperlink" Target="https://www.sec.gov/Archives/edgar/data/896429/000091412121005445/ca56531664-ex3_1.htm" TargetMode="External"/><Relationship Id="rId118" Type="http://schemas.openxmlformats.org/officeDocument/2006/relationships/hyperlink" Target="https://www.sec.gov/Archives/edgar/data/896429/000157104915004372/t82294_ex10-2.htm" TargetMode="External"/><Relationship Id="rId119" Type="http://schemas.openxmlformats.org/officeDocument/2006/relationships/hyperlink" Target="https://www.sec.gov/Archives/edgar/data/896429/000157104915008057/t83198_ex10-45.htm" TargetMode="External"/><Relationship Id="rId120" Type="http://schemas.openxmlformats.org/officeDocument/2006/relationships/hyperlink" Target="https://www.sec.gov/Archives/edgar/data/896429/000162828019012238/usat-20190630xex10142.htm" TargetMode="External"/><Relationship Id="rId121" Type="http://schemas.openxmlformats.org/officeDocument/2006/relationships/hyperlink" Target="https://www.sec.gov/Archives/edgar/data/896429/000162828019012238/usat-20190630xex10143.htm" TargetMode="External"/><Relationship Id="rId122" Type="http://schemas.openxmlformats.org/officeDocument/2006/relationships/hyperlink" Target="https://www.sec.gov/Archives/edgar/data/896429/000157104915008057/t83198_ex10-46.htm" TargetMode="External"/><Relationship Id="rId123" Type="http://schemas.openxmlformats.org/officeDocument/2006/relationships/hyperlink" Target="https://www.sec.gov/Archives/edgar/data/896429/000162828019012238/usat-20190630xex10151.htm" TargetMode="External"/><Relationship Id="rId124" Type="http://schemas.openxmlformats.org/officeDocument/2006/relationships/hyperlink" Target="https://www.sec.gov/Archives/edgar/data/896429/000162828019012238/usat-20190630xex1016.htm" TargetMode="External"/><Relationship Id="rId125" Type="http://schemas.openxmlformats.org/officeDocument/2006/relationships/hyperlink" Target="https://www.sec.gov/Archives/edgar/data/0000896429/000162828020013493/usat-20200630xex107.htm" TargetMode="External"/><Relationship Id="rId126" Type="http://schemas.openxmlformats.org/officeDocument/2006/relationships/hyperlink" Target="https://www.sec.gov/Archives/edgar/data/896429/000162828022031321/cantaloupe-firstamendmentt.htm" TargetMode="External"/><Relationship Id="rId127" Type="http://schemas.openxmlformats.org/officeDocument/2006/relationships/hyperlink" Target="https://www.sec.gov/Archives/edgar/data/896429/000118811213002827/ex10-6.htm" TargetMode="External"/><Relationship Id="rId128" Type="http://schemas.openxmlformats.org/officeDocument/2006/relationships/hyperlink" Target="https://www.sec.gov/Archives/edgar/data/896429/000114036114021684/formdef14a.htm#APPENDIXA" TargetMode="External"/><Relationship Id="rId129" Type="http://schemas.openxmlformats.org/officeDocument/2006/relationships/hyperlink" Target="https://www.sec.gov/Archives/edgar/data/896429/000114036115020404/formdef14a.htm#APPENDIXA" TargetMode="External"/><Relationship Id="rId130" Type="http://schemas.openxmlformats.org/officeDocument/2006/relationships/hyperlink" Target="https://www.sec.gov/Archives/edgar/data/896429/000114036118016457/def14a.htm#ANNUALREPORTONFORM10-K" TargetMode="External"/><Relationship Id="rId131" Type="http://schemas.openxmlformats.org/officeDocument/2006/relationships/hyperlink" Target="https://www.sec.gov/Archives/edgar/data/896429/000119312520150781/d860114dex101.htm" TargetMode="External"/><Relationship Id="rId132" Type="http://schemas.openxmlformats.org/officeDocument/2006/relationships/hyperlink" Target="https://www.sec.gov/Archives/edgar/data/896429/000114036122038867/ny20004828x1_def14a.htm" TargetMode="External"/><Relationship Id="rId134" Type="http://schemas.openxmlformats.org/officeDocument/2006/relationships/hyperlink" Target="https://www.sec.gov/Archives/edgar/data/896429/000119312520141608/d892616dex102.htm" TargetMode="External"/><Relationship Id="rId135" Type="http://schemas.openxmlformats.org/officeDocument/2006/relationships/hyperlink" Target="https://www.sec.gov/Archives/edgar/data/896429/000119312520141608/d892616dex103.htm" TargetMode="External"/><Relationship Id="rId136" Type="http://schemas.openxmlformats.org/officeDocument/2006/relationships/hyperlink" Target="https://www.sec.gov/Archives/edgar/data/896429/000162828020009890/a20200331-exx101.htm" TargetMode="External"/><Relationship Id="rId137" Type="http://schemas.openxmlformats.org/officeDocument/2006/relationships/hyperlink" Target="https://www.sec.gov/ix?doc=/Archives/edgar/data/896429/000091412121001126/us55716119-8ki.htm" TargetMode="External"/><Relationship Id="rId138" Type="http://schemas.openxmlformats.org/officeDocument/2006/relationships/hyperlink" Target="https://www.sec.gov/Archives/edgar/data/896429/000162828022001774/ex-103xemploymentagreement.htm" TargetMode="External"/><Relationship Id="rId139" Type="http://schemas.openxmlformats.org/officeDocument/2006/relationships/hyperlink" Target="https://www.sec.gov/Archives/edgar/data/896429/000162828022024593/a2promotionletterbetweenca.htm" TargetMode="External"/><Relationship Id="rId140" Type="http://schemas.openxmlformats.org/officeDocument/2006/relationships/hyperlink" Target="https://www.sec.gov/ix?doc=/Archives/edgar/data/896429/000162828023034436/usat-2023101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2024-09-10T15:50:41Z</dcterms:created>
  <dcterms:modified xsi:type="dcterms:W3CDTF">2024-09-10T15:50:41Z</dcterms:modified>
</cp:coreProperties>
</file>