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97"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QUARTERLY REPORT PURSUANT TO SECTION 13 OR 15 (d)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2017</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91"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TRANSITION REPORT PURSUANT TO SECTION 13 OR 15 (d) OF THE EXCHANGE ACT OF 1934</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740" w:type="dxa"/>
            <w:vAlign w:val="bottom"/>
          </w:tcPr>
          <w:p>
            <w:pPr>
              <w:spacing w:after="0"/>
              <w:rPr>
                <w:sz w:val="19"/>
                <w:szCs w:val="19"/>
                <w:color w:val="auto"/>
              </w:rPr>
            </w:pPr>
          </w:p>
        </w:tc>
        <w:tc>
          <w:tcPr>
            <w:tcW w:w="3740" w:type="dxa"/>
            <w:vAlign w:val="bottom"/>
            <w:gridSpan w:val="4"/>
          </w:tcPr>
          <w:p>
            <w:pPr>
              <w:ind w:left="480"/>
              <w:spacing w:after="0"/>
              <w:rPr>
                <w:sz w:val="20"/>
                <w:szCs w:val="20"/>
                <w:color w:val="auto"/>
              </w:rPr>
            </w:pPr>
            <w:r>
              <w:rPr>
                <w:rFonts w:ascii="Arial" w:cs="Arial" w:eastAsia="Arial" w:hAnsi="Arial"/>
                <w:sz w:val="17"/>
                <w:szCs w:val="17"/>
                <w:b w:val="1"/>
                <w:bCs w:val="1"/>
                <w:color w:val="auto"/>
              </w:rPr>
              <w:t>For the transition period from</w:t>
            </w:r>
          </w:p>
        </w:tc>
        <w:tc>
          <w:tcPr>
            <w:tcW w:w="2620" w:type="dxa"/>
            <w:vAlign w:val="bottom"/>
            <w:gridSpan w:val="6"/>
          </w:tcPr>
          <w:p>
            <w:pPr>
              <w:ind w:left="100"/>
              <w:spacing w:after="0"/>
              <w:rPr>
                <w:sz w:val="20"/>
                <w:szCs w:val="20"/>
                <w:color w:val="auto"/>
              </w:rPr>
            </w:pPr>
            <w:r>
              <w:rPr>
                <w:rFonts w:ascii="Arial" w:cs="Arial" w:eastAsia="Arial" w:hAnsi="Arial"/>
                <w:sz w:val="17"/>
                <w:szCs w:val="17"/>
                <w:b w:val="1"/>
                <w:bCs w:val="1"/>
                <w:color w:val="auto"/>
              </w:rPr>
              <w:t>to</w:t>
            </w: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b w:val="1"/>
                <w:bCs w:val="1"/>
                <w:color w:val="auto"/>
                <w:w w:val="90"/>
              </w:rPr>
              <w:t>Commission file number 001-33365</w:t>
            </w: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88"/>
              </w:rPr>
              <w:t>USA Technologies, Inc.</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color w:val="auto"/>
                <w:w w:val="91"/>
              </w:rPr>
              <w:t>(Exact name of registrant as specified in its charter)</w:t>
            </w:r>
          </w:p>
        </w:tc>
        <w:tc>
          <w:tcPr>
            <w:tcW w:w="0" w:type="dxa"/>
            <w:vAlign w:val="bottom"/>
          </w:tcPr>
          <w:p>
            <w:pPr>
              <w:spacing w:after="0"/>
              <w:rPr>
                <w:sz w:val="1"/>
                <w:szCs w:val="1"/>
                <w:color w:val="auto"/>
              </w:rPr>
            </w:pPr>
          </w:p>
        </w:tc>
      </w:tr>
      <w:tr>
        <w:trPr>
          <w:trHeight w:val="369"/>
        </w:trPr>
        <w:tc>
          <w:tcPr>
            <w:tcW w:w="1740" w:type="dxa"/>
            <w:vAlign w:val="bottom"/>
          </w:tcPr>
          <w:p>
            <w:pPr>
              <w:spacing w:after="0"/>
              <w:rPr>
                <w:sz w:val="24"/>
                <w:szCs w:val="24"/>
                <w:color w:val="auto"/>
              </w:rPr>
            </w:pPr>
          </w:p>
        </w:tc>
        <w:tc>
          <w:tcPr>
            <w:tcW w:w="3740" w:type="dxa"/>
            <w:vAlign w:val="bottom"/>
            <w:gridSpan w:val="4"/>
          </w:tcPr>
          <w:p>
            <w:pPr>
              <w:jc w:val="center"/>
              <w:ind w:right="2780"/>
              <w:spacing w:after="0"/>
              <w:rPr>
                <w:sz w:val="20"/>
                <w:szCs w:val="20"/>
                <w:color w:val="auto"/>
              </w:rPr>
            </w:pPr>
            <w:r>
              <w:rPr>
                <w:rFonts w:ascii="Arial" w:cs="Arial" w:eastAsia="Arial" w:hAnsi="Arial"/>
                <w:sz w:val="17"/>
                <w:szCs w:val="17"/>
                <w:b w:val="1"/>
                <w:bCs w:val="1"/>
                <w:color w:val="auto"/>
                <w:w w:val="88"/>
              </w:rPr>
              <w:t>Pennsylvania</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b w:val="1"/>
                <w:bCs w:val="1"/>
                <w:color w:val="auto"/>
                <w:w w:val="90"/>
              </w:rPr>
              <w:t>23-2679963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80" w:type="dxa"/>
            <w:vAlign w:val="bottom"/>
            <w:gridSpan w:val="5"/>
          </w:tcPr>
          <w:p>
            <w:pPr>
              <w:jc w:val="center"/>
              <w:ind w:right="104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382"/>
        </w:trPr>
        <w:tc>
          <w:tcPr>
            <w:tcW w:w="5480" w:type="dxa"/>
            <w:vAlign w:val="bottom"/>
            <w:gridSpan w:val="5"/>
          </w:tcPr>
          <w:p>
            <w:pPr>
              <w:ind w:left="40"/>
              <w:spacing w:after="0"/>
              <w:rPr>
                <w:sz w:val="20"/>
                <w:szCs w:val="20"/>
                <w:color w:val="auto"/>
              </w:rPr>
            </w:pPr>
            <w:r>
              <w:rPr>
                <w:rFonts w:ascii="Arial" w:cs="Arial" w:eastAsia="Arial" w:hAnsi="Arial"/>
                <w:sz w:val="17"/>
                <w:szCs w:val="17"/>
                <w:b w:val="1"/>
                <w:bCs w:val="1"/>
                <w:color w:val="auto"/>
              </w:rPr>
              <w:t>100 Deerfield Lane, Suite 300, Malvern, Pennsylvania</w:t>
            </w:r>
          </w:p>
        </w:tc>
        <w:tc>
          <w:tcPr>
            <w:tcW w:w="1140" w:type="dxa"/>
            <w:vAlign w:val="bottom"/>
            <w:gridSpan w:val="3"/>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19355</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660" w:type="dxa"/>
            <w:vAlign w:val="bottom"/>
            <w:gridSpan w:val="4"/>
            <w:vMerge w:val="restart"/>
          </w:tcPr>
          <w:p>
            <w:pPr>
              <w:jc w:val="center"/>
              <w:ind w:right="860"/>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r>
        <w:trPr>
          <w:trHeight w:val="210"/>
        </w:trPr>
        <w:tc>
          <w:tcPr>
            <w:tcW w:w="3980" w:type="dxa"/>
            <w:vAlign w:val="bottom"/>
            <w:gridSpan w:val="4"/>
          </w:tcPr>
          <w:p>
            <w:pPr>
              <w:jc w:val="center"/>
              <w:ind w:left="375"/>
              <w:spacing w:after="0"/>
              <w:rPr>
                <w:sz w:val="20"/>
                <w:szCs w:val="20"/>
                <w:color w:val="auto"/>
              </w:rPr>
            </w:pPr>
            <w:r>
              <w:rPr>
                <w:rFonts w:ascii="Arial" w:cs="Arial" w:eastAsia="Arial" w:hAnsi="Arial"/>
                <w:sz w:val="17"/>
                <w:szCs w:val="17"/>
                <w:color w:val="auto"/>
                <w:w w:val="93"/>
              </w:rPr>
              <w:t>(Address of principal executive offices)</w:t>
            </w:r>
          </w:p>
        </w:tc>
        <w:tc>
          <w:tcPr>
            <w:tcW w:w="1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5480" w:type="dxa"/>
            <w:vAlign w:val="bottom"/>
            <w:gridSpan w:val="5"/>
          </w:tcPr>
          <w:p>
            <w:pPr>
              <w:jc w:val="center"/>
              <w:ind w:left="3495"/>
              <w:spacing w:after="0"/>
              <w:rPr>
                <w:sz w:val="20"/>
                <w:szCs w:val="20"/>
                <w:color w:val="auto"/>
              </w:rPr>
            </w:pPr>
            <w:r>
              <w:rPr>
                <w:rFonts w:ascii="Arial" w:cs="Arial" w:eastAsia="Arial" w:hAnsi="Arial"/>
                <w:sz w:val="17"/>
                <w:szCs w:val="17"/>
                <w:b w:val="1"/>
                <w:bCs w:val="1"/>
                <w:color w:val="auto"/>
                <w:w w:val="91"/>
              </w:rPr>
              <w:t>(610) 989-0340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71120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10"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w:t>
      </w:r>
    </w:p>
    <w:p>
      <w:pPr>
        <w:spacing w:after="0" w:line="169"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w:t>
      </w:r>
    </w:p>
    <w:p>
      <w:pPr>
        <w:spacing w:after="0" w:line="171"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33" w:right="1419" w:bottom="1440" w:gutter="0" w:footer="0" w:header="0"/>
        </w:sectPr>
      </w:pPr>
    </w:p>
    <w:p>
      <w:pPr>
        <w:spacing w:after="0" w:line="154" w:lineRule="exact"/>
        <w:rPr>
          <w:sz w:val="24"/>
          <w:szCs w:val="24"/>
          <w:color w:val="auto"/>
        </w:rPr>
      </w:pPr>
    </w:p>
    <w:p>
      <w:pPr>
        <w:ind w:left="58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300"/>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35" w:lineRule="exact"/>
        <w:rPr>
          <w:sz w:val="24"/>
          <w:szCs w:val="24"/>
          <w:color w:val="auto"/>
        </w:rPr>
      </w:pPr>
    </w:p>
    <w:p>
      <w:pPr>
        <w:jc w:val="center"/>
        <w:ind w:right="3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left="240"/>
        <w:spacing w:after="0"/>
        <w:rPr>
          <w:sz w:val="20"/>
          <w:szCs w:val="20"/>
          <w:color w:val="auto"/>
        </w:rPr>
      </w:pPr>
      <w:r>
        <w:rPr>
          <w:rFonts w:ascii="Arial" w:cs="Arial" w:eastAsia="Arial" w:hAnsi="Arial"/>
          <w:sz w:val="17"/>
          <w:szCs w:val="17"/>
          <w:color w:val="auto"/>
        </w:rPr>
        <w:t>Non-accelerated filer</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196" w:lineRule="exact"/>
        <w:rPr>
          <w:sz w:val="24"/>
          <w:szCs w:val="24"/>
          <w:color w:val="auto"/>
        </w:rPr>
      </w:pPr>
    </w:p>
    <w:p>
      <w:pPr>
        <w:sectPr>
          <w:pgSz w:w="11900" w:h="16838" w:orient="portrait"/>
          <w:cols w:equalWidth="0" w:num="3">
            <w:col w:w="2860" w:space="720"/>
            <w:col w:w="2340" w:space="720"/>
            <w:col w:w="2420"/>
          </w:cols>
          <w:pgMar w:left="1420" w:top="233" w:right="1419" w:bottom="1440" w:gutter="0" w:footer="0" w:header="0"/>
          <w:type w:val="continuous"/>
        </w:sectPr>
      </w:pPr>
    </w:p>
    <w:p>
      <w:pPr>
        <w:ind w:right="280"/>
        <w:spacing w:after="0" w:line="361"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p>
      <w:pPr>
        <w:ind w:right="10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April 24, 2017, there were 40,331,645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398145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60" w:type="dxa"/>
            <w:vAlign w:val="bottom"/>
            <w:gridSpan w:val="2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60" w:type="dxa"/>
            <w:vAlign w:val="bottom"/>
          </w:tcPr>
          <w:p>
            <w:pPr>
              <w:spacing w:after="0"/>
              <w:rPr>
                <w:sz w:val="17"/>
                <w:szCs w:val="17"/>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8"/>
          </w:tcPr>
          <w:p>
            <w:pPr>
              <w:jc w:val="center"/>
              <w:ind w:right="3260"/>
              <w:spacing w:after="0"/>
              <w:rPr>
                <w:sz w:val="20"/>
                <w:szCs w:val="20"/>
                <w:color w:val="auto"/>
              </w:rPr>
            </w:pPr>
            <w:r>
              <w:rPr>
                <w:rFonts w:ascii="Arial" w:cs="Arial" w:eastAsia="Arial" w:hAnsi="Arial"/>
                <w:sz w:val="18"/>
                <w:szCs w:val="18"/>
                <w:b w:val="1"/>
                <w:bCs w:val="1"/>
                <w:color w:val="auto"/>
              </w:rPr>
              <w:t>USA TECHNOLOGIES, INC.</w:t>
            </w:r>
          </w:p>
        </w:tc>
        <w:tc>
          <w:tcPr>
            <w:tcW w:w="26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0"/>
                <w:szCs w:val="20"/>
                <w:color w:val="auto"/>
              </w:rPr>
            </w:pPr>
          </w:p>
        </w:tc>
      </w:tr>
      <w:tr>
        <w:trPr>
          <w:trHeight w:val="392"/>
        </w:trPr>
        <w:tc>
          <w:tcPr>
            <w:tcW w:w="90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60" w:type="dxa"/>
            <w:vAlign w:val="bottom"/>
          </w:tcPr>
          <w:p>
            <w:pPr>
              <w:spacing w:after="0"/>
              <w:rPr>
                <w:sz w:val="24"/>
                <w:szCs w:val="2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90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(unaudited) – March 31, 2017 and June 30, 2016 (audited)</w:t>
              </w:r>
            </w:hyperlink>
          </w:p>
        </w:tc>
        <w:tc>
          <w:tcPr>
            <w:tcW w:w="19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 Three and nine months ended March 31, 2017 and</w:t>
              </w:r>
            </w:hyperlink>
          </w:p>
        </w:tc>
        <w:tc>
          <w:tcPr>
            <w:tcW w:w="8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6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(unaudited) – Nine months ended March 31, 2017</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0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(unaudited) – Three and nine months ended March 31, 2017 and</w:t>
              </w:r>
            </w:hyperlink>
          </w:p>
        </w:tc>
        <w:tc>
          <w:tcPr>
            <w:tcW w:w="26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2016</w:t>
              </w:r>
            </w:hyperlink>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gridSpan w:val="2"/>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90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9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9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28"/>
        </w:trPr>
        <w:tc>
          <w:tcPr>
            <w:tcW w:w="90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 - Other Information</w:t>
              </w:r>
            </w:hyperlink>
          </w:p>
        </w:tc>
        <w:tc>
          <w:tcPr>
            <w:tcW w:w="2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4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240" w:type="dxa"/>
            <w:vAlign w:val="bottom"/>
          </w:tcPr>
          <w:p>
            <w:pPr>
              <w:spacing w:after="0"/>
              <w:rPr>
                <w:sz w:val="24"/>
                <w:szCs w:val="24"/>
                <w:color w:val="auto"/>
              </w:rPr>
            </w:pPr>
          </w:p>
        </w:tc>
        <w:tc>
          <w:tcPr>
            <w:tcW w:w="13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694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240" w:type="dxa"/>
            <w:vAlign w:val="bottom"/>
          </w:tcPr>
          <w:p>
            <w:pPr>
              <w:spacing w:after="0"/>
              <w:rPr>
                <w:sz w:val="24"/>
                <w:szCs w:val="24"/>
                <w:color w:val="auto"/>
              </w:rPr>
            </w:pPr>
          </w:p>
        </w:tc>
        <w:tc>
          <w:tcPr>
            <w:tcW w:w="22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Defaults upon Senior Securities</w:t>
              </w:r>
            </w:hyperlink>
          </w:p>
        </w:tc>
        <w:tc>
          <w:tcPr>
            <w:tcW w:w="602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24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70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7540" w:type="dxa"/>
            <w:vAlign w:val="bottom"/>
            <w:gridSpan w:val="1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80"/>
        </w:trPr>
        <w:tc>
          <w:tcPr>
            <w:tcW w:w="520" w:type="dxa"/>
            <w:vAlign w:val="bottom"/>
          </w:tcPr>
          <w:p>
            <w:pPr>
              <w:spacing w:after="0"/>
              <w:rPr>
                <w:sz w:val="24"/>
                <w:szCs w:val="24"/>
                <w:color w:val="auto"/>
              </w:rPr>
            </w:pPr>
          </w:p>
        </w:tc>
        <w:tc>
          <w:tcPr>
            <w:tcW w:w="4260" w:type="dxa"/>
            <w:vAlign w:val="bottom"/>
            <w:gridSpan w:val="12"/>
          </w:tcPr>
          <w:p>
            <w:pPr>
              <w:jc w:val="center"/>
              <w:ind w:left="367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bl>
    <w:p>
      <w:pPr>
        <w:sectPr>
          <w:pgSz w:w="11900" w:h="16838" w:orient="portrait"/>
          <w:cols w:equalWidth="0" w:num="1">
            <w:col w:w="9320"/>
          </w:cols>
          <w:pgMar w:left="1420" w:top="108" w:right="11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i w:val="1"/>
                <w:iCs w:val="1"/>
                <w:color w:val="auto"/>
                <w:w w:val="91"/>
              </w:rPr>
              <w:t>(audited)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Accounts receivable, less allowance for doubtful accounts of $2,851 and $2,814,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Finance receivables, less allowance for credit losses of $25 and $0, respectively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Inventory, net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Finance receivables, less current portion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88,992</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equity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11,529</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Line of credit,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Current obligations under long-term debt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Warrant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gain from sale-leaseback transactions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00"/>
              <w:spacing w:after="0"/>
              <w:rPr>
                <w:sz w:val="20"/>
                <w:szCs w:val="20"/>
                <w:color w:val="auto"/>
              </w:rPr>
            </w:pPr>
            <w:r>
              <w:rPr>
                <w:rFonts w:ascii="Arial" w:cs="Arial" w:eastAsia="Arial" w:hAnsi="Arial"/>
                <w:sz w:val="16"/>
                <w:szCs w:val="16"/>
                <w:color w:val="auto"/>
              </w:rPr>
              <w:t>Accrued expenses, less current portion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gain from sale-leaseback transactions, less current portion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7140" w:type="dxa"/>
            <w:vAlign w:val="bottom"/>
            <w:gridSpan w:val="2"/>
          </w:tcPr>
          <w:p>
            <w:pPr>
              <w:spacing w:after="0"/>
              <w:rPr>
                <w:sz w:val="20"/>
                <w:szCs w:val="20"/>
                <w:color w:val="auto"/>
              </w:rPr>
            </w:pPr>
            <w:r>
              <w:rPr>
                <w:rFonts w:ascii="Arial" w:cs="Arial" w:eastAsia="Arial" w:hAnsi="Arial"/>
                <w:sz w:val="16"/>
                <w:szCs w:val="16"/>
                <w:color w:val="auto"/>
              </w:rPr>
              <w:t>Total long-term liabilities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23,993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29,808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no par value: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6"/>
                <w:szCs w:val="16"/>
                <w:color w:val="auto"/>
                <w:w w:val="99"/>
              </w:rPr>
              <w:t>Authorized shares- 1,800,000 Series A convertible preferred- Authorized shares- 900,000 Issued and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spacing w:after="0"/>
              <w:rPr>
                <w:sz w:val="20"/>
                <w:szCs w:val="20"/>
                <w:color w:val="auto"/>
              </w:rPr>
            </w:pPr>
            <w:r>
              <w:rPr>
                <w:rFonts w:ascii="Arial" w:cs="Arial" w:eastAsia="Arial" w:hAnsi="Arial"/>
                <w:sz w:val="16"/>
                <w:szCs w:val="16"/>
                <w:color w:val="auto"/>
              </w:rPr>
              <w:t>outstanding shares- 445,063 with liquidation preference of $18,775 and $18,108,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w w:val="90"/>
              </w:rPr>
              <w:t>Common stock, no par value: Authorized shares- 640,000,000 Issued and outstanding shares- 40,327,675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37,783,444, respectively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(183,602)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(181,507)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88,992</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License and transaction fees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50,463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Equipment sales</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6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Costs of sales/revenues: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Cost of services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Cost of equipment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Total costs of sales/revenues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14,689</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50,678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6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warrant liabilities</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60" w:type="dxa"/>
            <w:vAlign w:val="bottom"/>
            <w:gridSpan w:val="2"/>
          </w:tcPr>
          <w:p>
            <w:pPr>
              <w:spacing w:after="0"/>
              <w:rPr>
                <w:sz w:val="20"/>
                <w:szCs w:val="20"/>
                <w:color w:val="auto"/>
              </w:rPr>
            </w:pPr>
            <w:r>
              <w:rPr>
                <w:rFonts w:ascii="Arial" w:cs="Arial" w:eastAsia="Arial" w:hAnsi="Arial"/>
                <w:sz w:val="16"/>
                <w:szCs w:val="16"/>
                <w:color w:val="auto"/>
              </w:rPr>
              <w:t>Total other expense,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Cumulative preferred dividends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applicable to common shares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loss per common share -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weighted average number of common shares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40,327,697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36,161,626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39,703,690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35,972,633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left="365"/>
              <w:spacing w:after="0"/>
              <w:rPr>
                <w:sz w:val="20"/>
                <w:szCs w:val="20"/>
                <w:color w:val="auto"/>
              </w:rPr>
            </w:pPr>
            <w:r>
              <w:rPr>
                <w:rFonts w:ascii="Arial" w:cs="Arial" w:eastAsia="Arial" w:hAnsi="Arial"/>
                <w:sz w:val="14"/>
                <w:szCs w:val="14"/>
                <w:b w:val="1"/>
                <w:bCs w:val="1"/>
                <w:color w:val="auto"/>
                <w:w w:val="89"/>
              </w:rPr>
              <w:t>Series A</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640" w:type="dxa"/>
            <w:vAlign w:val="bottom"/>
            <w:gridSpan w:val="3"/>
            <w:vMerge w:val="restart"/>
          </w:tcPr>
          <w:p>
            <w:pPr>
              <w:jc w:val="right"/>
              <w:ind w:right="26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in thousands, except shares)</w:t>
            </w:r>
          </w:p>
        </w:tc>
        <w:tc>
          <w:tcPr>
            <w:tcW w:w="600" w:type="dxa"/>
            <w:vAlign w:val="bottom"/>
            <w:tcBorders>
              <w:top w:val="single" w:sz="8" w:color="auto"/>
            </w:tcBorders>
          </w:tcPr>
          <w:p>
            <w:pPr>
              <w:jc w:val="right"/>
              <w:ind w:right="5"/>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62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June 30, 2016</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445,063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3,138</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37,783,444</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$233,394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(181,507)</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$ 55,025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Reclass of fair value of warrant liability upon exercise of</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Exercise of warrants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2,401,408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6,193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200"/>
              <w:spacing w:after="0"/>
              <w:rPr>
                <w:sz w:val="20"/>
                <w:szCs w:val="20"/>
                <w:color w:val="auto"/>
              </w:rPr>
            </w:pPr>
            <w:r>
              <w:rPr>
                <w:rFonts w:ascii="Arial" w:cs="Arial" w:eastAsia="Arial" w:hAnsi="Arial"/>
                <w:sz w:val="16"/>
                <w:szCs w:val="16"/>
                <w:color w:val="auto"/>
              </w:rPr>
              <w:t>2013 Stock Incentive Plan</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149,356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2014 Stock Option Incentive Plan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200"/>
              <w:spacing w:after="0"/>
              <w:rPr>
                <w:sz w:val="20"/>
                <w:szCs w:val="20"/>
                <w:color w:val="auto"/>
              </w:rPr>
            </w:pPr>
            <w:r>
              <w:rPr>
                <w:rFonts w:ascii="Arial" w:cs="Arial" w:eastAsia="Arial" w:hAnsi="Arial"/>
                <w:sz w:val="16"/>
                <w:szCs w:val="16"/>
                <w:color w:val="auto"/>
              </w:rPr>
              <w:t>2015 Equity Incentive Plan</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Retirement of common stock</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March 31, 2017</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445,063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3,138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40,327,675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245,463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(183,602)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$ 64,999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136</w:t>
            </w:r>
          </w:p>
        </w:tc>
        <w:tc>
          <w:tcPr>
            <w:tcW w:w="3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(5,420)</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(2,095)</w:t>
            </w: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Adjustments to reconcile net income (loss) to net cash provided/(used) by</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580" w:type="dxa"/>
            <w:vAlign w:val="bottom"/>
          </w:tcPr>
          <w:p>
            <w:pPr>
              <w:spacing w:after="0" w:line="130" w:lineRule="exact"/>
              <w:rPr>
                <w:sz w:val="20"/>
                <w:szCs w:val="20"/>
                <w:color w:val="auto"/>
              </w:rPr>
            </w:pPr>
            <w:r>
              <w:rPr>
                <w:rFonts w:ascii="Arial" w:cs="Arial" w:eastAsia="Arial" w:hAnsi="Arial"/>
                <w:sz w:val="14"/>
                <w:szCs w:val="14"/>
                <w:color w:val="auto"/>
                <w:w w:val="93"/>
              </w:rPr>
              <w:t>Charges incurred in connection with the vesting and issuance of common stock</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0" w:type="dxa"/>
            <w:vAlign w:val="bottom"/>
            <w:gridSpan w:val="2"/>
          </w:tcPr>
          <w:p>
            <w:pPr>
              <w:spacing w:after="0"/>
              <w:rPr>
                <w:sz w:val="20"/>
                <w:szCs w:val="20"/>
                <w:color w:val="auto"/>
              </w:rPr>
            </w:pPr>
            <w:r>
              <w:rPr>
                <w:rFonts w:ascii="Arial" w:cs="Arial" w:eastAsia="Arial" w:hAnsi="Arial"/>
                <w:sz w:val="14"/>
                <w:szCs w:val="14"/>
                <w:color w:val="auto"/>
              </w:rPr>
              <w:t>and common stock options for employee and director compensation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fees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Bad debt expense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3,642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3,863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4,805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1,490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Recognition of deferred gain from sale-leaseback transactions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receivables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(4,232)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647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2,441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4,154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1,487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provided/(used) by 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848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(4,295)</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5,197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Purchase and additions of property and equipment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for rental program</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assets acquired from VendScreen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line="142" w:lineRule="exact"/>
              <w:rPr>
                <w:sz w:val="20"/>
                <w:szCs w:val="20"/>
                <w:color w:val="auto"/>
              </w:rPr>
            </w:pPr>
            <w:r>
              <w:rPr>
                <w:rFonts w:ascii="Arial" w:cs="Arial" w:eastAsia="Arial" w:hAnsi="Arial"/>
                <w:sz w:val="14"/>
                <w:szCs w:val="14"/>
                <w:color w:val="auto"/>
              </w:rPr>
              <w:t>Net cash used by investing activities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(830)</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(5,770)</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(2,713)</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FINANCING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used for the retirement of common stock</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Payment of deferred financing costs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common stock warrants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6,193</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Proceeds (payments) from line of credit, net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long-term debt</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(used)/provided by financing activities</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5,516</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Net (decrease) increase in cash</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3,527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period</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18,034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14,809</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19,272</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2" w:lineRule="exact"/>
              <w:rPr>
                <w:sz w:val="20"/>
                <w:szCs w:val="20"/>
                <w:color w:val="auto"/>
              </w:rPr>
            </w:pPr>
            <w:r>
              <w:rPr>
                <w:rFonts w:ascii="Arial" w:cs="Arial" w:eastAsia="Arial" w:hAnsi="Arial"/>
                <w:sz w:val="14"/>
                <w:szCs w:val="14"/>
                <w:color w:val="auto"/>
              </w:rPr>
              <w:t>Cash at end of period</w:t>
            </w:r>
          </w:p>
        </w:tc>
        <w:tc>
          <w:tcPr>
            <w:tcW w:w="14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17,780</w:t>
            </w:r>
          </w:p>
        </w:tc>
        <w:tc>
          <w:tcPr>
            <w:tcW w:w="80" w:type="dxa"/>
            <w:vAlign w:val="bottom"/>
          </w:tcPr>
          <w:p>
            <w:pPr>
              <w:spacing w:after="0"/>
              <w:rPr>
                <w:sz w:val="12"/>
                <w:szCs w:val="12"/>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14,901</w:t>
            </w:r>
          </w:p>
        </w:tc>
        <w:tc>
          <w:tcPr>
            <w:tcW w:w="14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17,780</w:t>
            </w: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14,901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 in cash</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0" w:type="dxa"/>
            <w:vAlign w:val="bottom"/>
            <w:gridSpan w:val="2"/>
          </w:tcPr>
          <w:p>
            <w:pPr>
              <w:spacing w:after="0" w:line="136" w:lineRule="exact"/>
              <w:rPr>
                <w:sz w:val="20"/>
                <w:szCs w:val="20"/>
                <w:color w:val="auto"/>
              </w:rPr>
            </w:pPr>
            <w:r>
              <w:rPr>
                <w:rFonts w:ascii="Arial" w:cs="Arial" w:eastAsia="Arial" w:hAnsi="Arial"/>
                <w:sz w:val="14"/>
                <w:szCs w:val="14"/>
                <w:color w:val="auto"/>
              </w:rPr>
              <w:t>Depreciation expense allocated to cost of services</w:t>
            </w:r>
          </w:p>
        </w:tc>
        <w:tc>
          <w:tcPr>
            <w:tcW w:w="140" w:type="dxa"/>
            <w:vAlign w:val="bottom"/>
          </w:tcPr>
          <w:p>
            <w:pPr>
              <w:spacing w:after="0"/>
              <w:rPr>
                <w:sz w:val="12"/>
                <w:szCs w:val="12"/>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line="136" w:lineRule="exact"/>
              <w:rPr>
                <w:sz w:val="20"/>
                <w:szCs w:val="20"/>
                <w:color w:val="auto"/>
              </w:rPr>
            </w:pPr>
            <w:r>
              <w:rPr>
                <w:rFonts w:ascii="Arial" w:cs="Arial" w:eastAsia="Arial" w:hAnsi="Arial"/>
                <w:sz w:val="14"/>
                <w:szCs w:val="14"/>
                <w:color w:val="auto"/>
              </w:rPr>
              <w:t>950</w:t>
            </w:r>
          </w:p>
        </w:tc>
        <w:tc>
          <w:tcPr>
            <w:tcW w:w="80" w:type="dxa"/>
            <w:vAlign w:val="bottom"/>
          </w:tcPr>
          <w:p>
            <w:pPr>
              <w:spacing w:after="0"/>
              <w:rPr>
                <w:sz w:val="12"/>
                <w:szCs w:val="12"/>
                <w:color w:val="auto"/>
              </w:rPr>
            </w:pPr>
          </w:p>
        </w:tc>
        <w:tc>
          <w:tcPr>
            <w:tcW w:w="280" w:type="dxa"/>
            <w:vAlign w:val="bottom"/>
          </w:tcPr>
          <w:p>
            <w:pPr>
              <w:jc w:val="right"/>
              <w:ind w:right="128"/>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1,051</w:t>
            </w:r>
          </w:p>
        </w:tc>
        <w:tc>
          <w:tcPr>
            <w:tcW w:w="140" w:type="dxa"/>
            <w:vAlign w:val="bottom"/>
          </w:tcPr>
          <w:p>
            <w:pPr>
              <w:spacing w:after="0"/>
              <w:rPr>
                <w:sz w:val="12"/>
                <w:szCs w:val="12"/>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3,436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Reclass of rental program property to inventory, net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600" w:type="dxa"/>
            <w:vAlign w:val="bottom"/>
            <w:gridSpan w:val="2"/>
          </w:tcPr>
          <w:p>
            <w:pPr>
              <w:spacing w:after="0" w:line="136" w:lineRule="exact"/>
              <w:rPr>
                <w:sz w:val="20"/>
                <w:szCs w:val="20"/>
                <w:color w:val="auto"/>
              </w:rPr>
            </w:pPr>
            <w:r>
              <w:rPr>
                <w:rFonts w:ascii="Arial" w:cs="Arial" w:eastAsia="Arial" w:hAnsi="Arial"/>
                <w:sz w:val="14"/>
                <w:szCs w:val="14"/>
                <w:color w:val="auto"/>
              </w:rPr>
              <w:t>Prepaid items financed with debt</w:t>
            </w:r>
          </w:p>
        </w:tc>
        <w:tc>
          <w:tcPr>
            <w:tcW w:w="140" w:type="dxa"/>
            <w:vAlign w:val="bottom"/>
          </w:tcPr>
          <w:p>
            <w:pPr>
              <w:spacing w:after="0"/>
              <w:rPr>
                <w:sz w:val="12"/>
                <w:szCs w:val="12"/>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line="13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jc w:val="right"/>
              <w:ind w:right="128"/>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103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Equipment and property acquired under capital lease</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1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00" w:type="dxa"/>
            <w:vAlign w:val="bottom"/>
            <w:gridSpan w:val="2"/>
          </w:tcPr>
          <w:p>
            <w:pPr>
              <w:spacing w:after="0" w:line="136" w:lineRule="exact"/>
              <w:rPr>
                <w:sz w:val="20"/>
                <w:szCs w:val="20"/>
                <w:color w:val="auto"/>
              </w:rPr>
            </w:pPr>
            <w:r>
              <w:rPr>
                <w:rFonts w:ascii="Arial" w:cs="Arial" w:eastAsia="Arial" w:hAnsi="Arial"/>
                <w:sz w:val="14"/>
                <w:szCs w:val="14"/>
                <w:color w:val="auto"/>
              </w:rPr>
              <w:t>Disposal of property and equipment</w:t>
            </w:r>
          </w:p>
        </w:tc>
        <w:tc>
          <w:tcPr>
            <w:tcW w:w="140" w:type="dxa"/>
            <w:vAlign w:val="bottom"/>
          </w:tcPr>
          <w:p>
            <w:pPr>
              <w:spacing w:after="0"/>
              <w:rPr>
                <w:sz w:val="11"/>
                <w:szCs w:val="11"/>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line="136"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280" w:type="dxa"/>
            <w:vAlign w:val="bottom"/>
          </w:tcPr>
          <w:p>
            <w:pPr>
              <w:jc w:val="right"/>
              <w:ind w:right="128"/>
              <w:spacing w:after="0" w:line="136"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1"/>
                <w:szCs w:val="11"/>
                <w:color w:val="auto"/>
              </w:rPr>
            </w:pPr>
          </w:p>
        </w:tc>
        <w:tc>
          <w:tcPr>
            <w:tcW w:w="200" w:type="dxa"/>
            <w:vAlign w:val="bottom"/>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748</w:t>
            </w:r>
          </w:p>
        </w:tc>
        <w:tc>
          <w:tcPr>
            <w:tcW w:w="160" w:type="dxa"/>
            <w:vAlign w:val="bottom"/>
          </w:tcPr>
          <w:p>
            <w:pPr>
              <w:spacing w:after="0"/>
              <w:rPr>
                <w:sz w:val="11"/>
                <w:szCs w:val="11"/>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526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w w:val="94"/>
              </w:rPr>
              <w:t>Fair value of common stock warrants at issuance recorded as a debt discount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600" w:type="dxa"/>
            <w:vAlign w:val="bottom"/>
            <w:gridSpan w:val="2"/>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tcPr>
          <w:p>
            <w:pPr>
              <w:spacing w:after="0"/>
              <w:rPr>
                <w:sz w:val="20"/>
                <w:szCs w:val="20"/>
                <w:color w:val="auto"/>
              </w:rPr>
            </w:pPr>
            <w:r>
              <w:rPr>
                <w:rFonts w:ascii="Arial" w:cs="Arial" w:eastAsia="Arial" w:hAnsi="Arial"/>
                <w:sz w:val="14"/>
                <w:szCs w:val="14"/>
                <w:color w:val="auto"/>
              </w:rPr>
              <w:t>Debt financing cost financed with debt</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2016. In the opinion of management, all adjustments considered necessary for a fair presentation, consisting of normal recurring adjustments, have been included. Operating results for the three and nine months ended March 31, 2017 are not necessarily indicative of the results that may be expected for the year ending June 30, 2017. The balance sheet at June 30, 2016 has been derived from the audited consolidated financial statements at that date, but does not include all of the information and footnotes required by U.S. generally accepted accounting principles for complete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UNCOLLECTIBLE ACCOUNTS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for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consists of finished goods and packaging materials. The Company’s inventory is stated at the lower of cost (average cost basis) or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intangible assets include goodwill, non-compete agreements, brand, developed technology and customer relationships.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w:t>
      </w:r>
    </w:p>
    <w:p>
      <w:pPr>
        <w:ind w:firstLine="3"/>
        <w:spacing w:after="0" w:line="261"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ASU also clarifies certain other existing disclosure requirements including level of desegregation and disclosures around inputs and valuation techniques.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 The company makes an adjustment for rebates and product returns.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leases qualify for sales type lease accounting. Accordingly, the Company recognizes a portion of lease payments as interest income for leases not placed with a third-party financing company. At the end of the lease period, the customer would have the option to purchase the device at its residual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the provisions of ASU 2014-16 in determining whether the Company’s Series A Convertible Preferred Stock (“preferred stock”) is more equity-like or debt-like, and whether derivatives embedded in the preferred stock, if any, must be bifurcated and accounted for separately from its host contract. Based upon management’s review of the preferred stock features, management has determined that the preferred stock is more equity-like and that the embedded derivatives do not require bifurcation. As such, the adoption of this standard did not have a material impact on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the ASC Topic 718, the cost of employee services received in exchange for an award of equity instruments is based on the grant-date fair value of the award and allocated over the vesting period of the award.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follows the ASC Topic 740, “Accounting for Uncertainty in Income Taxes”, which provides detailed guidance for the financial statement recognition, measurement and disclosure of uncertain tax positions recognized in the consolidated financial statements. Accordingly, tax positions must meet a “more-likely-than-not” recognition threshold at the effective date to be recognized upon the adoption of ASC Topic 740 and in subsequent periods.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and nine months ended March 31, 2017 and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are calculated by dividing income (loss) applicable to common shares by the weighted average common shares outstanding for the period plus the effect of potential common shares unless such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ASC Topic 350-40, “Accounting for the Cost of Computer Software Developed or obtained for Internal Use”, which provides for guidance for what costs can be capitalized for internal use.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Capitalized costs for internal-use software are included in fixed assets in the consolidated balance sheet and are amortized over three years. 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will have a material effect on the Company’s consolidated financial position, results of operations or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2017, the FASB issued ASU 2017-04 – “Intangibles-Goodwill and Other (Topic 350): Simplifying the test for Goodwill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Commencing with the June 30, 2016 financial statements, the Company changed the manner in which it presents certain unfunded finance receivables in its consolidated balance sheets and the related statements of cash flows. These finance receivables have yet to be and are expected to be funded by a third-party funding source. The previous accounting classification recorded these amounts as accounts receivable in the consolidated balance sheets and the related statements of cash flows. The impact of this change on the Statement of Cash Flows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w w:val="98"/>
              </w:rPr>
              <w:t>Nine months ended</w:t>
            </w:r>
          </w:p>
        </w:tc>
      </w:tr>
      <w:tr>
        <w:trPr>
          <w:trHeight w:val="215"/>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March 31, 2016</w:t>
            </w:r>
          </w:p>
        </w:tc>
      </w:tr>
      <w:tr>
        <w:trPr>
          <w:trHeight w:val="119"/>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3"/>
              <w:spacing w:after="0" w:line="119" w:lineRule="exact"/>
              <w:rPr>
                <w:sz w:val="20"/>
                <w:szCs w:val="20"/>
                <w:color w:val="auto"/>
              </w:rPr>
            </w:pPr>
            <w:r>
              <w:rPr>
                <w:rFonts w:ascii="Arial" w:cs="Arial" w:eastAsia="Arial" w:hAnsi="Arial"/>
                <w:sz w:val="13"/>
                <w:szCs w:val="13"/>
                <w:b w:val="1"/>
                <w:bCs w:val="1"/>
                <w:color w:val="auto"/>
                <w:w w:val="94"/>
              </w:rPr>
              <w:t>Accounts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1"/>
              <w:spacing w:after="0" w:line="119" w:lineRule="exact"/>
              <w:rPr>
                <w:sz w:val="20"/>
                <w:szCs w:val="20"/>
                <w:color w:val="auto"/>
              </w:rPr>
            </w:pPr>
            <w:r>
              <w:rPr>
                <w:rFonts w:ascii="Arial" w:cs="Arial" w:eastAsia="Arial" w:hAnsi="Arial"/>
                <w:sz w:val="13"/>
                <w:szCs w:val="13"/>
                <w:b w:val="1"/>
                <w:bCs w:val="1"/>
                <w:color w:val="auto"/>
              </w:rPr>
              <w:t>Finance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3"/>
              <w:spacing w:after="0" w:line="119" w:lineRule="exact"/>
              <w:rPr>
                <w:sz w:val="20"/>
                <w:szCs w:val="20"/>
                <w:color w:val="auto"/>
              </w:rPr>
            </w:pPr>
            <w:r>
              <w:rPr>
                <w:rFonts w:ascii="Arial" w:cs="Arial" w:eastAsia="Arial" w:hAnsi="Arial"/>
                <w:sz w:val="13"/>
                <w:szCs w:val="13"/>
                <w:b w:val="1"/>
                <w:bCs w:val="1"/>
                <w:color w:val="auto"/>
                <w:w w:val="94"/>
              </w:rPr>
              <w:t>Accounts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1"/>
              <w:spacing w:after="0" w:line="119" w:lineRule="exact"/>
              <w:rPr>
                <w:sz w:val="20"/>
                <w:szCs w:val="20"/>
                <w:color w:val="auto"/>
              </w:rPr>
            </w:pPr>
            <w:r>
              <w:rPr>
                <w:rFonts w:ascii="Arial" w:cs="Arial" w:eastAsia="Arial" w:hAnsi="Arial"/>
                <w:sz w:val="13"/>
                <w:szCs w:val="13"/>
                <w:b w:val="1"/>
                <w:bCs w:val="1"/>
                <w:color w:val="auto"/>
              </w:rPr>
              <w:t>Finance</w:t>
            </w:r>
          </w:p>
        </w:tc>
      </w:tr>
      <w:tr>
        <w:trPr>
          <w:trHeight w:val="171"/>
        </w:trPr>
        <w:tc>
          <w:tcPr>
            <w:tcW w:w="40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Receivable</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Receivables</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Receivable</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Receivables</w:t>
            </w: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Per Original Statement of Cash Flows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193"/>
        </w:trPr>
        <w:tc>
          <w:tcPr>
            <w:tcW w:w="4060" w:type="dxa"/>
            <w:vAlign w:val="bottom"/>
          </w:tcPr>
          <w:p>
            <w:pPr>
              <w:spacing w:after="0"/>
              <w:rPr>
                <w:sz w:val="20"/>
                <w:szCs w:val="20"/>
                <w:color w:val="auto"/>
              </w:rPr>
            </w:pPr>
            <w:r>
              <w:rPr>
                <w:rFonts w:ascii="Arial" w:cs="Arial" w:eastAsia="Arial" w:hAnsi="Arial"/>
                <w:sz w:val="16"/>
                <w:szCs w:val="16"/>
                <w:color w:val="auto"/>
                <w:w w:val="98"/>
              </w:rPr>
              <w:t>Reclass of Unfunded Leases, beginning of period (starting</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BS)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Reclass of Finance Receivables, end of period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r>
      <w:tr>
        <w:trPr>
          <w:trHeight w:val="203"/>
        </w:trPr>
        <w:tc>
          <w:tcPr>
            <w:tcW w:w="4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Impact from the reclassification</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r>
      <w:tr>
        <w:trPr>
          <w:trHeight w:val="20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Statement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7,306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7"/>
              </w:rPr>
              <w:t>3,588</w:t>
            </w:r>
          </w:p>
        </w:tc>
        <w:tc>
          <w:tcPr>
            <w:tcW w:w="0" w:type="dxa"/>
            <w:vAlign w:val="bottom"/>
          </w:tcPr>
          <w:p>
            <w:pPr>
              <w:spacing w:after="0"/>
              <w:rPr>
                <w:sz w:val="1"/>
                <w:szCs w:val="1"/>
                <w:color w:val="auto"/>
              </w:rPr>
            </w:pPr>
          </w:p>
        </w:tc>
      </w:tr>
      <w:tr>
        <w:trPr>
          <w:trHeight w:val="217"/>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3,718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collects monthly payments of its finance receivables from the customers’ transaction fund flow. Accordingly, as the fund flow from these customers’ transactions is generally sufficient to satisfy the amount due to the Company, the risk of loss is considered low and the Company has provided for an allowance for credit losses for finance receivables of $25 thousand and zero as of March 31, 2017 and June 30, 2016, respectively. The number of Finance Receivables that are in a loss position is nine and zero as of March 31, 2017 and June 30, 2016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420" w:type="dxa"/>
            <w:vAlign w:val="bottom"/>
            <w:gridSpan w:val="3"/>
          </w:tcPr>
          <w:p>
            <w:pPr>
              <w:jc w:val="right"/>
              <w:ind w:right="125"/>
              <w:spacing w:after="0"/>
              <w:rPr>
                <w:sz w:val="20"/>
                <w:szCs w:val="20"/>
                <w:color w:val="auto"/>
              </w:rPr>
            </w:pPr>
            <w:r>
              <w:rPr>
                <w:rFonts w:ascii="Arial" w:cs="Arial" w:eastAsia="Arial" w:hAnsi="Arial"/>
                <w:sz w:val="18"/>
                <w:szCs w:val="18"/>
                <w:color w:val="auto"/>
              </w:rPr>
              <w:t>Credit Quality Indicators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5"/>
        </w:trPr>
        <w:tc>
          <w:tcPr>
            <w:tcW w:w="3220" w:type="dxa"/>
            <w:vAlign w:val="bottom"/>
          </w:tcPr>
          <w:p>
            <w:pPr>
              <w:spacing w:after="0"/>
              <w:rPr>
                <w:sz w:val="20"/>
                <w:szCs w:val="20"/>
                <w:color w:val="auto"/>
              </w:rPr>
            </w:pPr>
            <w:r>
              <w:rPr>
                <w:rFonts w:ascii="Arial" w:cs="Arial" w:eastAsia="Arial" w:hAnsi="Arial"/>
                <w:sz w:val="14"/>
                <w:szCs w:val="14"/>
                <w:b w:val="1"/>
                <w:bCs w:val="1"/>
                <w:color w:val="auto"/>
              </w:rPr>
              <w:t>Credit risk profile based on payment activity:</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r>
      <w:tr>
        <w:trPr>
          <w:trHeight w:val="17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2016</w:t>
            </w:r>
          </w:p>
        </w:tc>
      </w:tr>
      <w:tr>
        <w:trPr>
          <w:trHeight w:val="142"/>
        </w:trPr>
        <w:tc>
          <w:tcPr>
            <w:tcW w:w="32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7,174</w:t>
            </w:r>
          </w:p>
        </w:tc>
      </w:tr>
      <w:tr>
        <w:trPr>
          <w:trHeight w:val="216"/>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Nonperforming</w:t>
            </w:r>
          </w:p>
        </w:tc>
        <w:tc>
          <w:tcPr>
            <w:tcW w:w="2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7,306</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12"/>
          </w:tcPr>
          <w:p>
            <w:pPr>
              <w:ind w:left="320"/>
              <w:spacing w:after="0"/>
              <w:rPr>
                <w:sz w:val="20"/>
                <w:szCs w:val="20"/>
                <w:color w:val="auto"/>
              </w:rPr>
            </w:pPr>
            <w:r>
              <w:rPr>
                <w:rFonts w:ascii="Arial" w:cs="Arial" w:eastAsia="Arial" w:hAnsi="Arial"/>
                <w:sz w:val="18"/>
                <w:szCs w:val="18"/>
                <w:color w:val="auto"/>
                <w:w w:val="92"/>
              </w:rPr>
              <w:t>Age Analysis of Past Due Finance Receivables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7"/>
          </w:tcPr>
          <w:p>
            <w:pPr>
              <w:jc w:val="right"/>
              <w:ind w:right="199"/>
              <w:spacing w:after="0"/>
              <w:rPr>
                <w:sz w:val="20"/>
                <w:szCs w:val="20"/>
                <w:color w:val="auto"/>
              </w:rPr>
            </w:pPr>
            <w:r>
              <w:rPr>
                <w:rFonts w:ascii="Arial" w:cs="Arial" w:eastAsia="Arial" w:hAnsi="Arial"/>
                <w:sz w:val="18"/>
                <w:szCs w:val="18"/>
                <w:color w:val="auto"/>
              </w:rPr>
              <w:t>As of March 31, 2017</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31 – 60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61 – 90   Greater than</w:t>
            </w:r>
          </w:p>
        </w:tc>
        <w:tc>
          <w:tcPr>
            <w:tcW w:w="14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Total Past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Days Past</w:t>
            </w:r>
          </w:p>
        </w:tc>
        <w:tc>
          <w:tcPr>
            <w:tcW w:w="1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Due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Due</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Due</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Due</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7"/>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31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634"/>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12"/>
          </w:tcPr>
          <w:p>
            <w:pPr>
              <w:ind w:left="320"/>
              <w:spacing w:after="0"/>
              <w:rPr>
                <w:sz w:val="20"/>
                <w:szCs w:val="20"/>
                <w:color w:val="auto"/>
              </w:rPr>
            </w:pPr>
            <w:r>
              <w:rPr>
                <w:rFonts w:ascii="Arial" w:cs="Arial" w:eastAsia="Arial" w:hAnsi="Arial"/>
                <w:sz w:val="18"/>
                <w:szCs w:val="18"/>
                <w:color w:val="auto"/>
                <w:w w:val="92"/>
              </w:rPr>
              <w:t>Age Analysis of Past Due Finance Receivables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7"/>
          </w:tcPr>
          <w:p>
            <w:pPr>
              <w:jc w:val="right"/>
              <w:ind w:right="259"/>
              <w:spacing w:after="0"/>
              <w:rPr>
                <w:sz w:val="20"/>
                <w:szCs w:val="20"/>
                <w:color w:val="auto"/>
              </w:rPr>
            </w:pPr>
            <w:r>
              <w:rPr>
                <w:rFonts w:ascii="Arial" w:cs="Arial" w:eastAsia="Arial" w:hAnsi="Arial"/>
                <w:sz w:val="18"/>
                <w:szCs w:val="18"/>
                <w:color w:val="auto"/>
              </w:rPr>
              <w:t>As of June 30, 2016</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31 – 60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61 – 90   Greater than</w:t>
            </w:r>
          </w:p>
        </w:tc>
        <w:tc>
          <w:tcPr>
            <w:tcW w:w="14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Total Past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Days Past</w:t>
            </w:r>
          </w:p>
        </w:tc>
        <w:tc>
          <w:tcPr>
            <w:tcW w:w="1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Days Past</w:t>
            </w:r>
          </w:p>
        </w:tc>
        <w:tc>
          <w:tcPr>
            <w:tcW w:w="1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Due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Due</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Due</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Due</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7"/>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98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7,174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15, 2016, the Company executed an Asset Purchase Agreement with VendScreen, Inc (“VendScreen”) a Portland, Oregon based developer of vending industry cashless payment technology, by which it acquired substantially all of VendScreen’s assets and assumed specified liabilities, for a cash payment of $5.62 million and the corresponding goodwill recorded was $4.0 million. In December 2016, the company finalized the opening balance sheet of VendScreen and recorded a reduction of goodwill for $211 thousand and increased finance receivables for the same amount. The final goodwill amount related to VendScreen opening balance sheet is $3.8 million.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final purchase price allocation to reflect the fair values of the assets acquired and liabilities assumed at the date of acquisition.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Consideration:</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Fair value of total consideration paid in cash</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5,625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Acquisition related costs: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6"/>
                <w:szCs w:val="16"/>
                <w:b w:val="1"/>
                <w:bCs w:val="1"/>
                <w:color w:val="auto"/>
              </w:rPr>
              <w:t>Recognized amounts of identifiable assets acquired and liabilities assumed: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gridSpan w:val="2"/>
          </w:tcPr>
          <w:p>
            <w:pPr>
              <w:spacing w:after="0"/>
              <w:rPr>
                <w:sz w:val="20"/>
                <w:szCs w:val="20"/>
                <w:color w:val="auto"/>
              </w:rPr>
            </w:pPr>
            <w:r>
              <w:rPr>
                <w:rFonts w:ascii="Arial" w:cs="Arial" w:eastAsia="Arial" w:hAnsi="Arial"/>
                <w:sz w:val="16"/>
                <w:szCs w:val="16"/>
                <w:color w:val="auto"/>
              </w:rPr>
              <w:t>Financial Assets: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Finance Receivables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Current Assets</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Deferred Income Taxes</w:t>
            </w: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&amp; Equipment</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Identifiable Intangible Assets: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Developed Technology</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Customer Relationships</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Brand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Noncompete Agreement</w:t>
            </w:r>
          </w:p>
        </w:tc>
        <w:tc>
          <w:tcPr>
            <w:tcW w:w="8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Pr>
          <w:p>
            <w:pPr>
              <w:ind w:left="260"/>
              <w:spacing w:after="0"/>
              <w:rPr>
                <w:sz w:val="20"/>
                <w:szCs w:val="20"/>
                <w:color w:val="auto"/>
              </w:rPr>
            </w:pPr>
            <w:r>
              <w:rPr>
                <w:rFonts w:ascii="Arial" w:cs="Arial" w:eastAsia="Arial" w:hAnsi="Arial"/>
                <w:sz w:val="16"/>
                <w:szCs w:val="16"/>
                <w:color w:val="auto"/>
              </w:rPr>
              <w:t>Fair Value of Intangible Assets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00" w:type="dxa"/>
            <w:vAlign w:val="bottom"/>
            <w:gridSpan w:val="2"/>
          </w:tcPr>
          <w:p>
            <w:pPr>
              <w:spacing w:after="0"/>
              <w:rPr>
                <w:sz w:val="20"/>
                <w:szCs w:val="20"/>
                <w:color w:val="auto"/>
              </w:rPr>
            </w:pPr>
            <w:r>
              <w:rPr>
                <w:rFonts w:ascii="Arial" w:cs="Arial" w:eastAsia="Arial" w:hAnsi="Arial"/>
                <w:sz w:val="16"/>
                <w:szCs w:val="16"/>
                <w:color w:val="auto"/>
              </w:rPr>
              <w:t>Financial Liabilities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Liabilities</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Total identifiable net assets</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Goodwill</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Fair Value</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ending March 31, 2017, there was $45 thousand and $132 thousand, respectively, of amortization expense relating to acquired intangible assets. There was $44 amortization expense relating to acquired intangible assets during the three and nine months ended March 31, 2016. Intangible asset balances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Balance</w:t>
            </w: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June 30, 2016</w:t>
            </w: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LINE OF CREDIT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“Heritage Line of Credit”) at an interest rate calculated based on the Federal Reserves’ Prime, which was 3.75% at March 31, 2017, plus 2.25%. The Heritage Line of Credit and the Company’s obligations under the Heritage Loan Documents are secured by substantially all of the Company’s assets, including its intellectual property.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Heritage Line of Credit from March 29, 2017 to September 30, 2018. The Company paid a toal of $90 thousand in deferred financing costs.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w:t>
      </w:r>
    </w:p>
    <w:p>
      <w:pPr>
        <w:jc w:val="both"/>
        <w:spacing w:after="0" w:line="270" w:lineRule="auto"/>
        <w:rPr>
          <w:sz w:val="20"/>
          <w:szCs w:val="20"/>
          <w:color w:val="auto"/>
        </w:rPr>
      </w:pPr>
      <w:r>
        <w:rPr>
          <w:rFonts w:ascii="Arial" w:cs="Arial" w:eastAsia="Arial" w:hAnsi="Arial"/>
          <w:sz w:val="17"/>
          <w:szCs w:val="17"/>
          <w:color w:val="auto"/>
        </w:rPr>
        <w:t>The Heritage Loan Documents contain customary representations and warranties and affirmative and negative covenants applicable to the Company. The Heritage Loan Documents also require the Company to achieve a minimum Adjusted EBITDA, as defined in the Heritage Loan Documents, measured on a quarterly basis; that the number of the Company’s connections as of the end of each fiscal quarter shall not decrease below a specified number or by more than five percent as compared to the number of the Company’s connections as of the end of the immediately prior fiscal quarter; and that the Company shall maintain a minimum balance of unrestricted cash at Heritage Bank.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due on the Heritage Line of Credit was $7.0 million at March 31, 2017 and $7.1 million at June 30, 2016. Included in the Heritage Line of Credit balance is $90 thousand of unamortized debt issuance costs, which is reflected in our net liability of $7.0 million for the quarter ending March 31, 2017. As of March 31, 2017, $5.0 million was available under our line of credit. Interest expense on the line of credit was approximately $100 thousand and $300 thousand for the three and nine months ended March 31,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periodically enters into capital lease obligations to finance certain office, network equipment and related support for use in its daily operations. During the nine-month period ended March 31, 2017, the Company commenced capital lease obligations of $380 thousand. The obligations are due in two to five years in monthly or quarterly installments of $1 thousand to $21 thousand. The value of the acquired equipment is included in property and equipment and amortized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2016, the fair values of the Company’s Level 3 financial instrument totaled $3.7 million for 2.2 million warrants. The Level 3 financial instrument consist of common stock warrants issued by the Company in March 2011, which include features requiring liability treatment of the warrants. The fair value of warrants issued in March 2011 to purchase shares of the Company’s common stock is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nine months ended March 31, 2017 all of the aforementioned warrants were exercised and the then-fair value warrant liability was reclassified as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Level 3 financial instruments for the three and nine months ended March 31,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right"/>
              <w:ind w:right="174"/>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w w:val="95"/>
              </w:rPr>
              <w:t>Increase due to change in fair value of warrant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(4,805)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(5,692)</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 of fair value of warranty liability to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upon exercise of warrants</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(5,964)</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(5,964)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or level 3 during the three and nine months ended March 31, 2017 and March 31, 2016. As of March 31, 2017 and June 30, 2016, the Company held no Level 1 or Level 2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March 31, 2017, income tax expense of $209 thousand and $94 thousand, respectively, (substantially all deferred income taxes) were recorded. The expense are based upon income before income taxes using an estimated annual effective income tax rate of 31% for the fiscal year ending June 30, 2017. The provision for the nine months ended March 31, 2017 consists of a charge for the tax effect of the change in the fair value of warrant liabilities which was treated discretely offset by a tax benefit based upon income before benefit for income taxes using the estimated annual effective income tax rate of 23% for the fiscal year ending June 30, 2017. All of those warrants were exercised as of September 30, 2016.</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March 31, 2016, an income tax benefit/(provision) of $93 thousand and $(88) thousand respectively, (substantially all deferred income taxes) were recorded. The benefit (provision) consist of a charge for the tax effect of the change in the fair value of warrant liabilities which was treated discretely offset by a tax benefit based upon loss before benefit (provision) for income taxes using an estimated annual effective income tax rate of 33% for the fiscal year ended June 30,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2017 and 2016, there were 0 and 634,100 warrants exercised. During the nine months ended March 31, 2017, 2,376,675 warrants were exercised at $2.6058 per share yielding proceeds of $6.2 million, and 24,733 warrants were exercised at $2.10 per share in a cashless exercise. The following table summarizes warrant activity for the three and nine months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2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8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820" w:type="dxa"/>
            <w:vAlign w:val="bottom"/>
          </w:tcPr>
          <w:p>
            <w:pPr>
              <w:spacing w:after="0"/>
              <w:rPr>
                <w:sz w:val="12"/>
                <w:szCs w:val="12"/>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4,298,000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4,309,000</w:t>
            </w:r>
          </w:p>
        </w:tc>
        <w:tc>
          <w:tcPr>
            <w:tcW w:w="182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Issued</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23,978</w:t>
            </w:r>
          </w:p>
        </w:tc>
        <w:tc>
          <w:tcPr>
            <w:tcW w:w="260" w:type="dxa"/>
            <w:vAlign w:val="bottom"/>
          </w:tcPr>
          <w:p>
            <w:pPr>
              <w:spacing w:after="0"/>
              <w:rPr>
                <w:sz w:val="18"/>
                <w:szCs w:val="18"/>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23,978</w:t>
            </w:r>
          </w:p>
        </w:tc>
        <w:tc>
          <w:tcPr>
            <w:tcW w:w="18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(2,401,408)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(645,100)</w:t>
            </w:r>
          </w:p>
        </w:tc>
        <w:tc>
          <w:tcPr>
            <w:tcW w:w="182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7"/>
        </w:trPr>
        <w:tc>
          <w:tcPr>
            <w:tcW w:w="2520" w:type="dxa"/>
            <w:vAlign w:val="bottom"/>
          </w:tcPr>
          <w:p>
            <w:pPr>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3,687,878</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3,687,878</w:t>
            </w:r>
          </w:p>
        </w:tc>
        <w:tc>
          <w:tcPr>
            <w:tcW w:w="1820" w:type="dxa"/>
            <w:vAlign w:val="bottom"/>
          </w:tcPr>
          <w:p>
            <w:pPr>
              <w:spacing w:after="0"/>
              <w:rPr>
                <w:sz w:val="18"/>
                <w:szCs w:val="18"/>
                <w:color w:val="auto"/>
              </w:rPr>
            </w:pPr>
          </w:p>
        </w:tc>
      </w:tr>
      <w:tr>
        <w:trPr>
          <w:trHeight w:val="864"/>
        </w:trPr>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2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2016 stock options were awarded to purchase up to 20,080 shares of common stock at an exercise price of $4.98 per share. The options vest on August 31, 2017, and expire if not exercised prior to August 31, 2023. The options are intended to qualify as incentive stock options under Section 422 of the Internal Revenue Code of 1986, as amended. During the quarter ending March 31, 2017, three employees were issued the option to purchase 105,000 shares of common stock, of which 75,000 are classified as non-qualified stock options, exercisable at $4.00 per share, and the remaining 30,000 are intended to qualify as incentive stock options, exercisable at $4.05 per share. Of the 105,000 shares of common stock issued for the option to purchase, 95,000 shares expire on March 31, 2024 and 10,000 expire on February 6, 2024. The fair value of options granted during the nine months ended March 31, 2017 and 2016 was estimated using the following weighted average assumptions:</w:t>
      </w:r>
    </w:p>
    <w:p>
      <w:pPr>
        <w:spacing w:after="0" w:line="187"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Nine months ended</w:t>
      </w:r>
    </w:p>
    <w:p>
      <w:pPr>
        <w:ind w:left="5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49 - 50 %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59 - 66 %</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life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w w:val="94"/>
              </w:rPr>
              <w:t>3 - 4 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w w:val="87"/>
              </w:rPr>
              <w:t>4 - 4.5 years</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1.06 - 1.90 %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1.34 - 1.49 %</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125,080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194,586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4.17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3.21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1.64</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based compensation related to stock options for the three months ended March 31, 2017 and 2016 was $61 thousand and $67 thousand, respectively and $155 thousand and $274 thousand, respectively for the nine months ended March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2016 $40 thousand of stock grants were awarded to each non-employee Director based on the prior 30-day average closing price of the Company’s Common Stock, for a total of 56,784 shares. The shares vest as follows: 18,960 on July 1, 2017, 18,960 on July 1, 2018 and 18,954 on July 1, 2019. The total expense recognized for these grants during the three and nine months ended March 31, 2017 was $37 thousand and $110 thousand.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March 31, 2017, the Company awarded an aggregate of 78,711 shares to its Chief Executive Officer and Chief Services Officer under its fiscal year 2016 long term stock incentive plan and an aggregate of 13,771 shares to three non-employee Directors in satisfaction of board fees. During the nine-month period, the Chief Executive Officer cancelled 6,533 shares of Common Stock awarded to him under the 2016 fiscal year long term stock incentive plan in satisfaction of $31 thousand of related payroll obligations.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March 31, 2017, the Company issued an aggregate of 2,401,408 shares upon the exercise of outstanding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LTI PLANS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approved the Fiscal Year 2017 Long-Term Stock Incentive Plan (the “2017 LTI Stock Plan”) which provides that executive officers would be awarded shares of common stock of the Company in the event that certain metrics relating to the Company’s 2017 fiscal year would result in specified ranges of year-over-year percentage growth. The metrics are total number of connections as of June 30, 2017 as compared to total number of connections as of June 30, 2016 (50%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weighting) and adjusted EBITDA earned during the 2017 fiscal year as compared to the adjusted EBITDA earned during the 2016 fiscal year (50% weighting).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$675,000 (150% of base salary), Chief Services Officer (“CSO”) - $250,000 (100% of base salary), and Chief Financial Officer (“CFO”) - $103,125 (75% of base salary less proration for the current fiscal year). If all of the maximum distinguished year-over-year percentage target goals are achieved, the executive officers would be awarded shares having the following value: CEO - $1,012,500 (225% of base salary), CSO - $375,000 (150% of base salary), and CFO - $154,688 (112.50% of base salary less prorated for the current fiscal year).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2017 LTI Stock Plan would vest as follows: one-third at the time of issuance; one-third on June 30, 2018; and one-third on June 30, 2019.</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long-term stock incentive plans (“LTI”) in prior fiscal years for its then executive officers. Stock based compensation related to the LTI plans was as follows in the three and nine months ended March 31, 2017 and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FY17 LTI Plan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FY16 LTI Plan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FY15 LTI Plan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FY14 LTI Plan</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March 31, 2017 the Company entered into a lease agreement for its operations in Portland, Oregon, which commenced October 1, 2016. The new location consists of 5,362 square feet and will expire in December 2019. The lease includes monthly rental payments of $11 thousand. The straight-line rent expense for this lease is $11 thousand per month.</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during the normal course of business which, in the opinion of the management of the Company,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82" w:lineRule="exact"/>
        <w:rPr>
          <w:sz w:val="20"/>
          <w:szCs w:val="20"/>
          <w:color w:val="auto"/>
        </w:rPr>
      </w:pPr>
    </w:p>
    <w:p>
      <w:pPr>
        <w:ind w:left="420" w:hanging="9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420" w:hanging="9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400" w:hanging="73"/>
        <w:spacing w:after="0" w:line="308"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the Company’s customers continue to utilize the Company’s transaction processing and related services, as our customer agreements are generally cancelable by the customer on thirty to sixty days’ notice;</w:t>
      </w:r>
    </w:p>
    <w:p>
      <w:pPr>
        <w:spacing w:after="0" w:line="146" w:lineRule="exact"/>
        <w:rPr>
          <w:rFonts w:ascii="Arial" w:cs="Arial" w:eastAsia="Arial" w:hAnsi="Arial"/>
          <w:sz w:val="17"/>
          <w:szCs w:val="17"/>
          <w:color w:val="auto"/>
        </w:rPr>
      </w:pPr>
    </w:p>
    <w:p>
      <w:pPr>
        <w:ind w:left="400" w:hanging="73"/>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the Company to satisfy its trade obligations included in accounts payable and accrued expenses;</w:t>
      </w:r>
    </w:p>
    <w:p>
      <w:pPr>
        <w:spacing w:after="0" w:line="236" w:lineRule="exact"/>
        <w:rPr>
          <w:rFonts w:ascii="Arial" w:cs="Arial" w:eastAsia="Arial" w:hAnsi="Arial"/>
          <w:sz w:val="17"/>
          <w:szCs w:val="17"/>
          <w:color w:val="auto"/>
        </w:rPr>
      </w:pPr>
    </w:p>
    <w:p>
      <w:pPr>
        <w:ind w:left="400" w:hanging="73"/>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7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400" w:hanging="73"/>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the Company to retain key customers from whom a significant portion of its revenues are derived;</w:t>
      </w:r>
    </w:p>
    <w:p>
      <w:pPr>
        <w:spacing w:after="0" w:line="236" w:lineRule="exact"/>
        <w:rPr>
          <w:rFonts w:ascii="Arial" w:cs="Arial" w:eastAsia="Arial" w:hAnsi="Arial"/>
          <w:sz w:val="17"/>
          <w:szCs w:val="17"/>
          <w:color w:val="auto"/>
        </w:rPr>
      </w:pPr>
    </w:p>
    <w:p>
      <w:pPr>
        <w:ind w:left="420" w:hanging="9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400" w:hanging="73"/>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ind w:left="400" w:hanging="73"/>
        <w:spacing w:after="0" w:line="264"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remediation of the control deficiencies that gave rise to the material weakness that we identified in our internal controls over financial reporting, and which was reflected in our annual report on Form 10-K for the fiscal year ended June 30, 2016, would be effective or successful;</w:t>
      </w:r>
    </w:p>
    <w:p>
      <w:pPr>
        <w:spacing w:after="0" w:line="181"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400" w:hanging="73"/>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generates revenue in multiple ways. During the quarters ended March 31, 2017 and 2016, we derived 66.0% and 72.3% of our revenues from recurring license and transaction fees related to our ePort Connect service and 34.0% and 27.7% of our revenue from equipment sales, respectively.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9" w:lineRule="exact"/>
        <w:rPr>
          <w:sz w:val="20"/>
          <w:szCs w:val="20"/>
          <w:color w:val="auto"/>
        </w:rPr>
      </w:pPr>
    </w:p>
    <w:p>
      <w:pPr>
        <w:ind w:left="420" w:hanging="93"/>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400" w:right="100" w:hanging="73"/>
        <w:spacing w:after="0" w:line="308"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Financing devices under the Company’s QuickStart Program, which are non-cancellable sixty month sales-type leases, through an unrelated equipment financing company, if available, or directly from the Company; and</w:t>
      </w:r>
    </w:p>
    <w:p>
      <w:pPr>
        <w:spacing w:after="0" w:line="146" w:lineRule="exact"/>
        <w:rPr>
          <w:rFonts w:ascii="Arial" w:cs="Arial" w:eastAsia="Arial" w:hAnsi="Arial"/>
          <w:sz w:val="17"/>
          <w:szCs w:val="17"/>
          <w:color w:val="auto"/>
        </w:rPr>
      </w:pPr>
    </w:p>
    <w:p>
      <w:pPr>
        <w:ind w:right="360" w:firstLine="327"/>
        <w:spacing w:after="0" w:line="501"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 Highlights of the Company are below:</w:t>
      </w:r>
    </w:p>
    <w:p>
      <w:pPr>
        <w:ind w:left="440" w:hanging="113"/>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88 employees with its headquarters in Malvern, Pennsylvania;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hanging="113"/>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12,400 customers and 504,000 connections to our service;</w:t>
      </w:r>
    </w:p>
    <w:p>
      <w:pPr>
        <w:spacing w:after="0" w:line="22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OEMs and national distribution partners;</w:t>
      </w:r>
    </w:p>
    <w:p>
      <w:pPr>
        <w:spacing w:after="0" w:line="170" w:lineRule="exact"/>
        <w:rPr>
          <w:rFonts w:ascii="Arial" w:cs="Arial" w:eastAsia="Arial" w:hAnsi="Arial"/>
          <w:sz w:val="18"/>
          <w:szCs w:val="18"/>
          <w:color w:val="auto"/>
        </w:rPr>
      </w:pPr>
    </w:p>
    <w:p>
      <w:pPr>
        <w:ind w:left="480" w:hanging="15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77 United States and foreign patents are in force;</w:t>
      </w:r>
    </w:p>
    <w:p>
      <w:pPr>
        <w:spacing w:after="0" w:line="225" w:lineRule="exact"/>
        <w:rPr>
          <w:rFonts w:ascii="Arial" w:cs="Arial" w:eastAsia="Arial" w:hAnsi="Arial"/>
          <w:sz w:val="18"/>
          <w:szCs w:val="18"/>
          <w:color w:val="auto"/>
        </w:rPr>
      </w:pPr>
    </w:p>
    <w:p>
      <w:pPr>
        <w:ind w:left="480" w:hanging="15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fiscal year ends June 30</w:t>
      </w:r>
      <w:r>
        <w:rPr>
          <w:rFonts w:ascii="Arial" w:cs="Arial" w:eastAsia="Arial" w:hAnsi="Arial"/>
          <w:sz w:val="8"/>
          <w:szCs w:val="8"/>
          <w:color w:val="auto"/>
        </w:rPr>
        <w:t>th</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420" w:hanging="93"/>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deferred tax assets of approximately $27.6 million resulting from a series of operating loss carry forwards that may be available to offset future taxable income from federal income taxes over the next five or more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 The company makes an adjustment for rebates and product returns.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leases qualify for sales type lease accounting. Accordingly, the Company recognizes a portion of lease payments as interest income for leases not placed with a third-party financing company. At the end of the lease period, the customer would have the option to purchase the device at its residual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Non-compete agreements, brand, developed technology, and customer relationships,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THREE MONTHS ENDED MARCH 31, 2017 AND MARCH 31, 2016 INCLUDE: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As of and for the three months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right"/>
              <w:ind w:right="451"/>
              <w:spacing w:after="0" w:line="149" w:lineRule="exact"/>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20" w:type="dxa"/>
            <w:vAlign w:val="bottom"/>
            <w:gridSpan w:val="2"/>
          </w:tcPr>
          <w:p>
            <w:pPr>
              <w:spacing w:after="0"/>
              <w:rPr>
                <w:sz w:val="20"/>
                <w:szCs w:val="20"/>
                <w:color w:val="auto"/>
              </w:rPr>
            </w:pPr>
            <w:r>
              <w:rPr>
                <w:rFonts w:ascii="Arial" w:cs="Arial" w:eastAsia="Arial" w:hAnsi="Arial"/>
                <w:sz w:val="14"/>
                <w:szCs w:val="14"/>
                <w:i w:val="1"/>
                <w:iCs w:val="1"/>
                <w:color w:val="auto"/>
                <w:w w:val="95"/>
              </w:rPr>
              <w:t>(Connections and $'s in thousands, transactions in millions, eps is not rounded)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License and transaction fees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Equipment sales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License and transaction fee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gross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Overall Gross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shares - 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New Connections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Connections (at period end)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Transactions (millions)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Transaction Volume (millions)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864"/>
        </w:trPr>
        <w:tc>
          <w:tcPr>
            <w:tcW w:w="472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NINE MONTHS ENDED MARCH 31, 2017 AND MARCH 31, 2016 INCLUDE:</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(Connections and $'s in thousands, transactions in millions, eps is not rounded)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2160"/>
        <w:spacing w:after="0"/>
        <w:rPr>
          <w:sz w:val="20"/>
          <w:szCs w:val="20"/>
          <w:color w:val="auto"/>
        </w:rPr>
      </w:pPr>
      <w:r>
        <w:rPr>
          <w:rFonts w:ascii="Arial" w:cs="Arial" w:eastAsia="Arial" w:hAnsi="Arial"/>
          <w:sz w:val="12"/>
          <w:szCs w:val="12"/>
          <w:b w:val="1"/>
          <w:bCs w:val="1"/>
          <w:color w:val="auto"/>
        </w:rPr>
        <w:t>As of and for the nine months</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4"/>
          <w:szCs w:val="14"/>
          <w:b w:val="1"/>
          <w:bCs w:val="1"/>
          <w:color w:val="auto"/>
        </w:rPr>
        <w:t>ended March 31,</w:t>
      </w:r>
    </w:p>
    <w:p>
      <w:pPr>
        <w:spacing w:after="0" w:line="53" w:lineRule="exact"/>
        <w:rPr>
          <w:sz w:val="20"/>
          <w:szCs w:val="20"/>
          <w:color w:val="auto"/>
        </w:rPr>
      </w:pPr>
    </w:p>
    <w:p>
      <w:pPr>
        <w:ind w:left="220"/>
        <w:spacing w:after="0"/>
        <w:tabs>
          <w:tab w:leader="none" w:pos="1280" w:val="left"/>
          <w:tab w:leader="none" w:pos="2280" w:val="left"/>
          <w:tab w:leader="none" w:pos="3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30" w:lineRule="exact"/>
        <w:rPr>
          <w:sz w:val="20"/>
          <w:szCs w:val="20"/>
          <w:color w:val="auto"/>
        </w:rPr>
      </w:pPr>
    </w:p>
    <w:p>
      <w:pPr>
        <w:sectPr>
          <w:pgSz w:w="11900" w:h="16838" w:orient="portrait"/>
          <w:cols w:equalWidth="0" w:num="2">
            <w:col w:w="4580" w:space="500"/>
            <w:col w:w="398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gridSpan w:val="2"/>
          </w:tcPr>
          <w:p>
            <w:pPr>
              <w:spacing w:after="0" w:line="189" w:lineRule="exact"/>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License and transaction fees</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Equipment sales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License and transaction fee margin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gross margin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Overall Gross Margin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(loss)/income</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shares - basic and diluted</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New Connections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Connections (at period end)</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Transactions (millions)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Transaction Volume (millions)</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income</w:t>
            </w:r>
          </w:p>
        </w:tc>
        <w:tc>
          <w:tcPr>
            <w:tcW w:w="11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certain financial and non-financial data over a five-quarter period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Connections &amp; Other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rPr>
              <w:t>As of and for the three months ended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000" w:type="dxa"/>
            <w:vAlign w:val="bottom"/>
            <w:gridSpan w:val="2"/>
          </w:tcPr>
          <w:p>
            <w:pPr>
              <w:jc w:val="right"/>
              <w:ind w:right="13"/>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Connections: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New Connections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from Existing Customer Base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Net New Connections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Connections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Customers: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New Customers Added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Customers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Volumes: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7"/>
              </w:rPr>
              <w:t>Total Number of Transactions (millions)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Volume (millions)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4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Financing Structure of Connections: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JumpStart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QuickStart &amp; All Others *</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March 31, 2017 include:</w:t>
      </w:r>
    </w:p>
    <w:p>
      <w:pPr>
        <w:spacing w:after="0" w:line="225" w:lineRule="exact"/>
        <w:rPr>
          <w:sz w:val="20"/>
          <w:szCs w:val="20"/>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35,000 net new connections to our ePort Connect service in the quarter; and</w:t>
      </w:r>
    </w:p>
    <w:p>
      <w:pPr>
        <w:spacing w:after="0" w:line="23" w:lineRule="exact"/>
        <w:rPr>
          <w:rFonts w:ascii="Arial" w:cs="Arial" w:eastAsia="Arial" w:hAnsi="Arial"/>
          <w:sz w:val="18"/>
          <w:szCs w:val="18"/>
          <w:color w:val="auto"/>
        </w:rPr>
      </w:pPr>
    </w:p>
    <w:p>
      <w:pPr>
        <w:ind w:left="400" w:right="360" w:hanging="73"/>
        <w:spacing w:after="0" w:line="261"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504,000 connections to the ePort Connect service compared to the same quarter last year of approximately 401,000 connections, an increase of 103,000 connections, or 25.7%.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Quarter Ended March 31, 2017 compared to Quarter Ended March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w w:val="95"/>
              </w:rPr>
              <w:t>($ in thousands, except shares and per share data)</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3"/>
                <w:szCs w:val="13"/>
                <w:b w:val="1"/>
                <w:bCs w:val="1"/>
                <w:color w:val="auto"/>
              </w:rPr>
              <w:t>For the three months ended March 31,</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29"/>
        </w:trPr>
        <w:tc>
          <w:tcPr>
            <w:tcW w:w="28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349"/>
              <w:spacing w:after="0" w:line="12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 of Sales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348"/>
              <w:spacing w:after="0" w:line="129"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 of Sales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License and transaction fees</w:t>
            </w:r>
          </w:p>
        </w:tc>
        <w:tc>
          <w:tcPr>
            <w:tcW w:w="4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17,459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w:t>
            </w:r>
          </w:p>
        </w:tc>
        <w:tc>
          <w:tcPr>
            <w:tcW w:w="3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14,727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w:t>
            </w:r>
          </w:p>
        </w:tc>
        <w:tc>
          <w:tcPr>
            <w:tcW w:w="6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2,732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sales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9,001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5,634</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3,367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26,460</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20,361</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6,099</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Costs of sales/revenues: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services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Cost of equipment</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7,959</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88.4%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4,986</w:t>
            </w:r>
          </w:p>
        </w:tc>
        <w:tc>
          <w:tcPr>
            <w:tcW w:w="84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88.5%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2,973</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costs of sales/revenues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19,835</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14,689</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5,146</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5,947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6,094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6,206</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23.5%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6,267</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(61)</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(4,805)</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other expense, net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(74)</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(4,918)</w:t>
            </w:r>
          </w:p>
        </w:tc>
        <w:tc>
          <w:tcPr>
            <w:tcW w:w="9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(24.2%)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4,844</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(5,513)</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5,858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(5,420)</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Cumulative preferred dividends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900" w:type="dxa"/>
            <w:vAlign w:val="bottom"/>
            <w:tcBorders>
              <w:bottom w:val="single" w:sz="8" w:color="CCEEFF"/>
            </w:tcBorders>
            <w:gridSpan w:val="3"/>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loss applicable to common shares</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w:t>
            </w:r>
          </w:p>
        </w:tc>
        <w:tc>
          <w:tcPr>
            <w:tcW w:w="8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(5,754)</w:t>
            </w:r>
          </w:p>
        </w:tc>
        <w:tc>
          <w:tcPr>
            <w:tcW w:w="90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(28.3%)</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5,556</w:t>
            </w:r>
          </w:p>
        </w:tc>
        <w:tc>
          <w:tcPr>
            <w:tcW w:w="8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Net loss per common share - basic and diluted</w:t>
            </w:r>
          </w:p>
        </w:tc>
        <w:tc>
          <w:tcPr>
            <w:tcW w:w="4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Basic and diluted weighted average number of</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common shares outstanding</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40,327,697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36,161,626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4,166,071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net new connections of approximately 35,000 for the three months ended March 31,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approximately 32,000 in the same period last year represents an increase of 9.4%. The Company’s total connections have grown to 504,000 at March 31, 2017 compared to 401,000 at March 31, 2016, or a 25.7% increase year-over-year. The increase in total connections is driving the growth in license and transaction fees of 18.6% quarter-over-quarter. The increase in equipment revenue is due to more units sold during the three-month period ended March 31, 2017 compared to the same period last year.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License and transaction fees gross margin for the three-month period ended March 31, 2017 decreased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32.0% from the gross margin of 34.1% during the three-month period ended March 31, 2016. The decrease in license and transaction gross margin is attributable to, among other things, reduced fees periodically extended to customers who offer strategic and/or large market opportunities.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Equipment gross margins increased from 11.5% for the three-month period ended March 31, 2016 to 11.6% for the three-month period ended March 31, 2017. The increase in equipment gross margin is primarily attributable to cost reductions with respect to our products during the three-month period ended March 31, 2017 as compared to the quarter end March 31, 2016.</w:t>
      </w:r>
    </w:p>
    <w:p>
      <w:pPr>
        <w:spacing w:after="0" w:line="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$61 thousand or 1.0% for the three-month period ended March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prior period in 2016, representing 23.5% and 30.8% of sales, respectively. The $86 thousand increase in depreciation and amortization is primarily due to the assets acquired in the VendScreen acquisition. As reflected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Table 5 below, our SG&amp;A expense for the March 31, 2017 quarter was approximately $0.1 million less than our SG&amp;A expense for the March 31, 2016 quarter, representing 22.5% and 29.9% of sales, respectively.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Total Other Income (Expense). </w:t>
      </w:r>
      <w:r>
        <w:rPr>
          <w:rFonts w:ascii="Arial" w:cs="Arial" w:eastAsia="Arial" w:hAnsi="Arial"/>
          <w:sz w:val="16"/>
          <w:szCs w:val="16"/>
          <w:color w:val="auto"/>
        </w:rPr>
        <w:t>Total Other Income (Expense) includes interest expense, other income, and the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warrants. The primary driver for volatility in Other Income / (Expense) has been non-cash changes to the fair value of the warrant liabilities which are based on the Company’s stock price. Using the Black-Scholes model, the Company adjusts the warrant liability for fair value through the income statement quarterly. For the three-month period ended March 31, 2017, the Company did not record any expense for the change in the fair value of warrant liabilities compared to recording an expense of $4.8 million for the three months ended March 31, 2016. As the warrants giving rise to the warrant liability were exercised in September 2016, there was no such liability recorded in the March 31, 2017 quarter.</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Net Income (Loss). </w:t>
      </w:r>
      <w:r>
        <w:rPr>
          <w:rFonts w:ascii="Arial" w:cs="Arial" w:eastAsia="Arial" w:hAnsi="Arial"/>
          <w:sz w:val="16"/>
          <w:szCs w:val="16"/>
          <w:color w:val="auto"/>
        </w:rPr>
        <w:t>Net income (loss) is a function of the items described above. Net income for the quarter end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was $0.1 million compared to net loss of $5.4 million for the comparable period a year ago. The primary reason for the difference in net income (loss) was the warrant liability charge taken during the quarter ended March 31, 2016. The Company earned ($0.00) per share during the quarter as compared to a loss of ($0.16) per share during the prior corresponding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three months ended March 31, 2017, adjusted EBITDA increased to $1.9 million from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quarter ended March 31, 2016. The increase was primarily due to the net income earned during the quarter ended March 31, 2017 as compared to the net loss incurred during the prior corresponding quarter adjusted for the fair value of the warrant liabilities.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Non-GAAP Net Income (Loss). </w:t>
      </w:r>
      <w:r>
        <w:rPr>
          <w:rFonts w:ascii="Arial" w:cs="Arial" w:eastAsia="Arial" w:hAnsi="Arial"/>
          <w:sz w:val="17"/>
          <w:szCs w:val="17"/>
          <w:color w:val="auto"/>
        </w:rPr>
        <w:t>Non-GAAP net income increased to $0.3 million for the three months ended March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Non-GAAP net loss of $0.1 million for the quarter ended March 31, 2016. The increase was primarily due to the net income earned during the quarter ended March 31, 2017 as compared to the net loss incurred during the prior corresponding quarter adjusted for the fair value of the warrant liabilities. an increase in gross profit.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increase in the weighted average number of common shares was due to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warrants and to stock issued pursuant to the Company’s stock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Nine Months Ended March 31, 2017 compared to the Nine Months Ended March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w w:val="95"/>
              </w:rPr>
              <w:t>($ in thousands, except shares and per share data)</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3"/>
                <w:szCs w:val="13"/>
                <w:b w:val="1"/>
                <w:bCs w:val="1"/>
                <w:color w:val="auto"/>
              </w:rPr>
              <w:t>For the nine months ended March 31,</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29"/>
        </w:trPr>
        <w:tc>
          <w:tcPr>
            <w:tcW w:w="28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349"/>
              <w:spacing w:after="0" w:line="12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 of Sales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348"/>
              <w:spacing w:after="0" w:line="129"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 of Sales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License and transaction fees</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50,463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w:t>
            </w:r>
          </w:p>
        </w:tc>
        <w:tc>
          <w:tcPr>
            <w:tcW w:w="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41,326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74.5%</w:t>
            </w:r>
          </w:p>
        </w:tc>
        <w:tc>
          <w:tcPr>
            <w:tcW w:w="6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9,137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sales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19,341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14,138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69,804</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55,464</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14,340</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Costs of sales/revenues: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services</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Cost of equipment</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16,170</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83.6%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11,787</w:t>
            </w:r>
          </w:p>
        </w:tc>
        <w:tc>
          <w:tcPr>
            <w:tcW w:w="84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83.4%</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4,383</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costs of sales/revenues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50,678</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72.6%</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39,262</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11,416</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18,649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15,652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2,997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19,423</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27.8%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16,091</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3,332</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Operating (loss) income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(5,692)</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Arial" w:cs="Arial" w:eastAsia="Arial" w:hAnsi="Arial"/>
                <w:sz w:val="14"/>
                <w:szCs w:val="14"/>
                <w:color w:val="auto"/>
              </w:rPr>
              <w:t>Total other expense, net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(1,704)</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(5,957)</w:t>
            </w:r>
          </w:p>
        </w:tc>
        <w:tc>
          <w:tcPr>
            <w:tcW w:w="9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4,253</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(5,846)</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3,845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(5,934)</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Cumulative preferred dividends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900" w:type="dxa"/>
            <w:vAlign w:val="bottom"/>
            <w:tcBorders>
              <w:bottom w:val="single" w:sz="8" w:color="CCEEFF"/>
            </w:tcBorders>
            <w:gridSpan w:val="3"/>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loss applicable to common shares</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(2,763)</w:t>
            </w:r>
          </w:p>
        </w:tc>
        <w:tc>
          <w:tcPr>
            <w:tcW w:w="8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(6,602)</w:t>
            </w:r>
          </w:p>
        </w:tc>
        <w:tc>
          <w:tcPr>
            <w:tcW w:w="84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3,839</w:t>
            </w:r>
          </w:p>
        </w:tc>
        <w:tc>
          <w:tcPr>
            <w:tcW w:w="8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Net loss per common share - basic and diluted</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Basic and diluted weighted average number of</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common shares outstanding</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39,703,690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35,972,633</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3,731,057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Company’s total connections have grown to 504,000 at March 31, 2017 compared to 401,000 at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or a 25.7% increase year-over-year. The increase in total connections is driving the growth in license and transaction fees of 22.1% year over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License and transaction fees gross margin for the nine months ended March 31, 2017 decreased to 31.6%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gross margin of 33.5% during the nine months ended March 31, 2016. The decrease in license and transaction gross margin is attributable to, among other things, reduced fees periodically extended to customers who offer strategic and/or large market opportunities.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Equipment gross margin decreased slightly from 16.6% for the nine-month period ended March 31, 2016 to 16.4% for the nine-month period ended March 31, 2017. The decrease in gross margin on a year-to-date basis is primarily attributable to reduced pricing periodically extended to customers who offer strategic and/or large market opportunites.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$3.3 million or 20.7% for the nine-month period ended March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prior period in fiscal year 2016. The $2.4 million increase of professional services is attributable to SOX 404 compliance, internal audit, and audit of our financial statements driven primarily by our status as a first time accelerated filer which required an audit of our annual SOX 404 assessment. The $0.8 million increase in salaries and benefits increase is due to employee compensation, headcount and employee related medical benefits. The $0.3 million increase in premises, equipment and insurance costs is due to increasing rent expense for leased properties and employer business insurance. The $0.4 million increase in marketing related expenses is due to marketing and customer promotions.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as a percentage of sales decreased for the nine months ended March 31, 2017 to 27.8% compared to 29.0% for the nine months ended March 31,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Total Other Income (Expense). </w:t>
      </w:r>
      <w:r>
        <w:rPr>
          <w:rFonts w:ascii="Arial" w:cs="Arial" w:eastAsia="Arial" w:hAnsi="Arial"/>
          <w:sz w:val="18"/>
          <w:szCs w:val="18"/>
          <w:color w:val="auto"/>
        </w:rPr>
        <w:t>Total Other Income (Expense) includes interest expense, other income, and the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warrants. The primary driver for volatility in Other Income / (Expense) has been non-cash changes to the fair value of the warrant liabilities which are based on the Company’s stock price. Using the Black-Scholes model, the Company adjusts the warrant liability for fair value through the income statement quarterly. For the nine months ended March 31, 2017, the Company recorded a $1.5 million expense for the change in the fair value of warrant liabilities (all attributable to the quarter ended September 30, 2016) compared to the $5.7 million expense for the nine months ended March 31, 2016. As the warrants associated with the liability were exercised in September 2016, there will be no fair value expense recorded in subsequent periods.</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is a function of the items described above. Net loss for the nine months ended March 31, 2017 was $2.1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a net loss of $5.9 million for the comparable period a year ago. The Company lost ($0.07) per share during the nine month period as compared to a loss of ($0.18) per share during the prior corresponding nine month period.</w:t>
      </w:r>
    </w:p>
    <w:p>
      <w:pPr>
        <w:spacing w:after="0" w:line="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For the nine months ended March 31, 2017, adjusted EBITDA decreased to $4.3 million from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March 31, 2016 or 19.8%. The decrease was primarily due to increased adjustments made for VendScreen non-recurring charges and litigation related professional fees during the prior corresponding nine month period as well as favorable comparable operating results for the prior corresponding nine month period after adjustment for the warrant liabilities.</w:t>
      </w:r>
    </w:p>
    <w:p>
      <w:pPr>
        <w:spacing w:after="0" w:line="5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Non-GAAP Net Income (Loss). </w:t>
      </w:r>
      <w:r>
        <w:rPr>
          <w:rFonts w:ascii="Arial" w:cs="Arial" w:eastAsia="Arial" w:hAnsi="Arial"/>
          <w:sz w:val="17"/>
          <w:szCs w:val="17"/>
          <w:color w:val="auto"/>
        </w:rPr>
        <w:t>Non-GAAP net loss decreased to ($0.4) million for the nine months ended March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non-GAAP net income for the nine months ended March 31, 2016 of $0.7 million. The decrease was primarily due to increased adjustments made for VendScreen non-recurring charges and litigation related professional fees during the prior corresponding nine month period as well as favorable comparable operating results for the prior corresponding nine month period after adjustment for the warrant liabilities.</w:t>
      </w:r>
    </w:p>
    <w:p>
      <w:pPr>
        <w:spacing w:after="0" w:line="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increase in the weighted average number of common shares was due to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warrants and to stock issued pursuant to the Company’s stock compensation programs.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Reconciliation of Net Income (Loss) to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4"/>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right"/>
              <w:ind w:right="15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(5,420)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(5,934)</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Less interest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interest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Plus income tax provision / (Less income tax benefit)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depreciation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3,863</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amortization expense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(1,674)</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Plus loss on fair value of warrant liabilities / (Less gain 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warrant liabilities)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5,692</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Plus stock-based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VendScreen non-recurring charges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Litigation related professional fees</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EBITDA</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7,032</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5,358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As used herein, Adjusted EBITDA represents net income (loss) before interest income, interest expense, income taxes, depreciation, amortization, non-recurring fees and charges that were incurred in connection with the integration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VendScreen business,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costs and expenses incurred in connection with the VendScreen transaction in order to allow more accurate comparison of the financial results to historical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Selling General &amp; Administrative (SG&amp;A)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10"/>
        </w:trPr>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March 31,</w:t>
            </w:r>
          </w:p>
        </w:tc>
        <w:tc>
          <w:tcPr>
            <w:tcW w:w="50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 of</w:t>
            </w:r>
          </w:p>
        </w:tc>
        <w:tc>
          <w:tcPr>
            <w:tcW w:w="140" w:type="dxa"/>
            <w:vAlign w:val="bottom"/>
          </w:tcPr>
          <w:p>
            <w:pPr>
              <w:spacing w:after="0"/>
              <w:rPr>
                <w:sz w:val="9"/>
                <w:szCs w:val="9"/>
                <w:color w:val="auto"/>
              </w:rPr>
            </w:pPr>
          </w:p>
        </w:tc>
        <w:tc>
          <w:tcPr>
            <w:tcW w:w="9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December 31,</w:t>
            </w:r>
          </w:p>
        </w:tc>
        <w:tc>
          <w:tcPr>
            <w:tcW w:w="4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 of</w:t>
            </w:r>
          </w:p>
        </w:tc>
        <w:tc>
          <w:tcPr>
            <w:tcW w:w="140" w:type="dxa"/>
            <w:vAlign w:val="bottom"/>
          </w:tcPr>
          <w:p>
            <w:pPr>
              <w:spacing w:after="0"/>
              <w:rPr>
                <w:sz w:val="9"/>
                <w:szCs w:val="9"/>
                <w:color w:val="auto"/>
              </w:rPr>
            </w:pPr>
          </w:p>
        </w:tc>
        <w:tc>
          <w:tcPr>
            <w:tcW w:w="92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September 30,</w:t>
            </w:r>
          </w:p>
        </w:tc>
        <w:tc>
          <w:tcPr>
            <w:tcW w:w="4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 of</w:t>
            </w: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June 30,</w:t>
            </w:r>
          </w:p>
        </w:tc>
        <w:tc>
          <w:tcPr>
            <w:tcW w:w="46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 of</w:t>
            </w:r>
          </w:p>
        </w:tc>
        <w:tc>
          <w:tcPr>
            <w:tcW w:w="140" w:type="dxa"/>
            <w:vAlign w:val="bottom"/>
          </w:tcPr>
          <w:p>
            <w:pPr>
              <w:spacing w:after="0"/>
              <w:rPr>
                <w:sz w:val="9"/>
                <w:szCs w:val="9"/>
                <w:color w:val="auto"/>
              </w:rPr>
            </w:pPr>
          </w:p>
        </w:tc>
        <w:tc>
          <w:tcPr>
            <w:tcW w:w="6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March 31,</w:t>
            </w:r>
          </w:p>
        </w:tc>
        <w:tc>
          <w:tcPr>
            <w:tcW w:w="4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 of</w:t>
            </w:r>
          </w:p>
        </w:tc>
      </w:tr>
      <w:tr>
        <w:trPr>
          <w:trHeight w:val="153"/>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thousands)</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2017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SG&amp;A</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SG&amp;A</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SG&amp;A</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2016</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SG&amp;A</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2016</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SG&amp;A</w:t>
            </w:r>
          </w:p>
        </w:tc>
      </w:tr>
      <w:tr>
        <w:trPr>
          <w:trHeight w:val="129"/>
        </w:trPr>
        <w:tc>
          <w:tcPr>
            <w:tcW w:w="23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Salaries and benefit costs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3,060</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51.5%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2,849</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3,129</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3,050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2,760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45.4%</w:t>
            </w: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3"/>
                <w:szCs w:val="13"/>
                <w:color w:val="auto"/>
              </w:rPr>
              <w:t>Marketing related expenses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569</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578</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329</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635</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362</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Professional services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1,472</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1,213</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2,520</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1,533</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1,152</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18.9%</w:t>
            </w: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3"/>
                <w:szCs w:val="13"/>
                <w:color w:val="auto"/>
              </w:rPr>
              <w:t>Bad debt expense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127</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97</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470</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505</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9"/>
              </w:rPr>
              <w:t>Premises, equipment and insurance costs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482</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3"/>
                <w:szCs w:val="13"/>
                <w:color w:val="auto"/>
                <w:w w:val="98"/>
              </w:rPr>
              <w:t>Research and development expenses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95</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173</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124</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131</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VendScreen non-recurring charges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258</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3"/>
                <w:szCs w:val="13"/>
                <w:color w:val="auto"/>
              </w:rPr>
              <w:t>Litigation related professional fees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0.5%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35"/>
        </w:trPr>
        <w:tc>
          <w:tcPr>
            <w:tcW w:w="2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expenses</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142</w:t>
            </w: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c>
          <w:tcPr>
            <w:tcW w:w="14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r>
      <w:tr>
        <w:trPr>
          <w:trHeight w:val="136"/>
        </w:trPr>
        <w:tc>
          <w:tcPr>
            <w:tcW w:w="23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SG&amp;A expenses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5,947</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5,793</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6,909</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6,721</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6,094</w:t>
            </w:r>
          </w:p>
        </w:tc>
        <w:tc>
          <w:tcPr>
            <w:tcW w:w="1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r>
      <w:tr>
        <w:trPr>
          <w:trHeight w:val="135"/>
        </w:trPr>
        <w:tc>
          <w:tcPr>
            <w:tcW w:w="2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Revenue</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26,460</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21,756</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21,588</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21,944</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20,361</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60"/>
        </w:trPr>
        <w:tc>
          <w:tcPr>
            <w:tcW w:w="2300" w:type="dxa"/>
            <w:vAlign w:val="bottom"/>
          </w:tcPr>
          <w:p>
            <w:pPr>
              <w:spacing w:after="0"/>
              <w:rPr>
                <w:sz w:val="20"/>
                <w:szCs w:val="20"/>
                <w:color w:val="auto"/>
              </w:rPr>
            </w:pPr>
            <w:r>
              <w:rPr>
                <w:rFonts w:ascii="Arial" w:cs="Arial" w:eastAsia="Arial" w:hAnsi="Arial"/>
                <w:sz w:val="13"/>
                <w:szCs w:val="13"/>
                <w:color w:val="auto"/>
                <w:w w:val="88"/>
              </w:rPr>
              <w:t>SG&amp;A expenses as a percentage of revenue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22.5%</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26.6%</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7"/>
              </w:rPr>
              <w:t>30.6%</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29.9%</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r>
    </w:tbl>
    <w:p>
      <w:pPr>
        <w:spacing w:after="0" w:line="3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Salaries and Benefit Costs. </w:t>
      </w:r>
      <w:r>
        <w:rPr>
          <w:rFonts w:ascii="Arial" w:cs="Arial" w:eastAsia="Arial" w:hAnsi="Arial"/>
          <w:sz w:val="16"/>
          <w:szCs w:val="16"/>
          <w:color w:val="auto"/>
        </w:rPr>
        <w:t>Includes employee compensation and benefits, directors’ fees, cash incentive bonus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The increase in cost for the three months ended March 31, 2017 compared to three months ended December 31, 2016, related to an increase in employee headcount as we continue to expand our operations offset by a decrease in the bonus accrual during the three-months ended March 31, 2017 as compared to the December 31, 2016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Related expenses. </w:t>
      </w:r>
      <w:r>
        <w:rPr>
          <w:rFonts w:ascii="Arial" w:cs="Arial" w:eastAsia="Arial" w:hAnsi="Arial"/>
          <w:sz w:val="18"/>
          <w:szCs w:val="18"/>
          <w:color w:val="auto"/>
        </w:rPr>
        <w:t>Marketing related costs include marketing activities and customer promotions.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Includes information technology, legal, public relations, auditing, SOX 404 and other consulting work.</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 expense during the March 31, 2017 quarter increased by approximately $0.3 million from the professional service expense during the December 31, 2016 quarter, reflecting increases in SOX 404 compliance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Premises, equipment and insurance costs. </w:t>
      </w:r>
      <w:r>
        <w:rPr>
          <w:rFonts w:ascii="Arial" w:cs="Arial" w:eastAsia="Arial" w:hAnsi="Arial"/>
          <w:sz w:val="18"/>
          <w:szCs w:val="18"/>
          <w:color w:val="auto"/>
        </w:rPr>
        <w:t>Includes facilities, supplies, printing and postage, sales and use taxes, and workers’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Includes product development costs that cannot be capitalized, including materials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contractors. Research and development costs decreased for the three-month period ended March 31, 2017 compared to the three-month period ended December 31, 2016 due to an increase in our capitialized production costs.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VendScreen Non-recurring charges</w:t>
      </w:r>
      <w:r>
        <w:rPr>
          <w:rFonts w:ascii="Arial" w:cs="Arial" w:eastAsia="Arial" w:hAnsi="Arial"/>
          <w:sz w:val="17"/>
          <w:szCs w:val="17"/>
          <w:color w:val="auto"/>
        </w:rPr>
        <w:t>. Reflects professional fees incurred in connection with the VendScreen integration.</w:t>
      </w:r>
    </w:p>
    <w:p>
      <w:pPr>
        <w:spacing w:after="0" w:line="23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Litigation related professional fees. </w:t>
      </w:r>
      <w:r>
        <w:rPr>
          <w:rFonts w:ascii="Arial" w:cs="Arial" w:eastAsia="Arial" w:hAnsi="Arial"/>
          <w:sz w:val="18"/>
          <w:szCs w:val="18"/>
          <w:color w:val="auto"/>
        </w:rPr>
        <w:t>Includes legal and other professional fees incurred in connection with the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as well as the investigation conducted by the Special Litigation Committee of the Board of Directors described in our Form 10-K for the 2016 fiscal year (the “SLC Investigation”).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subscriptions, and the gain or loss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of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6"/>
                <w:szCs w:val="16"/>
                <w:color w:val="auto"/>
              </w:rPr>
              <w:t>($ in thousands)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SG&amp;A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SG&amp;A</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Salaries and benefit costs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8,231</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Marketing related expenses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1,476</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Bad debt expense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Premises, equipment and insurance costs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VendScreen non-recurring charges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Litigation related professional fees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3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3460" w:type="dxa"/>
            <w:vAlign w:val="bottom"/>
            <w:gridSpan w:val="2"/>
          </w:tcPr>
          <w:p>
            <w:pPr>
              <w:spacing w:after="0"/>
              <w:rPr>
                <w:sz w:val="20"/>
                <w:szCs w:val="20"/>
                <w:color w:val="auto"/>
              </w:rPr>
            </w:pPr>
            <w:r>
              <w:rPr>
                <w:rFonts w:ascii="Arial" w:cs="Arial" w:eastAsia="Arial" w:hAnsi="Arial"/>
                <w:sz w:val="16"/>
                <w:szCs w:val="16"/>
                <w:color w:val="auto"/>
              </w:rPr>
              <w:t>Total SG&amp;A expenses</w:t>
            </w:r>
          </w:p>
        </w:tc>
        <w:tc>
          <w:tcPr>
            <w:tcW w:w="6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18,649</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15,652</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Total Revenue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69,804</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55,464</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SG&amp;A expenses as a percentage of revenue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Salaries and Benefit Costs. </w:t>
      </w:r>
      <w:r>
        <w:rPr>
          <w:rFonts w:ascii="Arial" w:cs="Arial" w:eastAsia="Arial" w:hAnsi="Arial"/>
          <w:sz w:val="18"/>
          <w:szCs w:val="18"/>
          <w:color w:val="auto"/>
        </w:rPr>
        <w:t>Includes employee compensation and benefits, directors’ fees, incentives,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The increase in cost for the nine months ended March 31, 2017, related to increases in employee compensation, headcount (primarily due to the VendScreen acquisition), and employee health benefits.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Marketing Related expenses. </w:t>
      </w:r>
      <w:r>
        <w:rPr>
          <w:rFonts w:ascii="Arial" w:cs="Arial" w:eastAsia="Arial" w:hAnsi="Arial"/>
          <w:sz w:val="17"/>
          <w:szCs w:val="17"/>
          <w:color w:val="auto"/>
        </w:rPr>
        <w:t>Marketing related costs increased due to marketing activities and customer promotions.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Includes information technology, legal, public relations, auditing, SOX 404 and other consulting work.</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for the nine months ended March 31, 2017 is related to SOX 404 compliance, internal audit, and audit of our financial statements driven primarily by our status as a first time accelerated filer which required an audit of our annual SOX 404 assessment.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Premises, equipment and insurance costs. </w:t>
      </w:r>
      <w:r>
        <w:rPr>
          <w:rFonts w:ascii="Arial" w:cs="Arial" w:eastAsia="Arial" w:hAnsi="Arial"/>
          <w:sz w:val="18"/>
          <w:szCs w:val="18"/>
          <w:color w:val="auto"/>
        </w:rPr>
        <w:t>Includes facilities, supplies, printing and postage, sales and use taxes, and workers’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The increase for the nine months ended March 31, 2017 compared to the same period in 2016 is primarily attributable to increases in rent expense reflecting the addition of the Portland, Oregon office in January 2016 and the new lease agreement for the Malvern, Pennsylvania office.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Includes product development costs that cannot be capitalized, including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Vendscreen Non-recurring charges</w:t>
      </w:r>
      <w:r>
        <w:rPr>
          <w:rFonts w:ascii="Arial" w:cs="Arial" w:eastAsia="Arial" w:hAnsi="Arial"/>
          <w:sz w:val="17"/>
          <w:szCs w:val="17"/>
          <w:color w:val="auto"/>
        </w:rPr>
        <w:t>. Reflects professional fees incurred in connection with the VendScreen integration.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Litigation related professional fees. </w:t>
      </w:r>
      <w:r>
        <w:rPr>
          <w:rFonts w:ascii="Arial" w:cs="Arial" w:eastAsia="Arial" w:hAnsi="Arial"/>
          <w:sz w:val="18"/>
          <w:szCs w:val="18"/>
          <w:color w:val="auto"/>
        </w:rPr>
        <w:t>Includes legal and other professional fees incurred in connection with the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as well as the SLC Investigation.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and subscriptions.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Non-GAAP Income (Loss) per Share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711"/>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portion of 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Fair value of warrant adjustment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VendScreen non-recurring charges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Litigation related professional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Cumulative preferred dividends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applicable to common shares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Cumulative preferred dividends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Non-GAAP net income (loss) applicable to common shares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 basic and diluted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Non-GAAP net income (loss) per common share - basic and</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4"/>
        </w:trPr>
        <w:tc>
          <w:tcPr>
            <w:tcW w:w="46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Basic and diluted weighted average number of common shares</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40,327,697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36,161,626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39,703,690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35,972,633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The increase in the weighted average number of common shares was due to exercises of warrants and to stock issued through the Company’s stock compensation programs.</w:t>
      </w:r>
    </w:p>
    <w:p>
      <w:pPr>
        <w:spacing w:after="0" w:line="170" w:lineRule="exact"/>
        <w:rPr>
          <w:sz w:val="20"/>
          <w:szCs w:val="20"/>
          <w:color w:val="auto"/>
        </w:rPr>
      </w:pPr>
    </w:p>
    <w:p>
      <w:pPr>
        <w:jc w:val="both"/>
        <w:ind w:right="240" w:firstLine="45"/>
        <w:spacing w:after="0" w:line="285" w:lineRule="auto"/>
        <w:rPr>
          <w:sz w:val="20"/>
          <w:szCs w:val="20"/>
          <w:color w:val="auto"/>
        </w:rPr>
      </w:pPr>
      <w:r>
        <w:rPr>
          <w:rFonts w:ascii="Arial" w:cs="Arial" w:eastAsia="Arial" w:hAnsi="Arial"/>
          <w:sz w:val="16"/>
          <w:szCs w:val="16"/>
          <w:i w:val="1"/>
          <w:iCs w:val="1"/>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integration of the VendScreen business, and professional fees incurred in connection with the class action litigation and the SLC Investigation. Non-GAAP net earnings (loss) per common share - diluted is calculated by dividing non-GAAP net income (loss) applicable to common shares by the number of diluted weighted average shares outstanding.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00"/>
          </w:cols>
          <w:pgMar w:left="1420" w:top="125" w:right="117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Balance Sheet as of March 31, 2017 Compared to June 30,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19,272</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200"/>
              <w:spacing w:after="0" w:line="201" w:lineRule="exact"/>
              <w:rPr>
                <w:sz w:val="20"/>
                <w:szCs w:val="20"/>
                <w:color w:val="auto"/>
              </w:rPr>
            </w:pPr>
            <w:r>
              <w:rPr>
                <w:rFonts w:ascii="Arial" w:cs="Arial" w:eastAsia="Arial" w:hAnsi="Arial"/>
                <w:sz w:val="18"/>
                <w:szCs w:val="18"/>
                <w:color w:val="auto"/>
                <w:w w:val="98"/>
              </w:rPr>
              <w:t>Accounts receivable, less allowance for doubtful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accounts of $2,851 and $2,814,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Finance receivables, less allowance for credit losses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$25 and $0,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less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00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Current obligations under 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gain from sale-leaseback transactions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Deferred gain from sale-leaseback transactions, less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Preferred stock, no par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no par value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(181,507)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88,992</w:t>
            </w:r>
          </w:p>
        </w:tc>
        <w:tc>
          <w:tcPr>
            <w:tcW w:w="1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84,833</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working capital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11,915</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4,871</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7,044</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Key points from the Balance Sheet as of March 31, 2017 compared to June 30, 2016 include:</w:t>
      </w:r>
    </w:p>
    <w:p>
      <w:pPr>
        <w:spacing w:after="0" w:line="225" w:lineRule="exact"/>
        <w:rPr>
          <w:sz w:val="20"/>
          <w:szCs w:val="20"/>
          <w:color w:val="auto"/>
        </w:rPr>
      </w:pPr>
    </w:p>
    <w:p>
      <w:pPr>
        <w:jc w:val="both"/>
        <w:ind w:left="400" w:hanging="73"/>
        <w:spacing w:after="0" w:line="25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million increase to shareholders’ equity primarily due to $12.1 million increase in common stock offset by our $2.1 million net loss. The increase in common stock included $6.2 million of cash proceeds and $5.2 million of the reclassification of fair value of warrant liability, both attributable to warrants exercised during the September 30, 2016 quarter for 2.4 million shares of common stock; and</w:t>
      </w:r>
    </w:p>
    <w:p>
      <w:pPr>
        <w:spacing w:after="0" w:line="186" w:lineRule="exact"/>
        <w:rPr>
          <w:rFonts w:ascii="Arial" w:cs="Arial" w:eastAsia="Arial" w:hAnsi="Arial"/>
          <w:sz w:val="18"/>
          <w:szCs w:val="18"/>
          <w:color w:val="auto"/>
        </w:rPr>
      </w:pPr>
    </w:p>
    <w:p>
      <w:pPr>
        <w:ind w:left="400" w:right="260" w:hanging="73"/>
        <w:spacing w:after="0" w:line="25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 million increase in net working capital primarily attributable to a $1.8 million increase in accounts receivable, a $2.1 million increase in inventory, an increase of $600 thousand of prepaid expenses and other current assets, a decrease in accounts payable of $0.8 million, and a $3.7 million decrease due to the elimination of any warrant liabilities as of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Quarterly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90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3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(2,464)</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Adjustments to reconcile net (loss) income to net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cash provided by (used in) operating activities: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line="130" w:lineRule="exact"/>
              <w:rPr>
                <w:sz w:val="20"/>
                <w:szCs w:val="20"/>
                <w:color w:val="auto"/>
              </w:rPr>
            </w:pPr>
            <w:r>
              <w:rPr>
                <w:rFonts w:ascii="Arial" w:cs="Arial" w:eastAsia="Arial" w:hAnsi="Arial"/>
                <w:sz w:val="14"/>
                <w:szCs w:val="14"/>
                <w:color w:val="auto"/>
                <w:w w:val="93"/>
              </w:rPr>
              <w:t>Charges incurred in connection with the vesting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w w:val="92"/>
              </w:rPr>
              <w:t>issuance of common stock for employee and director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fees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Impairment of intangible asset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Deferred income taxes,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Recognition of deferred gain from sale-leaseback</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(1,038)</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Finance receivables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(2,587)</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(3,661)</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Net change in operating assets and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(634)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(6,675)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(used) by operating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(6,265)</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w w:val="96"/>
              </w:rPr>
              <w:t>Purchase and additions of property and equipment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for rental program</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assets acquired from VendScreen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color w:val="auto"/>
                <w:w w:val="98"/>
              </w:rPr>
              <w:t>Net cash provided by (used in) investing activities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(1,073)</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used for the retirement of common stock</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Payment of deferred financing costs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Proceeds from exercise of common stock warrants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6,193</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3,237</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Proceeds (payments) from line of credit,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long-term debt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8"/>
              </w:rPr>
              <w:t>Net cash (used in) provided by financing activities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6,001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3,040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Net (decrease) increase in 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period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19,272</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14,901</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14,809</w:t>
            </w: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2" w:lineRule="exact"/>
              <w:rPr>
                <w:sz w:val="20"/>
                <w:szCs w:val="20"/>
                <w:color w:val="auto"/>
              </w:rPr>
            </w:pPr>
            <w:r>
              <w:rPr>
                <w:rFonts w:ascii="Arial" w:cs="Arial" w:eastAsia="Arial" w:hAnsi="Arial"/>
                <w:sz w:val="14"/>
                <w:szCs w:val="14"/>
                <w:color w:val="auto"/>
              </w:rPr>
              <w:t>Cash at end of period</w:t>
            </w:r>
          </w:p>
        </w:tc>
        <w:tc>
          <w:tcPr>
            <w:tcW w:w="300" w:type="dxa"/>
            <w:vAlign w:val="bottom"/>
            <w:gridSpan w:val="2"/>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17,780</w:t>
            </w:r>
          </w:p>
        </w:tc>
        <w:tc>
          <w:tcPr>
            <w:tcW w:w="8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18,034</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18,198</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19,272</w:t>
            </w:r>
          </w:p>
        </w:tc>
        <w:tc>
          <w:tcPr>
            <w:tcW w:w="1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14,901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i w:val="1"/>
                <w:iCs w:val="1"/>
                <w:color w:val="auto"/>
                <w:w w:val="96"/>
              </w:rPr>
              <w:t>Supplemental disclosures of cash flow information: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 in cash</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1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60" w:type="dxa"/>
            <w:vAlign w:val="bottom"/>
            <w:gridSpan w:val="2"/>
          </w:tcPr>
          <w:p>
            <w:pPr>
              <w:spacing w:after="0" w:line="136" w:lineRule="exact"/>
              <w:rPr>
                <w:sz w:val="20"/>
                <w:szCs w:val="20"/>
                <w:color w:val="auto"/>
              </w:rPr>
            </w:pPr>
            <w:r>
              <w:rPr>
                <w:rFonts w:ascii="Arial" w:cs="Arial" w:eastAsia="Arial" w:hAnsi="Arial"/>
                <w:sz w:val="14"/>
                <w:szCs w:val="14"/>
                <w:color w:val="auto"/>
              </w:rPr>
              <w:t>Income taxes paid by cash</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501</w:t>
            </w:r>
          </w:p>
        </w:tc>
        <w:tc>
          <w:tcPr>
            <w:tcW w:w="140" w:type="dxa"/>
            <w:vAlign w:val="bottom"/>
          </w:tcPr>
          <w:p>
            <w:pPr>
              <w:spacing w:after="0"/>
              <w:rPr>
                <w:sz w:val="12"/>
                <w:szCs w:val="12"/>
                <w:color w:val="auto"/>
              </w:rPr>
            </w:pPr>
          </w:p>
        </w:tc>
        <w:tc>
          <w:tcPr>
            <w:tcW w:w="14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7"/>
              </w:rPr>
              <w:t>Depreciation expense allocated to cost of services</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1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1,139</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43"/>
        </w:trPr>
        <w:tc>
          <w:tcPr>
            <w:tcW w:w="3060" w:type="dxa"/>
            <w:vAlign w:val="bottom"/>
            <w:gridSpan w:val="2"/>
          </w:tcPr>
          <w:p>
            <w:pPr>
              <w:spacing w:after="0" w:line="136" w:lineRule="exact"/>
              <w:rPr>
                <w:sz w:val="20"/>
                <w:szCs w:val="20"/>
                <w:color w:val="auto"/>
              </w:rPr>
            </w:pPr>
            <w:r>
              <w:rPr>
                <w:rFonts w:ascii="Arial" w:cs="Arial" w:eastAsia="Arial" w:hAnsi="Arial"/>
                <w:sz w:val="14"/>
                <w:szCs w:val="14"/>
                <w:color w:val="auto"/>
                <w:w w:val="95"/>
              </w:rPr>
              <w:t>Reclass of rental program property to inventory, net</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6"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415</w:t>
            </w:r>
          </w:p>
        </w:tc>
        <w:tc>
          <w:tcPr>
            <w:tcW w:w="140" w:type="dxa"/>
            <w:vAlign w:val="bottom"/>
          </w:tcPr>
          <w:p>
            <w:pPr>
              <w:spacing w:after="0"/>
              <w:rPr>
                <w:sz w:val="12"/>
                <w:szCs w:val="12"/>
                <w:color w:val="auto"/>
              </w:rPr>
            </w:pPr>
          </w:p>
        </w:tc>
        <w:tc>
          <w:tcPr>
            <w:tcW w:w="14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Prepaid items financed with debt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060" w:type="dxa"/>
            <w:vAlign w:val="bottom"/>
            <w:gridSpan w:val="2"/>
          </w:tcPr>
          <w:p>
            <w:pPr>
              <w:spacing w:after="0" w:line="136" w:lineRule="exact"/>
              <w:rPr>
                <w:sz w:val="20"/>
                <w:szCs w:val="20"/>
                <w:color w:val="auto"/>
              </w:rPr>
            </w:pPr>
            <w:r>
              <w:rPr>
                <w:rFonts w:ascii="Arial" w:cs="Arial" w:eastAsia="Arial" w:hAnsi="Arial"/>
                <w:sz w:val="14"/>
                <w:szCs w:val="14"/>
                <w:color w:val="auto"/>
                <w:w w:val="92"/>
              </w:rPr>
              <w:t>Equipment and property acquired under capital lease</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6"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254</w:t>
            </w:r>
          </w:p>
        </w:tc>
        <w:tc>
          <w:tcPr>
            <w:tcW w:w="16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Disposal of property and equipment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40" w:type="dxa"/>
            <w:vAlign w:val="bottom"/>
          </w:tcPr>
          <w:p>
            <w:pPr>
              <w:spacing w:after="0" w:line="104" w:lineRule="exact"/>
              <w:rPr>
                <w:sz w:val="20"/>
                <w:szCs w:val="20"/>
                <w:color w:val="auto"/>
              </w:rPr>
            </w:pPr>
            <w:r>
              <w:rPr>
                <w:rFonts w:ascii="Arial" w:cs="Arial" w:eastAsia="Arial" w:hAnsi="Arial"/>
                <w:sz w:val="11"/>
                <w:szCs w:val="11"/>
                <w:color w:val="auto"/>
              </w:rPr>
              <w:t>Fair value of common stock warrants at issuance</w:t>
            </w:r>
          </w:p>
        </w:tc>
        <w:tc>
          <w:tcPr>
            <w:tcW w:w="30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8"/>
                <w:szCs w:val="8"/>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1"/>
        </w:trPr>
        <w:tc>
          <w:tcPr>
            <w:tcW w:w="3060" w:type="dxa"/>
            <w:vAlign w:val="bottom"/>
            <w:gridSpan w:val="2"/>
          </w:tcPr>
          <w:p>
            <w:pPr>
              <w:spacing w:after="0" w:line="154" w:lineRule="exact"/>
              <w:rPr>
                <w:sz w:val="20"/>
                <w:szCs w:val="20"/>
                <w:color w:val="auto"/>
              </w:rPr>
            </w:pPr>
            <w:r>
              <w:rPr>
                <w:rFonts w:ascii="Arial" w:cs="Arial" w:eastAsia="Arial" w:hAnsi="Arial"/>
                <w:sz w:val="14"/>
                <w:szCs w:val="14"/>
                <w:color w:val="auto"/>
              </w:rPr>
              <w:t>recorded as a debt discount</w:t>
            </w:r>
          </w:p>
        </w:tc>
        <w:tc>
          <w:tcPr>
            <w:tcW w:w="3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Debt financing cost financed with debt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Operating cash flow of $0.8 million for the quarter ended March 31, 2017 decreased $3.5 million from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 Reasons for this included:</w:t>
      </w:r>
    </w:p>
    <w:p>
      <w:pPr>
        <w:spacing w:after="0" w:line="211" w:lineRule="exact"/>
        <w:rPr>
          <w:sz w:val="20"/>
          <w:szCs w:val="20"/>
          <w:color w:val="auto"/>
        </w:rPr>
      </w:pPr>
    </w:p>
    <w:p>
      <w:pPr>
        <w:ind w:left="740" w:right="520" w:hanging="89"/>
        <w:spacing w:after="0" w:line="24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secured late in the current quarter a large contract which was the primary cause of the finance receivables cash effect of ($3.9) million;</w:t>
      </w:r>
    </w:p>
    <w:p>
      <w:pPr>
        <w:ind w:left="740" w:right="100" w:hanging="8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receivable cash effect of $1.6 million primarily due to a decrease in net amounts due from customers for ePort Connect service; and</w:t>
      </w:r>
    </w:p>
    <w:p>
      <w:pPr>
        <w:spacing w:after="0" w:line="1"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payable and accrued expenses cash effect of ($2.7) million primarily due to the timing of payments;</w:t>
      </w:r>
    </w:p>
    <w:p>
      <w:pPr>
        <w:spacing w:after="0" w:line="3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same quarter to quarter period, net cash used by investing activities decreased $4.9 million, primarily due to the $5.6 million cash outlay for the purchase of Vendscreen in January 2016 offset by a cash outlay of $0.7 million during the current quarter for property for rental program.</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same quarter to quarter period, net cash from financing activities decreased $1.8 million, primarily due to a decrease in proceeds from the exercise of warrants of $1.7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 for the nine months ended March 31, 2017 decreased $9.5 million from the nine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Primary components which contributed were:</w:t>
      </w:r>
    </w:p>
    <w:p>
      <w:pPr>
        <w:spacing w:after="0" w:line="211" w:lineRule="exact"/>
        <w:rPr>
          <w:sz w:val="20"/>
          <w:szCs w:val="20"/>
          <w:color w:val="auto"/>
        </w:rPr>
      </w:pPr>
    </w:p>
    <w:p>
      <w:pPr>
        <w:ind w:left="740" w:right="60" w:hanging="89"/>
        <w:spacing w:after="0" w:line="24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Finance receivable cash effect of $(1.4) million primarily due to a current quarter large contract offset by increased fundings;</w:t>
      </w:r>
    </w:p>
    <w:p>
      <w:pPr>
        <w:ind w:left="740" w:hanging="89"/>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Accounts payable and accrued expenses cash effect of ($3.9) million primarily due to timing of payments;</w:t>
      </w:r>
    </w:p>
    <w:p>
      <w:pPr>
        <w:spacing w:after="0" w:line="7" w:lineRule="exact"/>
        <w:rPr>
          <w:rFonts w:ascii="Arial" w:cs="Arial" w:eastAsia="Arial" w:hAnsi="Arial"/>
          <w:sz w:val="17"/>
          <w:szCs w:val="17"/>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cash effect of $(3.2) million primarily due to inventory growth to meet expected demand;</w:t>
      </w:r>
    </w:p>
    <w:p>
      <w:pPr>
        <w:spacing w:after="0" w:line="3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same nine month periods, net cash used by investing activities decreased $3.1 million, primarily due to the $5.6 million cash outlay for the purchase of VendScreen in January 2016, offset by a $2.0 million increase in purchase of property for the rental program and a $0.5 million increase in the purchase and additions of property and equipment.</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same nine month periods, net cash provided by financing activities increased $1.4 million, primarily due to an increase in proceeds from the exercise of warrants of $4.5 million offset by a decrease in proceeds from the line of credit of $3.0 million.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 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Customers who utilize third party finance companies in connection with the QuickStart program improve our cash flow from operations, and our QuickStart program reduces cash flow needed for investing activities otherwise incurred by us for our JumpStart program.</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via JumpStart, which accounted for 65% of our gross connections in fiscal year 2014, to QuickStart and sales under normal trade receivable terms, which accounted for 89% and 91% of our gross connections in fiscal year 2015 and 2016, respectively. JumpStart was approximately 8.6% of gross connections in the three months ending March 31,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to expand its outside financing partners in order to accommodate expected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net working capital, which is defined as current assets less current liabilities, was $11.9 million, $14.8 million, $14.0 million, $4.9 million, and ($0.2) million over the last five quarter-end reporting dates beginning March 31, 2017 and ending March 31, 2016. As of March 31, 2017, the Company’s primary sources of cash include:</w:t>
      </w:r>
    </w:p>
    <w:p>
      <w:pPr>
        <w:spacing w:after="0" w:line="166" w:lineRule="exact"/>
        <w:rPr>
          <w:sz w:val="20"/>
          <w:szCs w:val="20"/>
          <w:color w:val="auto"/>
        </w:rPr>
      </w:pPr>
    </w:p>
    <w:p>
      <w:pPr>
        <w:ind w:left="480" w:hanging="153"/>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on hand of approximately $17.8 million;</w:t>
      </w:r>
    </w:p>
    <w:p>
      <w:pPr>
        <w:spacing w:after="0" w:line="225" w:lineRule="exact"/>
        <w:rPr>
          <w:rFonts w:ascii="Arial" w:cs="Arial" w:eastAsia="Arial" w:hAnsi="Arial"/>
          <w:sz w:val="18"/>
          <w:szCs w:val="18"/>
          <w:color w:val="auto"/>
        </w:rPr>
      </w:pPr>
    </w:p>
    <w:p>
      <w:pPr>
        <w:ind w:left="400" w:hanging="73"/>
        <w:spacing w:after="0" w:line="342"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$5.0 million available under the line of credit provided we continue to satisfy the various covenants set forth in the loan agreement, including the requirement to meet minimum quarterly adjusted EBITDA, as defined in the loan agreement.;</w:t>
      </w:r>
    </w:p>
    <w:p>
      <w:pPr>
        <w:spacing w:after="0" w:line="123" w:lineRule="exact"/>
        <w:rPr>
          <w:rFonts w:ascii="Arial" w:cs="Arial" w:eastAsia="Arial" w:hAnsi="Arial"/>
          <w:sz w:val="16"/>
          <w:szCs w:val="16"/>
          <w:color w:val="auto"/>
        </w:rPr>
      </w:pPr>
    </w:p>
    <w:p>
      <w:pPr>
        <w:ind w:left="400" w:hanging="73"/>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Sales to third party lenders of all or a portion of our finance receivables which may occur in future quarters; and</w:t>
      </w:r>
    </w:p>
    <w:p>
      <w:pPr>
        <w:spacing w:after="0" w:line="236" w:lineRule="exact"/>
        <w:rPr>
          <w:rFonts w:ascii="Arial" w:cs="Arial" w:eastAsia="Arial" w:hAnsi="Arial"/>
          <w:sz w:val="17"/>
          <w:szCs w:val="17"/>
          <w:color w:val="auto"/>
        </w:rPr>
      </w:pPr>
    </w:p>
    <w:p>
      <w:pPr>
        <w:ind w:left="420" w:hanging="9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Anticipated cash which may be provided by operating activities in future quarters.</w:t>
      </w:r>
    </w:p>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its existing cash and available cash resources described above, would provide sufficient capital resources to operate its anticipated business over the next twelve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our market risk since June 30, 2016. For a discussion of our exposure to market risk, refer to Part II, Item 7A. “Quantitative and Qualitative Disclosures about Market Risk,” contained in our Annual Report on Form 10-K for the year ended June 30,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our disclosure controls and procedures were not effective as of the end of such period because of the material weakness in our internal control over financial reporting identified in our Annual Report on Form 10-K for the fiscal year ended June 30, 2016 (the "2016 Form 10-K"), as described below. Notwithstanding the material weakness identified in the 2016 Form 10-K, our management, including our chief executive officer and chief financial officer, has concluded that the consolidated financial statements included in this Form 10-Q present fairly, in all material respects, our financial position, results of operations and cash flows for the periods presented in conformity with accounting principles generally accepted in the United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that occurred during our fiscal quarter ended March 31, 2017 that materially affected, or are reasonably likely to materially affect, our internal controls over financial reporting.</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Form 2016 10-K, we stated that management had identified control deficiencies, including three significant deficiencies, in the design or operating effectiveness of the Company's internal control over financial reporting, which when aggregated, represent a material weakness in internal control. The significant deficiencies included that the operation of an existing control did not result in timely resolution of account receivable aging issues; the design of certain of our internal controls allowed for errors or omissions in the accrual process; and one operational control did not identify certain merchant receivables as one of the critical accounts to be audited on a monthly basis. In order to address the significant deficiencies identified in our 2016 Form 10-K, the Company implemented changes in its internal controls over financial reporting during the quarter ended September 30, 2016, and remains committed to remediating the control deficiencies that gave rise to the material weakness.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previously reported, in our 2016 Form 10-K, on June 1, 2016, a purported shareholder filed a purported derivative action on behalf of the Company in the Chester County, Pennsylvania, Court of Common Pleas (No. 2016-05225-MJ), against certain current and former officers and Directors. On August 17, 2016, the Company filed with the Chester County Court a motion to dismiss the complaint. On March 8, 2017, the Court entered an order granting the Company’s motion to dismiss the complaint. On April 6, 2017, the plaintiff appealed the order to the Superior Court of Pennsylvania.</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defaults on any senior securities. On February 1, 2017, an additional $334 thousand of dividends were accrued on our cumulative Series A Convertible Preferred Stock. The total accrued and unpaid dividends on our Series A Convertible Preferred Stock as of March 31, 2017 was $14.32 million. The dividend accrual dates for our Preferred Stock are February 1 and August 1. The annual cumulative dividend on our Preferred Stock is $1.50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10.1</w:t>
            </w:r>
          </w:p>
        </w:tc>
        <w:tc>
          <w:tcPr>
            <w:tcW w:w="8100" w:type="dxa"/>
            <w:vAlign w:val="bottom"/>
          </w:tcPr>
          <w:p>
            <w:pPr>
              <w:ind w:left="460"/>
              <w:spacing w:after="0"/>
              <w:rPr>
                <w:sz w:val="20"/>
                <w:szCs w:val="20"/>
                <w:color w:val="auto"/>
              </w:rPr>
            </w:pPr>
            <w:r>
              <w:rPr>
                <w:rFonts w:ascii="Arial" w:cs="Arial" w:eastAsia="Arial" w:hAnsi="Arial"/>
                <w:sz w:val="18"/>
                <w:szCs w:val="18"/>
                <w:color w:val="auto"/>
                <w:w w:val="96"/>
              </w:rPr>
              <w:t>Third Amendment to Loan and Security Agreement dated as of March 24, 2017 by and between the</w:t>
            </w:r>
          </w:p>
        </w:tc>
      </w:tr>
      <w:tr>
        <w:trPr>
          <w:trHeight w:val="216"/>
        </w:trPr>
        <w:tc>
          <w:tcPr>
            <w:tcW w:w="780" w:type="dxa"/>
            <w:vAlign w:val="bottom"/>
          </w:tcPr>
          <w:p>
            <w:pPr>
              <w:spacing w:after="0"/>
              <w:rPr>
                <w:sz w:val="18"/>
                <w:szCs w:val="18"/>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Company and Heritage Bank of Commerce (Portions of this exhibit were redacted pursuant to a</w:t>
            </w:r>
          </w:p>
        </w:tc>
      </w:tr>
      <w:tr>
        <w:trPr>
          <w:trHeight w:val="216"/>
        </w:trPr>
        <w:tc>
          <w:tcPr>
            <w:tcW w:w="780" w:type="dxa"/>
            <w:vAlign w:val="bottom"/>
          </w:tcPr>
          <w:p>
            <w:pPr>
              <w:spacing w:after="0"/>
              <w:rPr>
                <w:sz w:val="18"/>
                <w:szCs w:val="18"/>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confidentiality treatment request)</w:t>
            </w:r>
          </w:p>
        </w:tc>
      </w:tr>
      <w:tr>
        <w:trPr>
          <w:trHeight w:val="216"/>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31.1</w:t>
            </w:r>
          </w:p>
        </w:tc>
        <w:tc>
          <w:tcPr>
            <w:tcW w:w="8100" w:type="dxa"/>
            <w:vAlign w:val="bottom"/>
          </w:tcPr>
          <w:p>
            <w:pPr>
              <w:ind w:left="460"/>
              <w:spacing w:after="0"/>
              <w:rPr>
                <w:sz w:val="20"/>
                <w:szCs w:val="20"/>
                <w:color w:val="auto"/>
              </w:rPr>
            </w:pPr>
            <w:r>
              <w:rPr>
                <w:rFonts w:ascii="Arial" w:cs="Arial" w:eastAsia="Arial" w:hAnsi="Arial"/>
                <w:sz w:val="18"/>
                <w:szCs w:val="18"/>
                <w:color w:val="auto"/>
                <w:w w:val="91"/>
              </w:rPr>
              <w:t>Certifications of Chief Executive Officer pursuant to Rule 13a-14(a) under the Securities Exchange Act of</w:t>
            </w:r>
          </w:p>
        </w:tc>
      </w:tr>
      <w:tr>
        <w:trPr>
          <w:trHeight w:val="230"/>
        </w:trPr>
        <w:tc>
          <w:tcPr>
            <w:tcW w:w="780" w:type="dxa"/>
            <w:vAlign w:val="bottom"/>
          </w:tcPr>
          <w:p>
            <w:pPr>
              <w:spacing w:after="0"/>
              <w:rPr>
                <w:sz w:val="20"/>
                <w:szCs w:val="20"/>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31.2</w:t>
            </w:r>
          </w:p>
        </w:tc>
        <w:tc>
          <w:tcPr>
            <w:tcW w:w="8100" w:type="dxa"/>
            <w:vAlign w:val="bottom"/>
          </w:tcPr>
          <w:p>
            <w:pPr>
              <w:ind w:left="460"/>
              <w:spacing w:after="0"/>
              <w:rPr>
                <w:sz w:val="20"/>
                <w:szCs w:val="20"/>
                <w:color w:val="auto"/>
              </w:rPr>
            </w:pPr>
            <w:r>
              <w:rPr>
                <w:rFonts w:ascii="Arial" w:cs="Arial" w:eastAsia="Arial" w:hAnsi="Arial"/>
                <w:sz w:val="18"/>
                <w:szCs w:val="18"/>
                <w:color w:val="auto"/>
                <w:w w:val="92"/>
              </w:rPr>
              <w:t>Certifications of Chief Financial Officer pursuant to Rule 13a-14(a) under the Securities Exchange Act of</w:t>
            </w:r>
          </w:p>
        </w:tc>
      </w:tr>
      <w:tr>
        <w:trPr>
          <w:trHeight w:val="230"/>
        </w:trPr>
        <w:tc>
          <w:tcPr>
            <w:tcW w:w="780" w:type="dxa"/>
            <w:vAlign w:val="bottom"/>
          </w:tcPr>
          <w:p>
            <w:pPr>
              <w:spacing w:after="0"/>
              <w:rPr>
                <w:sz w:val="20"/>
                <w:szCs w:val="20"/>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32.1</w:t>
            </w:r>
          </w:p>
        </w:tc>
        <w:tc>
          <w:tcPr>
            <w:tcW w:w="8100" w:type="dxa"/>
            <w:vAlign w:val="bottom"/>
          </w:tcPr>
          <w:p>
            <w:pPr>
              <w:ind w:left="460"/>
              <w:spacing w:after="0"/>
              <w:rPr>
                <w:sz w:val="20"/>
                <w:szCs w:val="20"/>
                <w:color w:val="auto"/>
              </w:rPr>
            </w:pPr>
            <w:r>
              <w:rPr>
                <w:rFonts w:ascii="Arial" w:cs="Arial" w:eastAsia="Arial" w:hAnsi="Arial"/>
                <w:sz w:val="18"/>
                <w:szCs w:val="18"/>
                <w:color w:val="auto"/>
                <w:w w:val="95"/>
              </w:rPr>
              <w:t>Certification of the Chief Executive Officer pursuant to 18 USC Section 1350, as adopted pursuant to</w:t>
            </w:r>
          </w:p>
        </w:tc>
      </w:tr>
      <w:tr>
        <w:trPr>
          <w:trHeight w:val="230"/>
        </w:trPr>
        <w:tc>
          <w:tcPr>
            <w:tcW w:w="780" w:type="dxa"/>
            <w:vAlign w:val="bottom"/>
          </w:tcPr>
          <w:p>
            <w:pPr>
              <w:spacing w:after="0"/>
              <w:rPr>
                <w:sz w:val="20"/>
                <w:szCs w:val="20"/>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32.2</w:t>
            </w:r>
          </w:p>
        </w:tc>
        <w:tc>
          <w:tcPr>
            <w:tcW w:w="8100" w:type="dxa"/>
            <w:vAlign w:val="bottom"/>
          </w:tcPr>
          <w:p>
            <w:pPr>
              <w:ind w:left="460"/>
              <w:spacing w:after="0"/>
              <w:rPr>
                <w:sz w:val="20"/>
                <w:szCs w:val="20"/>
                <w:color w:val="auto"/>
              </w:rPr>
            </w:pPr>
            <w:r>
              <w:rPr>
                <w:rFonts w:ascii="Arial" w:cs="Arial" w:eastAsia="Arial" w:hAnsi="Arial"/>
                <w:sz w:val="18"/>
                <w:szCs w:val="18"/>
                <w:color w:val="auto"/>
                <w:w w:val="95"/>
              </w:rPr>
              <w:t>Certification of the Chief Financial Officer pursuant to 18 USC Section 1350, as adopted pursuant to</w:t>
            </w:r>
          </w:p>
        </w:tc>
      </w:tr>
      <w:tr>
        <w:trPr>
          <w:trHeight w:val="230"/>
        </w:trPr>
        <w:tc>
          <w:tcPr>
            <w:tcW w:w="780" w:type="dxa"/>
            <w:vAlign w:val="bottom"/>
          </w:tcPr>
          <w:p>
            <w:pPr>
              <w:spacing w:after="0"/>
              <w:rPr>
                <w:sz w:val="20"/>
                <w:szCs w:val="20"/>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jc w:val="right"/>
        <w:ind w:right="139"/>
        <w:spacing w:after="0"/>
        <w:rPr>
          <w:sz w:val="20"/>
          <w:szCs w:val="20"/>
          <w:color w:val="auto"/>
        </w:rPr>
      </w:pPr>
      <w:r>
        <w:rPr>
          <w:rFonts w:ascii="Arial" w:cs="Arial" w:eastAsia="Arial" w:hAnsi="Arial"/>
          <w:sz w:val="18"/>
          <w:szCs w:val="18"/>
          <w:b w:val="1"/>
          <w:bCs w:val="1"/>
          <w:color w:val="auto"/>
        </w:rPr>
        <w:t>Section 10.1</w:t>
      </w:r>
    </w:p>
    <w:p>
      <w:pPr>
        <w:ind w:left="680"/>
        <w:spacing w:after="0" w:line="203" w:lineRule="auto"/>
        <w:rPr>
          <w:sz w:val="20"/>
          <w:szCs w:val="20"/>
          <w:color w:val="auto"/>
        </w:rPr>
      </w:pPr>
      <w:r>
        <w:rPr>
          <w:rFonts w:ascii="Arial" w:cs="Arial" w:eastAsia="Arial" w:hAnsi="Arial"/>
          <w:sz w:val="18"/>
          <w:szCs w:val="18"/>
          <w:color w:val="auto"/>
        </w:rPr>
        <w:t>PORTIONS OF THIS AGREEMENT HAVE BEEN OMITTED AND FILED SEPARATELY WITH THE</w:t>
      </w:r>
    </w:p>
    <w:p>
      <w:pPr>
        <w:ind w:left="400"/>
        <w:spacing w:after="0" w:line="216" w:lineRule="auto"/>
        <w:rPr>
          <w:sz w:val="20"/>
          <w:szCs w:val="20"/>
          <w:color w:val="auto"/>
        </w:rPr>
      </w:pPr>
      <w:r>
        <w:rPr>
          <w:rFonts w:ascii="Arial" w:cs="Arial" w:eastAsia="Arial" w:hAnsi="Arial"/>
          <w:sz w:val="17"/>
          <w:szCs w:val="17"/>
          <w:color w:val="auto"/>
        </w:rPr>
        <w:t>SECURITIES AND EXCHANGE COMMISSION. CONFIDENTIAL TREATMENT HAS BEEN REQUESTED</w:t>
      </w:r>
    </w:p>
    <w:p>
      <w:pPr>
        <w:ind w:left="720"/>
        <w:spacing w:after="0"/>
        <w:rPr>
          <w:sz w:val="20"/>
          <w:szCs w:val="20"/>
          <w:color w:val="auto"/>
        </w:rPr>
      </w:pPr>
      <w:r>
        <w:rPr>
          <w:rFonts w:ascii="Arial" w:cs="Arial" w:eastAsia="Arial" w:hAnsi="Arial"/>
          <w:sz w:val="18"/>
          <w:szCs w:val="18"/>
          <w:color w:val="auto"/>
        </w:rPr>
        <w:t>WITH RESPECT TO THE OMITTED PORTIONS, WHICH ARE MARKED BY ASTERISKS (“***”).</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AMENDMENT</w:t>
      </w:r>
    </w:p>
    <w:p>
      <w:pPr>
        <w:jc w:val="center"/>
        <w:ind w:right="-20"/>
        <w:spacing w:after="0" w:line="203" w:lineRule="auto"/>
        <w:rPr>
          <w:sz w:val="20"/>
          <w:szCs w:val="20"/>
          <w:color w:val="auto"/>
        </w:rPr>
      </w:pPr>
      <w:r>
        <w:rPr>
          <w:rFonts w:ascii="Arial" w:cs="Arial" w:eastAsia="Arial" w:hAnsi="Arial"/>
          <w:sz w:val="18"/>
          <w:szCs w:val="18"/>
          <w:b w:val="1"/>
          <w:bCs w:val="1"/>
          <w:color w:val="auto"/>
        </w:rPr>
        <w:t>TO</w:t>
      </w:r>
    </w:p>
    <w:p>
      <w:pPr>
        <w:jc w:val="center"/>
        <w:ind w:right="-20"/>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169"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8"/>
          <w:szCs w:val="18"/>
          <w:color w:val="auto"/>
        </w:rPr>
        <w:t>This Third Amendment to Loan and Security Agreement is entered into as of March 24, 2017 (the “Amendment”), by and between HERITAGE BANK OF COMMERCE (“Bank”), and USA TECHNOLOGIES, INC. (“Borrower”).</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RECITALS</w:t>
      </w:r>
    </w:p>
    <w:p>
      <w:pPr>
        <w:spacing w:after="0" w:line="185"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18"/>
          <w:szCs w:val="18"/>
          <w:color w:val="auto"/>
        </w:rPr>
        <w:t>Borrower and Bank are parties to that certain Loan and Security Agreement dated as of March 29, 2016 and as amended from time to time, including pursuant to that certain Waiver to Loan and Security Agreement dated as of June 30, 2016 and that certain Second Amendment and Waiver to Loan and Security Agreement dated as of September 30, 2016 (collectively, the “Agreement”). The parties desire to amend the Agreement in accordance with the terms of this Amendment.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NOW, THEREFORE, the parties agree as follows:</w:t>
      </w:r>
    </w:p>
    <w:p>
      <w:pPr>
        <w:spacing w:after="0" w:line="185" w:lineRule="exact"/>
        <w:rPr>
          <w:sz w:val="20"/>
          <w:szCs w:val="20"/>
          <w:color w:val="auto"/>
        </w:rPr>
      </w:pPr>
    </w:p>
    <w:p>
      <w:pPr>
        <w:ind w:left="1240" w:right="139" w:hanging="441"/>
        <w:spacing w:after="0" w:line="235" w:lineRule="auto"/>
        <w:tabs>
          <w:tab w:leader="none" w:pos="12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following definition in Section 1.1 of the Agreement is amended and restated in its entirety to read as follows:</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“Revolving Maturity Date” means September 30, 2018.</w:t>
      </w:r>
    </w:p>
    <w:p>
      <w:pPr>
        <w:spacing w:after="0" w:line="181"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The following is added to the end of Section 6.8 of the Agreement:</w:t>
      </w:r>
    </w:p>
    <w:p>
      <w:pPr>
        <w:spacing w:after="0" w:line="189" w:lineRule="exact"/>
        <w:rPr>
          <w:sz w:val="20"/>
          <w:szCs w:val="20"/>
          <w:color w:val="auto"/>
        </w:rPr>
      </w:pPr>
    </w:p>
    <w:p>
      <w:pPr>
        <w:ind w:left="1440" w:right="799"/>
        <w:spacing w:after="0" w:line="235" w:lineRule="auto"/>
        <w:rPr>
          <w:sz w:val="20"/>
          <w:szCs w:val="20"/>
          <w:color w:val="auto"/>
        </w:rPr>
      </w:pPr>
      <w:r>
        <w:rPr>
          <w:rFonts w:ascii="Arial" w:cs="Arial" w:eastAsia="Arial" w:hAnsi="Arial"/>
          <w:sz w:val="18"/>
          <w:szCs w:val="18"/>
          <w:color w:val="auto"/>
        </w:rPr>
        <w:t>The aggregate balance maintained in Borrower’s deposit account(s) with Avidbank shall not exceed $*** at any time.</w:t>
      </w:r>
    </w:p>
    <w:p>
      <w:pPr>
        <w:spacing w:after="0" w:line="162" w:lineRule="exact"/>
        <w:rPr>
          <w:sz w:val="20"/>
          <w:szCs w:val="20"/>
          <w:color w:val="auto"/>
        </w:rPr>
      </w:pPr>
    </w:p>
    <w:p>
      <w:pPr>
        <w:ind w:left="1460" w:hanging="661"/>
        <w:spacing w:after="0"/>
        <w:tabs>
          <w:tab w:leader="none" w:pos="1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Section 6.3(b) of the Agreement is amended and restated in its entirety to read as follows:</w:t>
      </w:r>
    </w:p>
    <w:p>
      <w:pPr>
        <w:spacing w:after="0" w:line="184" w:lineRule="exact"/>
        <w:rPr>
          <w:rFonts w:ascii="Arial" w:cs="Arial" w:eastAsia="Arial" w:hAnsi="Arial"/>
          <w:sz w:val="18"/>
          <w:szCs w:val="18"/>
          <w:b w:val="1"/>
          <w:bCs w:val="1"/>
          <w:color w:val="auto"/>
        </w:rPr>
      </w:pPr>
    </w:p>
    <w:p>
      <w:pPr>
        <w:jc w:val="both"/>
        <w:ind w:left="1440" w:right="879" w:firstLine="7"/>
        <w:spacing w:after="0" w:line="212" w:lineRule="auto"/>
        <w:tabs>
          <w:tab w:leader="none" w:pos="17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soon as available, but in any event (i) within twenty five (25) days after the end of Borrower’s fiscal quarter, a churn report in form satisfactory to Bank; and (ii) within fifty (50) days after the end of Borrower’s fiscal quarter, a Borrower prepared consolidated balance sheet, income, and cash flow statement covering Borrower’s consolidated operations during such quarter, prepared in accordance with GAAP, consistently applied, in a form acceptable to Bank, and a Compliance Certificate signed by a Responsible Officer in substantially the form of Exhibit D hereto;</w:t>
      </w:r>
    </w:p>
    <w:p>
      <w:pPr>
        <w:spacing w:after="0" w:line="165" w:lineRule="exact"/>
        <w:rPr>
          <w:rFonts w:ascii="Arial" w:cs="Arial" w:eastAsia="Arial" w:hAnsi="Arial"/>
          <w:sz w:val="18"/>
          <w:szCs w:val="18"/>
          <w:color w:val="auto"/>
        </w:rPr>
      </w:pPr>
    </w:p>
    <w:p>
      <w:pPr>
        <w:ind w:left="1460" w:hanging="661"/>
        <w:spacing w:after="0"/>
        <w:tabs>
          <w:tab w:leader="none" w:pos="1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following is added as a new subsection (h) to the end of section 6.3:</w:t>
      </w:r>
    </w:p>
    <w:p>
      <w:pPr>
        <w:spacing w:after="0" w:line="184" w:lineRule="exact"/>
        <w:rPr>
          <w:rFonts w:ascii="Arial" w:cs="Arial" w:eastAsia="Arial" w:hAnsi="Arial"/>
          <w:sz w:val="18"/>
          <w:szCs w:val="18"/>
          <w:b w:val="1"/>
          <w:bCs w:val="1"/>
          <w:color w:val="auto"/>
        </w:rPr>
      </w:pPr>
    </w:p>
    <w:p>
      <w:pPr>
        <w:jc w:val="both"/>
        <w:ind w:left="1440" w:right="799" w:firstLine="7"/>
        <w:spacing w:after="0" w:line="219" w:lineRule="auto"/>
        <w:tabs>
          <w:tab w:leader="none" w:pos="22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Within ninety (90) days following the beginning of each fiscal year, Borrower’s annual operating projections (including income statements, balance sheets and cash flow statements presented in a monthly format) for such fiscal year reviewed by Borrower’s board of directors, in form reasonably satisfactory to Bank.</w:t>
      </w:r>
    </w:p>
    <w:p>
      <w:pPr>
        <w:spacing w:after="0" w:line="162" w:lineRule="exact"/>
        <w:rPr>
          <w:rFonts w:ascii="Arial" w:cs="Arial" w:eastAsia="Arial" w:hAnsi="Arial"/>
          <w:sz w:val="18"/>
          <w:szCs w:val="18"/>
          <w:color w:val="auto"/>
        </w:rPr>
      </w:pPr>
    </w:p>
    <w:p>
      <w:pPr>
        <w:ind w:left="1460" w:hanging="661"/>
        <w:spacing w:after="0"/>
        <w:tabs>
          <w:tab w:leader="none" w:pos="1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Section 6.9(a) of the Agreement is amended and restated in its entirety to read as follows:</w:t>
      </w:r>
    </w:p>
    <w:p>
      <w:pPr>
        <w:spacing w:after="0" w:line="184" w:lineRule="exact"/>
        <w:rPr>
          <w:rFonts w:ascii="Arial" w:cs="Arial" w:eastAsia="Arial" w:hAnsi="Arial"/>
          <w:sz w:val="18"/>
          <w:szCs w:val="18"/>
          <w:b w:val="1"/>
          <w:bCs w:val="1"/>
          <w:color w:val="auto"/>
        </w:rPr>
      </w:pPr>
    </w:p>
    <w:p>
      <w:pPr>
        <w:jc w:val="both"/>
        <w:ind w:left="1440" w:right="799" w:firstLine="7"/>
        <w:spacing w:after="0" w:line="235" w:lineRule="auto"/>
        <w:tabs>
          <w:tab w:leader="none" w:pos="18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Maximum Churn Rate. Borrower’s number of connections as at the end of each fiscal quarter shall not decrease (i) by more than five percent (5%) as compared to Borrower’s number of connections as at the end of the immediately preceding fiscal quarter or (ii) below</w:t>
      </w:r>
    </w:p>
    <w:p>
      <w:pPr>
        <w:spacing w:after="0" w:line="2"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 connections.</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276860</wp:posOffset>
            </wp:positionV>
            <wp:extent cx="554863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39" w:name="page40"/>
    <w:bookmarkEnd w:id="39"/>
    <w:p>
      <w:pPr>
        <w:ind w:left="1460" w:hanging="661"/>
        <w:spacing w:after="0"/>
        <w:tabs>
          <w:tab w:leader="none" w:pos="1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following is hereby added to the end of Section 6.9(b) of the Agreement:</w:t>
      </w:r>
    </w:p>
    <w:p>
      <w:pPr>
        <w:spacing w:after="0" w:line="184" w:lineRule="exact"/>
        <w:rPr>
          <w:rFonts w:ascii="Arial" w:cs="Arial" w:eastAsia="Arial" w:hAnsi="Arial"/>
          <w:sz w:val="18"/>
          <w:szCs w:val="18"/>
          <w:b w:val="1"/>
          <w:bCs w:val="1"/>
          <w:color w:val="auto"/>
        </w:rPr>
      </w:pPr>
    </w:p>
    <w:p>
      <w:pPr>
        <w:ind w:left="1440" w:right="799"/>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Borrower’s minimum quarterly Adjusted EBITDA for each of the quarters ending September 30, 2017, December 31, 2017, March 31, 2018, and June 30, 2018, shall be as follows:</w:t>
      </w:r>
    </w:p>
    <w:p>
      <w:pPr>
        <w:spacing w:after="0" w:line="132" w:lineRule="exact"/>
        <w:rPr>
          <w:sz w:val="20"/>
          <w:szCs w:val="20"/>
          <w:color w:val="auto"/>
        </w:rPr>
      </w:pPr>
    </w:p>
    <w:tbl>
      <w:tblPr>
        <w:tblLayout w:type="fixed"/>
        <w:tblInd w:w="2210" w:type="dxa"/>
        <w:tblCellMar>
          <w:top w:w="0" w:type="dxa"/>
          <w:left w:w="0" w:type="dxa"/>
          <w:bottom w:w="0" w:type="dxa"/>
          <w:right w:w="0" w:type="dxa"/>
        </w:tblCellMar>
      </w:tblPr>
      <w:tr>
        <w:trPr>
          <w:trHeight w:val="162"/>
        </w:trPr>
        <w:tc>
          <w:tcPr>
            <w:tcW w:w="2820" w:type="dxa"/>
            <w:vAlign w:val="bottom"/>
            <w:tcBorders>
              <w:top w:val="single" w:sz="8" w:color="auto"/>
              <w:left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1"/>
              </w:rPr>
              <w:t>Quarterly Period ending</w:t>
            </w:r>
          </w:p>
        </w:tc>
        <w:tc>
          <w:tcPr>
            <w:tcW w:w="278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3"/>
              </w:rPr>
              <w:t>Minimum Adjusted</w:t>
            </w:r>
          </w:p>
        </w:tc>
      </w:tr>
      <w:tr>
        <w:trPr>
          <w:trHeight w:val="203"/>
        </w:trPr>
        <w:tc>
          <w:tcPr>
            <w:tcW w:w="2820" w:type="dxa"/>
            <w:vAlign w:val="bottom"/>
            <w:tcBorders>
              <w:left w:val="single" w:sz="8" w:color="auto"/>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EBITDA</w:t>
            </w:r>
          </w:p>
        </w:tc>
      </w:tr>
      <w:tr>
        <w:trPr>
          <w:trHeight w:val="183"/>
        </w:trPr>
        <w:tc>
          <w:tcPr>
            <w:tcW w:w="2820" w:type="dxa"/>
            <w:vAlign w:val="bottom"/>
            <w:tcBorders>
              <w:left w:val="single" w:sz="8" w:color="auto"/>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69"/>
        </w:trPr>
        <w:tc>
          <w:tcPr>
            <w:tcW w:w="28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September 30, 2017</w:t>
            </w:r>
          </w:p>
        </w:tc>
        <w:tc>
          <w:tcPr>
            <w:tcW w:w="27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$880,000</w:t>
            </w:r>
          </w:p>
        </w:tc>
      </w:tr>
      <w:tr>
        <w:trPr>
          <w:trHeight w:val="169"/>
        </w:trPr>
        <w:tc>
          <w:tcPr>
            <w:tcW w:w="28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December 31, 2017</w:t>
            </w:r>
          </w:p>
        </w:tc>
        <w:tc>
          <w:tcPr>
            <w:tcW w:w="27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$1,000,000</w:t>
            </w:r>
          </w:p>
        </w:tc>
      </w:tr>
      <w:tr>
        <w:trPr>
          <w:trHeight w:val="169"/>
        </w:trPr>
        <w:tc>
          <w:tcPr>
            <w:tcW w:w="28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March 31, 2018</w:t>
            </w:r>
          </w:p>
        </w:tc>
        <w:tc>
          <w:tcPr>
            <w:tcW w:w="27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$1,000,000</w:t>
            </w:r>
          </w:p>
        </w:tc>
      </w:tr>
      <w:tr>
        <w:trPr>
          <w:trHeight w:val="169"/>
        </w:trPr>
        <w:tc>
          <w:tcPr>
            <w:tcW w:w="28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June 30, 2018</w:t>
            </w:r>
          </w:p>
        </w:tc>
        <w:tc>
          <w:tcPr>
            <w:tcW w:w="278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$1,000,000</w:t>
            </w:r>
          </w:p>
        </w:tc>
      </w:tr>
    </w:tbl>
    <w:p>
      <w:pPr>
        <w:spacing w:after="0" w:line="364" w:lineRule="exact"/>
        <w:rPr>
          <w:sz w:val="20"/>
          <w:szCs w:val="20"/>
          <w:color w:val="auto"/>
        </w:rPr>
      </w:pPr>
    </w:p>
    <w:p>
      <w:pPr>
        <w:ind w:left="1460" w:hanging="661"/>
        <w:spacing w:after="0"/>
        <w:tabs>
          <w:tab w:leader="none" w:pos="1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Exhibit D to the Agreement is replaced in its entirety with the Exhibit D attached hereto.</w:t>
      </w:r>
    </w:p>
    <w:p>
      <w:pPr>
        <w:spacing w:after="0" w:line="154"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9.</w:t>
            </w:r>
          </w:p>
        </w:tc>
        <w:tc>
          <w:tcPr>
            <w:tcW w:w="7780" w:type="dxa"/>
            <w:vAlign w:val="bottom"/>
          </w:tcPr>
          <w:p>
            <w:pPr>
              <w:ind w:left="160"/>
              <w:spacing w:after="0"/>
              <w:rPr>
                <w:sz w:val="20"/>
                <w:szCs w:val="20"/>
                <w:color w:val="auto"/>
              </w:rPr>
            </w:pPr>
            <w:r>
              <w:rPr>
                <w:rFonts w:ascii="Arial" w:cs="Arial" w:eastAsia="Arial" w:hAnsi="Arial"/>
                <w:sz w:val="18"/>
                <w:szCs w:val="18"/>
                <w:color w:val="auto"/>
                <w:w w:val="92"/>
              </w:rPr>
              <w:t>Borrower represents and warrants that the representations and warranties contained in the  Agreement</w:t>
            </w:r>
          </w:p>
        </w:tc>
      </w:tr>
      <w:tr>
        <w:trPr>
          <w:trHeight w:val="176"/>
        </w:trPr>
        <w:tc>
          <w:tcPr>
            <w:tcW w:w="280" w:type="dxa"/>
            <w:vAlign w:val="bottom"/>
          </w:tcPr>
          <w:p>
            <w:pPr>
              <w:spacing w:after="0"/>
              <w:rPr>
                <w:sz w:val="15"/>
                <w:szCs w:val="15"/>
                <w:color w:val="auto"/>
              </w:rPr>
            </w:pPr>
          </w:p>
        </w:tc>
        <w:tc>
          <w:tcPr>
            <w:tcW w:w="7780" w:type="dxa"/>
            <w:vAlign w:val="bottom"/>
          </w:tcPr>
          <w:p>
            <w:pPr>
              <w:ind w:left="160"/>
              <w:spacing w:after="0" w:line="176" w:lineRule="exact"/>
              <w:rPr>
                <w:sz w:val="20"/>
                <w:szCs w:val="20"/>
                <w:color w:val="auto"/>
              </w:rPr>
            </w:pPr>
            <w:r>
              <w:rPr>
                <w:rFonts w:ascii="Arial" w:cs="Arial" w:eastAsia="Arial" w:hAnsi="Arial"/>
                <w:sz w:val="18"/>
                <w:szCs w:val="18"/>
                <w:color w:val="auto"/>
                <w:w w:val="92"/>
              </w:rPr>
              <w:t>are true and correct as of the date of this Amendment, and that no Event of Default has occurred and is</w:t>
            </w:r>
          </w:p>
        </w:tc>
      </w:tr>
      <w:tr>
        <w:trPr>
          <w:trHeight w:val="230"/>
        </w:trPr>
        <w:tc>
          <w:tcPr>
            <w:tcW w:w="28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continuing.</w:t>
            </w:r>
          </w:p>
        </w:tc>
      </w:tr>
    </w:tbl>
    <w:p>
      <w:pPr>
        <w:spacing w:after="0" w:line="160" w:lineRule="exact"/>
        <w:rPr>
          <w:sz w:val="20"/>
          <w:szCs w:val="20"/>
          <w:color w:val="auto"/>
        </w:rPr>
      </w:pPr>
    </w:p>
    <w:p>
      <w:pPr>
        <w:jc w:val="both"/>
        <w:ind w:left="1340" w:right="139" w:hanging="541"/>
        <w:spacing w:after="0" w:line="225" w:lineRule="auto"/>
        <w:tabs>
          <w:tab w:leader="none" w:pos="13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62" w:lineRule="exact"/>
        <w:rPr>
          <w:rFonts w:ascii="Arial" w:cs="Arial" w:eastAsia="Arial" w:hAnsi="Arial"/>
          <w:sz w:val="17"/>
          <w:szCs w:val="17"/>
          <w:b w:val="1"/>
          <w:bCs w:val="1"/>
          <w:color w:val="auto"/>
        </w:rPr>
      </w:pPr>
    </w:p>
    <w:p>
      <w:pPr>
        <w:jc w:val="both"/>
        <w:ind w:left="1320" w:right="139" w:hanging="521"/>
        <w:spacing w:after="0" w:line="214" w:lineRule="auto"/>
        <w:tabs>
          <w:tab w:leader="none" w:pos="13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w:t>
      </w:r>
    </w:p>
    <w:p>
      <w:pPr>
        <w:spacing w:after="0" w:line="162" w:lineRule="exact"/>
        <w:rPr>
          <w:rFonts w:ascii="Arial" w:cs="Arial" w:eastAsia="Arial" w:hAnsi="Arial"/>
          <w:sz w:val="18"/>
          <w:szCs w:val="18"/>
          <w:b w:val="1"/>
          <w:bCs w:val="1"/>
          <w:color w:val="auto"/>
        </w:rPr>
      </w:pPr>
    </w:p>
    <w:p>
      <w:pPr>
        <w:ind w:left="1340" w:right="159" w:hanging="541"/>
        <w:spacing w:after="0" w:line="235" w:lineRule="auto"/>
        <w:tabs>
          <w:tab w:leader="none" w:pos="1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As a condition to the effectiveness of this Amendment, Bank shall have received, in form and substance satisfactory to Bank, the following:</w:t>
      </w:r>
    </w:p>
    <w:p>
      <w:pPr>
        <w:spacing w:after="0" w:line="161" w:lineRule="exact"/>
        <w:rPr>
          <w:rFonts w:ascii="Arial" w:cs="Arial" w:eastAsia="Arial" w:hAnsi="Arial"/>
          <w:sz w:val="18"/>
          <w:szCs w:val="18"/>
          <w:b w:val="1"/>
          <w:bCs w:val="1"/>
          <w:color w:val="auto"/>
        </w:rPr>
      </w:pPr>
    </w:p>
    <w:p>
      <w:pPr>
        <w:ind w:left="1440" w:right="159" w:firstLine="1304"/>
        <w:spacing w:after="0" w:line="235" w:lineRule="auto"/>
        <w:tabs>
          <w:tab w:leader="none" w:pos="3427"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original signed Amendment and all other Loan Documents being executed in connection herewith, duly executed by Borrower;</w:t>
      </w:r>
    </w:p>
    <w:p>
      <w:pPr>
        <w:spacing w:after="0" w:line="161" w:lineRule="exact"/>
        <w:rPr>
          <w:rFonts w:ascii="Arial" w:cs="Arial" w:eastAsia="Arial" w:hAnsi="Arial"/>
          <w:sz w:val="18"/>
          <w:szCs w:val="18"/>
          <w:color w:val="auto"/>
        </w:rPr>
      </w:pPr>
    </w:p>
    <w:p>
      <w:pPr>
        <w:ind w:left="1440" w:right="159" w:firstLine="1304"/>
        <w:spacing w:after="0" w:line="235" w:lineRule="auto"/>
        <w:tabs>
          <w:tab w:leader="none" w:pos="341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 amendment and renewal facility fee equal to $90,000, plus an amount equal to all Bank Expenses incurred through the date of this Amendment;</w:t>
      </w:r>
    </w:p>
    <w:p>
      <w:pPr>
        <w:spacing w:after="0" w:line="161" w:lineRule="exact"/>
        <w:rPr>
          <w:rFonts w:ascii="Arial" w:cs="Arial" w:eastAsia="Arial" w:hAnsi="Arial"/>
          <w:sz w:val="18"/>
          <w:szCs w:val="18"/>
          <w:color w:val="auto"/>
        </w:rPr>
      </w:pPr>
    </w:p>
    <w:p>
      <w:pPr>
        <w:ind w:left="2120" w:hanging="673"/>
        <w:spacing w:after="0"/>
        <w:tabs>
          <w:tab w:leader="none" w:pos="2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affirmation of guaranty; and</w:t>
      </w:r>
    </w:p>
    <w:p>
      <w:pPr>
        <w:spacing w:after="0" w:line="184" w:lineRule="exact"/>
        <w:rPr>
          <w:rFonts w:ascii="Arial" w:cs="Arial" w:eastAsia="Arial" w:hAnsi="Arial"/>
          <w:sz w:val="18"/>
          <w:szCs w:val="18"/>
          <w:color w:val="auto"/>
        </w:rPr>
      </w:pPr>
    </w:p>
    <w:p>
      <w:pPr>
        <w:ind w:left="1440" w:right="159" w:firstLine="1304"/>
        <w:spacing w:after="0" w:line="235" w:lineRule="auto"/>
        <w:tabs>
          <w:tab w:leader="none" w:pos="3396" w:val="left"/>
        </w:tabs>
        <w:numPr>
          <w:ilvl w:val="2"/>
          <w:numId w:val="20"/>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Bank may reasonably deem necessary or appropriate.</w:t>
      </w:r>
    </w:p>
    <w:p>
      <w:pPr>
        <w:spacing w:after="0" w:line="16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135255</wp:posOffset>
            </wp:positionV>
            <wp:extent cx="55486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40" w:name="page41"/>
    <w:bookmarkEnd w:id="40"/>
    <w:p>
      <w:pPr>
        <w:ind w:left="160"/>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0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USA TECHNOLOGIES, INC.</w:t>
      </w:r>
    </w:p>
    <w:p>
      <w:pPr>
        <w:spacing w:after="0" w:line="200" w:lineRule="exact"/>
        <w:rPr>
          <w:sz w:val="20"/>
          <w:szCs w:val="20"/>
          <w:color w:val="auto"/>
        </w:rPr>
      </w:pPr>
    </w:p>
    <w:p>
      <w:pPr>
        <w:spacing w:after="0" w:line="25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Stephen P. Herbert</w:t>
      </w:r>
    </w:p>
    <w:p>
      <w:pPr>
        <w:spacing w:after="0" w:line="12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Stephen P. Herbert</w:t>
      </w:r>
    </w:p>
    <w:p>
      <w:pPr>
        <w:ind w:left="4640"/>
        <w:spacing w:after="0"/>
        <w:rPr>
          <w:sz w:val="20"/>
          <w:szCs w:val="20"/>
          <w:color w:val="auto"/>
        </w:rPr>
      </w:pPr>
      <w:r>
        <w:rPr>
          <w:rFonts w:ascii="Arial" w:cs="Arial" w:eastAsia="Arial" w:hAnsi="Arial"/>
          <w:sz w:val="18"/>
          <w:szCs w:val="18"/>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-3175</wp:posOffset>
            </wp:positionV>
            <wp:extent cx="23583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HERITAGE BANK OF COMMERCE</w:t>
      </w:r>
    </w:p>
    <w:p>
      <w:pPr>
        <w:spacing w:after="0" w:line="200" w:lineRule="exact"/>
        <w:rPr>
          <w:sz w:val="20"/>
          <w:szCs w:val="20"/>
          <w:color w:val="auto"/>
        </w:rPr>
      </w:pPr>
    </w:p>
    <w:p>
      <w:pPr>
        <w:spacing w:after="0" w:line="25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Karla Schrader</w:t>
      </w:r>
    </w:p>
    <w:p>
      <w:pPr>
        <w:spacing w:after="0" w:line="13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Karla Schrader</w:t>
      </w:r>
    </w:p>
    <w:p>
      <w:pPr>
        <w:spacing w:after="0" w:line="13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D</w:t>
      </w:r>
    </w:p>
    <w:p>
      <w:pPr>
        <w:jc w:val="center"/>
        <w:spacing w:after="0"/>
        <w:rPr>
          <w:sz w:val="20"/>
          <w:szCs w:val="20"/>
          <w:color w:val="auto"/>
        </w:rPr>
      </w:pPr>
      <w:r>
        <w:rPr>
          <w:rFonts w:ascii="Arial" w:cs="Arial" w:eastAsia="Arial" w:hAnsi="Arial"/>
          <w:sz w:val="16"/>
          <w:szCs w:val="16"/>
          <w:b w:val="1"/>
          <w:bCs w:val="1"/>
          <w:color w:val="auto"/>
        </w:rPr>
        <w:t>Compliance Certificate</w:t>
      </w:r>
    </w:p>
    <w:p>
      <w:pPr>
        <w:sectPr>
          <w:pgSz w:w="11900" w:h="16838" w:orient="portrait"/>
          <w:cols w:equalWidth="0" w:num="1">
            <w:col w:w="9019"/>
          </w:cols>
          <w:pgMar w:left="1440" w:top="434" w:right="1440" w:bottom="1440" w:gutter="0" w:footer="0" w:header="0"/>
        </w:sectPr>
      </w:pP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HERITAGE BANK OF COMMERCE</w:t>
      </w:r>
    </w:p>
    <w:p>
      <w:pPr>
        <w:spacing w:after="0" w:line="196" w:lineRule="exact"/>
        <w:rPr>
          <w:sz w:val="20"/>
          <w:szCs w:val="20"/>
          <w:color w:val="auto"/>
        </w:rPr>
      </w:pPr>
    </w:p>
    <w:p>
      <w:pPr>
        <w:sectPr>
          <w:pgSz w:w="11900" w:h="16838" w:orient="portrait"/>
          <w:cols w:equalWidth="0" w:num="2">
            <w:col w:w="860" w:space="720"/>
            <w:col w:w="7439"/>
          </w:cols>
          <w:pgMar w:left="1440" w:top="434" w:right="1440"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USA TECHNOLOGIES, INC.</w:t>
      </w:r>
    </w:p>
    <w:p>
      <w:pPr>
        <w:spacing w:after="0" w:line="196" w:lineRule="exact"/>
        <w:rPr>
          <w:sz w:val="20"/>
          <w:szCs w:val="20"/>
          <w:color w:val="auto"/>
        </w:rPr>
      </w:pPr>
    </w:p>
    <w:p>
      <w:pPr>
        <w:sectPr>
          <w:pgSz w:w="11900" w:h="16838" w:orient="portrait"/>
          <w:cols w:equalWidth="0" w:num="2">
            <w:col w:w="1020" w:space="720"/>
            <w:col w:w="7279"/>
          </w:cols>
          <w:pgMar w:left="1440" w:top="434" w:right="1440" w:bottom="1440" w:gutter="0" w:footer="0" w:header="0"/>
          <w:type w:val="continuous"/>
        </w:sectPr>
      </w:pPr>
    </w:p>
    <w:p>
      <w:pPr>
        <w:ind w:left="160" w:right="359" w:firstLine="648"/>
        <w:spacing w:after="0" w:line="239" w:lineRule="auto"/>
        <w:rPr>
          <w:sz w:val="20"/>
          <w:szCs w:val="20"/>
          <w:color w:val="auto"/>
        </w:rPr>
      </w:pPr>
      <w:r>
        <w:rPr>
          <w:rFonts w:ascii="Arial" w:cs="Arial" w:eastAsia="Arial" w:hAnsi="Arial"/>
          <w:sz w:val="16"/>
          <w:szCs w:val="16"/>
          <w:color w:val="auto"/>
        </w:rPr>
        <w:t>The undersigned authorized officer of USA TECHNOLOGIES, INC. hereby certifies that in accordance with the terms and conditions of the Loan and Security Agreement between Borrower and Bank (the “Agreement”),</w:t>
      </w:r>
    </w:p>
    <w:p>
      <w:pPr>
        <w:spacing w:after="0" w:line="1" w:lineRule="exact"/>
        <w:rPr>
          <w:sz w:val="20"/>
          <w:szCs w:val="20"/>
          <w:color w:val="auto"/>
        </w:rPr>
      </w:pPr>
    </w:p>
    <w:p>
      <w:pPr>
        <w:ind w:left="160" w:right="179" w:hanging="9"/>
        <w:spacing w:after="0" w:line="210"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 with all required covenants except as noted below and (ii) all representations and warranties of Borrower stated in the Agreement are true and correct as of the date hereof; provided, that those representations and warranties expressly referring to another date shall be true, correct, and complete in all material respects as of such date.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Reporting Covenant</w:t>
            </w:r>
          </w:p>
        </w:tc>
        <w:tc>
          <w:tcPr>
            <w:tcW w:w="3300" w:type="dxa"/>
            <w:vAlign w:val="bottom"/>
            <w:gridSpan w:val="3"/>
          </w:tcPr>
          <w:p>
            <w:pPr>
              <w:ind w:left="140"/>
              <w:spacing w:after="0"/>
              <w:rPr>
                <w:sz w:val="20"/>
                <w:szCs w:val="20"/>
                <w:color w:val="auto"/>
              </w:rPr>
            </w:pPr>
            <w:r>
              <w:rPr>
                <w:rFonts w:ascii="Arial" w:cs="Arial" w:eastAsia="Arial" w:hAnsi="Arial"/>
                <w:sz w:val="18"/>
                <w:szCs w:val="18"/>
                <w:b w:val="1"/>
                <w:bCs w:val="1"/>
                <w:color w:val="auto"/>
              </w:rPr>
              <w:t>Required</w:t>
            </w:r>
          </w:p>
        </w:tc>
        <w:tc>
          <w:tcPr>
            <w:tcW w:w="7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3"/>
              </w:rPr>
              <w:t>Complies</w:t>
            </w:r>
          </w:p>
        </w:tc>
      </w:tr>
      <w:tr>
        <w:trPr>
          <w:trHeight w:val="168"/>
        </w:trPr>
        <w:tc>
          <w:tcPr>
            <w:tcW w:w="1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A/R &amp; A/P Agings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Monthly</w:t>
            </w:r>
          </w:p>
        </w:tc>
        <w:tc>
          <w:tcPr>
            <w:tcW w:w="2440" w:type="dxa"/>
            <w:vAlign w:val="bottom"/>
          </w:tcPr>
          <w:p>
            <w:pPr>
              <w:spacing w:after="0" w:line="169" w:lineRule="exact"/>
              <w:rPr>
                <w:sz w:val="20"/>
                <w:szCs w:val="20"/>
                <w:color w:val="auto"/>
              </w:rPr>
            </w:pPr>
            <w:r>
              <w:rPr>
                <w:rFonts w:ascii="Arial" w:cs="Arial" w:eastAsia="Arial" w:hAnsi="Arial"/>
                <w:sz w:val="18"/>
                <w:szCs w:val="18"/>
                <w:color w:val="auto"/>
              </w:rPr>
              <w:t>within 25 days</w:t>
            </w:r>
          </w:p>
        </w:tc>
        <w:tc>
          <w:tcPr>
            <w:tcW w:w="720" w:type="dxa"/>
            <w:vAlign w:val="bottom"/>
          </w:tcPr>
          <w:p>
            <w:pPr>
              <w:ind w:left="340"/>
              <w:spacing w:after="0" w:line="169" w:lineRule="exact"/>
              <w:rPr>
                <w:sz w:val="20"/>
                <w:szCs w:val="20"/>
                <w:color w:val="auto"/>
              </w:rPr>
            </w:pPr>
            <w:r>
              <w:rPr>
                <w:rFonts w:ascii="Arial" w:cs="Arial" w:eastAsia="Arial" w:hAnsi="Arial"/>
                <w:sz w:val="18"/>
                <w:szCs w:val="18"/>
                <w:color w:val="auto"/>
              </w:rPr>
              <w:t>Yes</w:t>
            </w:r>
          </w:p>
        </w:tc>
        <w:tc>
          <w:tcPr>
            <w:tcW w:w="720" w:type="dxa"/>
            <w:vAlign w:val="bottom"/>
            <w:tcBorders>
              <w:top w:val="single" w:sz="8" w:color="auto"/>
            </w:tcBorders>
          </w:tcPr>
          <w:p>
            <w:pPr>
              <w:ind w:left="560"/>
              <w:spacing w:after="0" w:line="169" w:lineRule="exact"/>
              <w:rPr>
                <w:sz w:val="20"/>
                <w:szCs w:val="20"/>
                <w:color w:val="auto"/>
              </w:rPr>
            </w:pPr>
            <w:r>
              <w:rPr>
                <w:rFonts w:ascii="Arial" w:cs="Arial" w:eastAsia="Arial" w:hAnsi="Arial"/>
                <w:sz w:val="15"/>
                <w:szCs w:val="15"/>
                <w:color w:val="auto"/>
                <w:w w:val="72"/>
              </w:rPr>
              <w:t>No</w:t>
            </w:r>
          </w:p>
        </w:tc>
        <w:tc>
          <w:tcPr>
            <w:tcW w:w="60" w:type="dxa"/>
            <w:vAlign w:val="bottom"/>
          </w:tcPr>
          <w:p>
            <w:pPr>
              <w:spacing w:after="0"/>
              <w:rPr>
                <w:sz w:val="14"/>
                <w:szCs w:val="14"/>
                <w:color w:val="auto"/>
              </w:rPr>
            </w:pP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Borrowing Base Certificate</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Monthly within 25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Copies of non-HBC bank statements</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Monthly within 30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Churn Report</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Quarterly within 25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Quarterly financial statements</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Quarterly within 50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Compliance Certificate</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Quarterly within 50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Annual financial statements (CPA Audited)</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FYE within 120 days</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w w:val="95"/>
              </w:rPr>
              <w:t>Annual financial projections (board reviewed)</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Within 90 days of fiscal year beginning</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10K and 10Q</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Within 5 days of filing</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A/R Audit</w:t>
            </w:r>
          </w:p>
        </w:tc>
        <w:tc>
          <w:tcPr>
            <w:tcW w:w="330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Semi-Annually</w:t>
            </w:r>
          </w:p>
        </w:tc>
        <w:tc>
          <w:tcPr>
            <w:tcW w:w="720" w:type="dxa"/>
            <w:vAlign w:val="bottom"/>
          </w:tcPr>
          <w:p>
            <w:pPr>
              <w:ind w:left="340"/>
              <w:spacing w:after="0" w:line="189" w:lineRule="exact"/>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line="189" w:lineRule="exact"/>
              <w:rPr>
                <w:sz w:val="20"/>
                <w:szCs w:val="20"/>
                <w:color w:val="auto"/>
              </w:rPr>
            </w:pPr>
            <w:r>
              <w:rPr>
                <w:rFonts w:ascii="Arial" w:cs="Arial" w:eastAsia="Arial" w:hAnsi="Arial"/>
                <w:sz w:val="18"/>
                <w:szCs w:val="18"/>
                <w:color w:val="auto"/>
                <w:w w:val="86"/>
              </w:rPr>
              <w:t>No</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IP Notices</w:t>
            </w: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As required under Section 6.10</w:t>
            </w:r>
          </w:p>
        </w:tc>
        <w:tc>
          <w:tcPr>
            <w:tcW w:w="720" w:type="dxa"/>
            <w:vAlign w:val="bottom"/>
          </w:tcPr>
          <w:p>
            <w:pPr>
              <w:ind w:left="340"/>
              <w:spacing w:after="0"/>
              <w:rPr>
                <w:sz w:val="20"/>
                <w:szCs w:val="20"/>
                <w:color w:val="auto"/>
              </w:rPr>
            </w:pPr>
            <w:r>
              <w:rPr>
                <w:rFonts w:ascii="Arial" w:cs="Arial" w:eastAsia="Arial" w:hAnsi="Arial"/>
                <w:sz w:val="18"/>
                <w:szCs w:val="18"/>
                <w:color w:val="auto"/>
              </w:rPr>
              <w:t>Yes</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w w:val="86"/>
              </w:rPr>
              <w:t>No</w:t>
            </w:r>
          </w:p>
        </w:tc>
      </w:tr>
    </w:tbl>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Financial Covenant</w:t>
            </w:r>
          </w:p>
        </w:tc>
        <w:tc>
          <w:tcPr>
            <w:tcW w:w="2000" w:type="dxa"/>
            <w:vAlign w:val="bottom"/>
            <w:gridSpan w:val="3"/>
          </w:tcPr>
          <w:p>
            <w:pPr>
              <w:ind w:left="120"/>
              <w:spacing w:after="0"/>
              <w:rPr>
                <w:sz w:val="20"/>
                <w:szCs w:val="20"/>
                <w:color w:val="auto"/>
              </w:rPr>
            </w:pPr>
            <w:r>
              <w:rPr>
                <w:rFonts w:ascii="Arial" w:cs="Arial" w:eastAsia="Arial" w:hAnsi="Arial"/>
                <w:sz w:val="18"/>
                <w:szCs w:val="18"/>
                <w:b w:val="1"/>
                <w:bCs w:val="1"/>
                <w:color w:val="auto"/>
              </w:rPr>
              <w:t>Required</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Actual</w:t>
            </w:r>
          </w:p>
        </w:tc>
        <w:tc>
          <w:tcPr>
            <w:tcW w:w="660" w:type="dxa"/>
            <w:vAlign w:val="bottom"/>
            <w:vMerge w:val="restart"/>
          </w:tcPr>
          <w:p>
            <w:pPr>
              <w:ind w:left="280"/>
              <w:spacing w:after="0"/>
              <w:rPr>
                <w:sz w:val="20"/>
                <w:szCs w:val="20"/>
                <w:color w:val="auto"/>
              </w:rPr>
            </w:pPr>
            <w:r>
              <w:rPr>
                <w:rFonts w:ascii="Arial" w:cs="Arial" w:eastAsia="Arial" w:hAnsi="Arial"/>
                <w:sz w:val="18"/>
                <w:szCs w:val="18"/>
                <w:color w:val="auto"/>
              </w:rPr>
              <w:t>Yes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Complies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3480" w:type="dxa"/>
            <w:vAlign w:val="bottom"/>
            <w:gridSpan w:val="2"/>
          </w:tcPr>
          <w:p>
            <w:pPr>
              <w:spacing w:after="0" w:line="169" w:lineRule="exact"/>
              <w:rPr>
                <w:sz w:val="20"/>
                <w:szCs w:val="20"/>
                <w:color w:val="auto"/>
              </w:rPr>
            </w:pPr>
            <w:r>
              <w:rPr>
                <w:rFonts w:ascii="Arial" w:cs="Arial" w:eastAsia="Arial" w:hAnsi="Arial"/>
                <w:sz w:val="18"/>
                <w:szCs w:val="18"/>
                <w:color w:val="auto"/>
              </w:rPr>
              <w:t>Maximum Churn Rate (quarterly)</w:t>
            </w:r>
          </w:p>
        </w:tc>
        <w:tc>
          <w:tcPr>
            <w:tcW w:w="120" w:type="dxa"/>
            <w:vAlign w:val="bottom"/>
            <w:vMerge w:val="continue"/>
          </w:tcPr>
          <w:p>
            <w:pPr>
              <w:spacing w:after="0"/>
              <w:rPr>
                <w:sz w:val="14"/>
                <w:szCs w:val="14"/>
                <w:color w:val="auto"/>
              </w:rPr>
            </w:pPr>
          </w:p>
        </w:tc>
        <w:tc>
          <w:tcPr>
            <w:tcW w:w="720" w:type="dxa"/>
            <w:vAlign w:val="bottom"/>
          </w:tcPr>
          <w:p>
            <w:pPr>
              <w:spacing w:after="0" w:line="169" w:lineRule="exact"/>
              <w:rPr>
                <w:sz w:val="20"/>
                <w:szCs w:val="20"/>
                <w:color w:val="auto"/>
              </w:rPr>
            </w:pPr>
            <w:r>
              <w:rPr>
                <w:rFonts w:ascii="Arial" w:cs="Arial" w:eastAsia="Arial" w:hAnsi="Arial"/>
                <w:sz w:val="18"/>
                <w:szCs w:val="18"/>
                <w:color w:val="auto"/>
              </w:rPr>
              <w:t>5%</w:t>
            </w:r>
          </w:p>
        </w:tc>
        <w:tc>
          <w:tcPr>
            <w:tcW w:w="1160" w:type="dxa"/>
            <w:vAlign w:val="bottom"/>
            <w:vMerge w:val="continue"/>
          </w:tcPr>
          <w:p>
            <w:pPr>
              <w:spacing w:after="0"/>
              <w:rPr>
                <w:sz w:val="14"/>
                <w:szCs w:val="14"/>
                <w:color w:val="auto"/>
              </w:rPr>
            </w:pPr>
          </w:p>
        </w:tc>
        <w:tc>
          <w:tcPr>
            <w:tcW w:w="500" w:type="dxa"/>
            <w:vAlign w:val="bottom"/>
          </w:tcPr>
          <w:p>
            <w:pPr>
              <w:spacing w:after="0" w:line="169" w:lineRule="exact"/>
              <w:rPr>
                <w:sz w:val="20"/>
                <w:szCs w:val="20"/>
                <w:color w:val="auto"/>
              </w:rPr>
            </w:pPr>
            <w:r>
              <w:rPr>
                <w:rFonts w:ascii="Arial" w:cs="Arial" w:eastAsia="Arial" w:hAnsi="Arial"/>
                <w:sz w:val="18"/>
                <w:szCs w:val="18"/>
                <w:color w:val="auto"/>
              </w:rPr>
              <w:t>___%</w:t>
            </w:r>
          </w:p>
        </w:tc>
        <w:tc>
          <w:tcPr>
            <w:tcW w:w="8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ind w:left="100"/>
              <w:spacing w:after="0" w:line="169" w:lineRule="exact"/>
              <w:rPr>
                <w:sz w:val="20"/>
                <w:szCs w:val="20"/>
                <w:color w:val="auto"/>
              </w:rPr>
            </w:pPr>
            <w:r>
              <w:rPr>
                <w:rFonts w:ascii="Arial" w:cs="Arial" w:eastAsia="Arial" w:hAnsi="Arial"/>
                <w:sz w:val="15"/>
                <w:szCs w:val="15"/>
                <w:color w:val="auto"/>
                <w:w w:val="72"/>
              </w:rPr>
              <w:t>No</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480" w:type="dxa"/>
            <w:vAlign w:val="bottom"/>
            <w:gridSpan w:val="2"/>
          </w:tcPr>
          <w:p>
            <w:pPr>
              <w:spacing w:after="0" w:line="189" w:lineRule="exact"/>
              <w:rPr>
                <w:sz w:val="20"/>
                <w:szCs w:val="20"/>
                <w:color w:val="auto"/>
              </w:rPr>
            </w:pPr>
            <w:r>
              <w:rPr>
                <w:rFonts w:ascii="Arial" w:cs="Arial" w:eastAsia="Arial" w:hAnsi="Arial"/>
                <w:sz w:val="18"/>
                <w:szCs w:val="18"/>
                <w:color w:val="auto"/>
              </w:rPr>
              <w:t>Minimum Connections (quarterly)</w:t>
            </w:r>
          </w:p>
        </w:tc>
        <w:tc>
          <w:tcPr>
            <w:tcW w:w="8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Arial" w:cs="Arial" w:eastAsia="Arial" w:hAnsi="Arial"/>
                <w:sz w:val="18"/>
                <w:szCs w:val="18"/>
                <w:color w:val="auto"/>
              </w:rPr>
              <w:t>___________</w:t>
            </w:r>
          </w:p>
        </w:tc>
        <w:tc>
          <w:tcPr>
            <w:tcW w:w="660" w:type="dxa"/>
            <w:vAlign w:val="bottom"/>
          </w:tcPr>
          <w:p>
            <w:pPr>
              <w:ind w:left="280"/>
              <w:spacing w:after="0" w:line="189" w:lineRule="exact"/>
              <w:rPr>
                <w:sz w:val="20"/>
                <w:szCs w:val="20"/>
                <w:color w:val="auto"/>
              </w:rPr>
            </w:pPr>
            <w:r>
              <w:rPr>
                <w:rFonts w:ascii="Arial" w:cs="Arial" w:eastAsia="Arial" w:hAnsi="Arial"/>
                <w:sz w:val="18"/>
                <w:szCs w:val="18"/>
                <w:color w:val="auto"/>
              </w:rPr>
              <w:t>Yes</w:t>
            </w:r>
          </w:p>
        </w:tc>
        <w:tc>
          <w:tcPr>
            <w:tcW w:w="460" w:type="dxa"/>
            <w:vAlign w:val="bottom"/>
          </w:tcPr>
          <w:p>
            <w:pPr>
              <w:spacing w:after="0"/>
              <w:rPr>
                <w:sz w:val="16"/>
                <w:szCs w:val="16"/>
                <w:color w:val="auto"/>
              </w:rPr>
            </w:pPr>
          </w:p>
        </w:tc>
        <w:tc>
          <w:tcPr>
            <w:tcW w:w="66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3480" w:type="dxa"/>
            <w:vAlign w:val="bottom"/>
            <w:gridSpan w:val="2"/>
          </w:tcPr>
          <w:p>
            <w:pPr>
              <w:spacing w:after="0" w:line="189" w:lineRule="exact"/>
              <w:rPr>
                <w:sz w:val="20"/>
                <w:szCs w:val="20"/>
                <w:color w:val="auto"/>
              </w:rPr>
            </w:pPr>
            <w:r>
              <w:rPr>
                <w:rFonts w:ascii="Arial" w:cs="Arial" w:eastAsia="Arial" w:hAnsi="Arial"/>
                <w:sz w:val="18"/>
                <w:szCs w:val="18"/>
                <w:color w:val="auto"/>
              </w:rPr>
              <w:t>Minimum Cash at Bank (at all times)</w:t>
            </w:r>
          </w:p>
        </w:tc>
        <w:tc>
          <w:tcPr>
            <w:tcW w:w="8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Arial" w:cs="Arial" w:eastAsia="Arial" w:hAnsi="Arial"/>
                <w:sz w:val="18"/>
                <w:szCs w:val="18"/>
                <w:color w:val="auto"/>
              </w:rPr>
              <w:t>$___________</w:t>
            </w:r>
          </w:p>
        </w:tc>
        <w:tc>
          <w:tcPr>
            <w:tcW w:w="660" w:type="dxa"/>
            <w:vAlign w:val="bottom"/>
          </w:tcPr>
          <w:p>
            <w:pPr>
              <w:ind w:left="280"/>
              <w:spacing w:after="0" w:line="189" w:lineRule="exact"/>
              <w:rPr>
                <w:sz w:val="20"/>
                <w:szCs w:val="20"/>
                <w:color w:val="auto"/>
              </w:rPr>
            </w:pPr>
            <w:r>
              <w:rPr>
                <w:rFonts w:ascii="Arial" w:cs="Arial" w:eastAsia="Arial" w:hAnsi="Arial"/>
                <w:sz w:val="18"/>
                <w:szCs w:val="18"/>
                <w:color w:val="auto"/>
              </w:rPr>
              <w:t>Yes</w:t>
            </w:r>
          </w:p>
        </w:tc>
        <w:tc>
          <w:tcPr>
            <w:tcW w:w="460" w:type="dxa"/>
            <w:vAlign w:val="bottom"/>
          </w:tcPr>
          <w:p>
            <w:pPr>
              <w:spacing w:after="0"/>
              <w:rPr>
                <w:sz w:val="16"/>
                <w:szCs w:val="16"/>
                <w:color w:val="auto"/>
              </w:rPr>
            </w:pPr>
          </w:p>
        </w:tc>
        <w:tc>
          <w:tcPr>
            <w:tcW w:w="66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Minimum Adjusted EBITDA (quarterly)</w:t>
            </w:r>
          </w:p>
        </w:tc>
        <w:tc>
          <w:tcPr>
            <w:tcW w:w="2000" w:type="dxa"/>
            <w:vAlign w:val="bottom"/>
            <w:gridSpan w:val="3"/>
          </w:tcPr>
          <w:p>
            <w:pPr>
              <w:ind w:left="120"/>
              <w:spacing w:after="0"/>
              <w:rPr>
                <w:sz w:val="20"/>
                <w:szCs w:val="20"/>
                <w:color w:val="auto"/>
              </w:rPr>
            </w:pPr>
            <w:r>
              <w:rPr>
                <w:rFonts w:ascii="Arial" w:cs="Arial" w:eastAsia="Arial" w:hAnsi="Arial"/>
                <w:sz w:val="18"/>
                <w:szCs w:val="18"/>
                <w:color w:val="auto"/>
              </w:rPr>
              <w:t>See Section 6.9(b)</w:t>
            </w:r>
          </w:p>
        </w:tc>
        <w:tc>
          <w:tcPr>
            <w:tcW w:w="13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660" w:type="dxa"/>
            <w:vAlign w:val="bottom"/>
          </w:tcPr>
          <w:p>
            <w:pPr>
              <w:ind w:left="280"/>
              <w:spacing w:after="0"/>
              <w:rPr>
                <w:sz w:val="20"/>
                <w:szCs w:val="20"/>
                <w:color w:val="auto"/>
              </w:rPr>
            </w:pPr>
            <w:r>
              <w:rPr>
                <w:rFonts w:ascii="Arial" w:cs="Arial" w:eastAsia="Arial" w:hAnsi="Arial"/>
                <w:sz w:val="18"/>
                <w:szCs w:val="18"/>
                <w:color w:val="auto"/>
              </w:rPr>
              <w:t>Yes</w:t>
            </w:r>
          </w:p>
        </w:tc>
        <w:tc>
          <w:tcPr>
            <w:tcW w:w="460" w:type="dxa"/>
            <w:vAlign w:val="bottom"/>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76"/>
        </w:trPr>
        <w:tc>
          <w:tcPr>
            <w:tcW w:w="140" w:type="dxa"/>
            <w:vAlign w:val="bottom"/>
            <w:vMerge w:val="restart"/>
          </w:tcPr>
          <w:p>
            <w:pPr>
              <w:spacing w:after="0"/>
              <w:rPr>
                <w:sz w:val="15"/>
                <w:szCs w:val="15"/>
                <w:color w:val="auto"/>
              </w:rPr>
            </w:pPr>
          </w:p>
        </w:tc>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0" w:type="dxa"/>
            <w:vAlign w:val="bottom"/>
            <w:vMerge w:val="continue"/>
          </w:tcPr>
          <w:p>
            <w:pPr>
              <w:spacing w:after="0"/>
              <w:rPr>
                <w:sz w:val="8"/>
                <w:szCs w:val="8"/>
                <w:color w:val="auto"/>
              </w:rPr>
            </w:pPr>
          </w:p>
        </w:tc>
        <w:tc>
          <w:tcPr>
            <w:tcW w:w="3480" w:type="dxa"/>
            <w:vAlign w:val="bottom"/>
            <w:gridSpan w:val="2"/>
            <w:vMerge w:val="continue"/>
          </w:tcPr>
          <w:p>
            <w:pPr>
              <w:spacing w:after="0"/>
              <w:rPr>
                <w:sz w:val="8"/>
                <w:szCs w:val="8"/>
                <w:color w:val="auto"/>
              </w:rPr>
            </w:pPr>
          </w:p>
        </w:tc>
        <w:tc>
          <w:tcPr>
            <w:tcW w:w="200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BANK USE ONLY</w:t>
            </w: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7"/>
                <w:szCs w:val="17"/>
                <w:color w:val="auto"/>
              </w:rPr>
              <w:t>Attached.</w:t>
            </w:r>
          </w:p>
        </w:tc>
        <w:tc>
          <w:tcPr>
            <w:tcW w:w="2000" w:type="dxa"/>
            <w:vAlign w:val="bottom"/>
            <w:tcBorders>
              <w:left w:val="single" w:sz="8" w:color="auto"/>
            </w:tcBorders>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34" w:right="1440" w:bottom="1440" w:gutter="0" w:footer="0" w:header="0"/>
          <w:type w:val="continuous"/>
        </w:sectPr>
      </w:pPr>
    </w:p>
    <w:bookmarkStart w:id="42" w:name="page43"/>
    <w:bookmarkEnd w:id="42"/>
    <w:p>
      <w:pPr>
        <w:spacing w:after="0" w:line="2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-361950</wp:posOffset>
            </wp:positionV>
            <wp:extent cx="3078480" cy="1818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78480" cy="1818005"/>
                    </a:xfrm>
                    <a:prstGeom prst="rect">
                      <a:avLst/>
                    </a:prstGeom>
                    <a:noFill/>
                  </pic:spPr>
                </pic:pic>
              </a:graphicData>
            </a:graphic>
          </wp:anchor>
        </w:drawing>
      </w:r>
    </w:p>
    <w:p>
      <w:pPr>
        <w:spacing w:after="0" w:line="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AUTHORIZED SIGNER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8" w:lineRule="exact"/>
        <w:rPr>
          <w:sz w:val="20"/>
          <w:szCs w:val="20"/>
          <w:color w:val="auto"/>
        </w:rPr>
      </w:pPr>
    </w:p>
    <w:p>
      <w:pPr>
        <w:jc w:val="center"/>
        <w:ind w:right="3520"/>
        <w:spacing w:after="0"/>
        <w:rPr>
          <w:sz w:val="20"/>
          <w:szCs w:val="20"/>
          <w:color w:val="auto"/>
        </w:rPr>
      </w:pPr>
      <w:r>
        <w:rPr>
          <w:rFonts w:ascii="Arial" w:cs="Arial" w:eastAsia="Arial" w:hAnsi="Arial"/>
          <w:sz w:val="17"/>
          <w:szCs w:val="17"/>
          <w:color w:val="auto"/>
        </w:rPr>
        <w:t>Verified:</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AUTHORIZED SIGNER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98" w:lineRule="exact"/>
        <w:rPr>
          <w:sz w:val="20"/>
          <w:szCs w:val="20"/>
          <w:color w:val="auto"/>
        </w:rPr>
      </w:pPr>
    </w:p>
    <w:p>
      <w:pPr>
        <w:spacing w:after="0"/>
        <w:tabs>
          <w:tab w:leader="none" w:pos="2880" w:val="left"/>
          <w:tab w:leader="none" w:pos="392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537845</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2">
            <w:col w:w="4220" w:space="720"/>
            <w:col w:w="4160"/>
          </w:cols>
          <w:pgMar w:left="1440" w:top="692" w:right="1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500" w:hanging="497"/>
        <w:spacing w:after="0" w:line="207" w:lineRule="exact"/>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440" w:hanging="437"/>
        <w:spacing w:after="0" w:line="221" w:lineRule="exact"/>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Priyanka Singh, certify that:</w:t>
      </w:r>
    </w:p>
    <w:p>
      <w:pPr>
        <w:spacing w:after="0" w:line="225" w:lineRule="exact"/>
        <w:rPr>
          <w:sz w:val="20"/>
          <w:szCs w:val="20"/>
          <w:color w:val="auto"/>
        </w:rPr>
      </w:pPr>
    </w:p>
    <w:p>
      <w:pPr>
        <w:ind w:left="500" w:hanging="497"/>
        <w:spacing w:after="0" w:line="207" w:lineRule="exact"/>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440" w:hanging="437"/>
        <w:spacing w:after="0" w:line="221" w:lineRule="exact"/>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440" w:hanging="437"/>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2017 (the “Report”), I, Stephen P. Herbert., Chief Executive Officer of the Company, hereby certify that to my knowledge:</w:t>
      </w:r>
    </w:p>
    <w:p>
      <w:pPr>
        <w:spacing w:after="0" w:line="202" w:lineRule="exact"/>
        <w:rPr>
          <w:sz w:val="20"/>
          <w:szCs w:val="20"/>
          <w:color w:val="auto"/>
        </w:rPr>
      </w:pPr>
    </w:p>
    <w:p>
      <w:pPr>
        <w:ind w:left="460" w:hanging="457"/>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460" w:hanging="457"/>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March 31, 2017 (the “Report”), I, Priyanka Singh, Chief Financial Officer of the Company, hereby certify that to my knowledge:</w:t>
      </w:r>
    </w:p>
    <w:p>
      <w:pPr>
        <w:spacing w:after="0" w:line="202" w:lineRule="exact"/>
        <w:rPr>
          <w:sz w:val="20"/>
          <w:szCs w:val="20"/>
          <w:color w:val="auto"/>
        </w:rPr>
      </w:pPr>
    </w:p>
    <w:p>
      <w:pPr>
        <w:ind w:left="460" w:hanging="457"/>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460" w:hanging="457"/>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May 9,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
      <w:numFmt w:val="bullet"/>
      <w:start w:val="1"/>
    </w:lvl>
  </w:abstractNum>
  <w:abstractNum w:abstractNumId="1">
    <w:nsid w:val="109CF92E"/>
    <w:multiLevelType w:val="hybridMultilevel"/>
    <w:lvl w:ilvl="0">
      <w:lvlJc w:val="left"/>
      <w:lvlText w:val=" "/>
      <w:numFmt w:val="bullet"/>
      <w:start w:val="1"/>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3"/>
    </w:lvl>
    <w:lvl w:ilvl="1">
      <w:lvlJc w:val="left"/>
      <w:lvlText w:val="(%2)"/>
      <w:numFmt w:val="lowerLetter"/>
      <w:start w:val="2"/>
    </w:lvl>
  </w:abstractNum>
  <w:abstractNum w:abstractNumId="14">
    <w:nsid w:val="62BBD95A"/>
    <w:multiLevelType w:val="hybridMultilevel"/>
    <w:lvl w:ilvl="0">
      <w:lvlJc w:val="left"/>
      <w:lvlText w:val="%1"/>
      <w:numFmt w:val="decimal"/>
      <w:start w:val="1"/>
    </w:lvl>
    <w:lvl w:ilvl="1">
      <w:lvlJc w:val="left"/>
      <w:lvlText w:val="(%2)"/>
      <w:numFmt w:val="lowerLetter"/>
      <w:start w:val="8"/>
    </w:lvl>
  </w:abstractNum>
  <w:abstractNum w:abstractNumId="15">
    <w:nsid w:val="436C6125"/>
    <w:multiLevelType w:val="hybridMultilevel"/>
    <w:lvl w:ilvl="0">
      <w:lvlJc w:val="left"/>
      <w:lvlText w:val="%1."/>
      <w:numFmt w:val="decimal"/>
      <w:start w:val="5"/>
    </w:lvl>
    <w:lvl w:ilvl="1">
      <w:lvlJc w:val="left"/>
      <w:lvlText w:val="(%2)"/>
      <w:numFmt w:val="lowerLetter"/>
      <w:start w:val="1"/>
    </w:lvl>
  </w:abstractNum>
  <w:abstractNum w:abstractNumId="16">
    <w:nsid w:val="628C895D"/>
    <w:multiLevelType w:val="hybridMultilevel"/>
    <w:lvl w:ilvl="0">
      <w:lvlJc w:val="left"/>
      <w:lvlText w:val="%1."/>
      <w:numFmt w:val="decimal"/>
      <w:start w:val="7"/>
    </w:lvl>
  </w:abstractNum>
  <w:abstractNum w:abstractNumId="17">
    <w:nsid w:val="333AB105"/>
    <w:multiLevelType w:val="hybridMultilevel"/>
    <w:lvl w:ilvl="0">
      <w:lvlJc w:val="left"/>
      <w:lvlText w:val="%1."/>
      <w:numFmt w:val="decimal"/>
      <w:start w:val="8"/>
    </w:lvl>
  </w:abstractNum>
  <w:abstractNum w:abstractNumId="18">
    <w:nsid w:val="721DA317"/>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2019-12-29T05:52:41Z</dcterms:created>
  <dcterms:modified xsi:type="dcterms:W3CDTF">2019-12-29T05:52:41Z</dcterms:modified>
</cp:coreProperties>
</file>