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86"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90"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to</w:t>
            </w:r>
          </w:p>
        </w:tc>
      </w:tr>
      <w:tr>
        <w:trPr>
          <w:trHeight w:val="270"/>
        </w:trPr>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0"/>
              </w:rPr>
              <w:t>Commission file number 001-33365</w:t>
            </w:r>
          </w:p>
        </w:tc>
      </w:tr>
      <w:tr>
        <w:trPr>
          <w:trHeight w:val="247"/>
        </w:trPr>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USA Technologies, Inc.</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86"/>
        </w:trPr>
        <w:tc>
          <w:tcPr>
            <w:tcW w:w="76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38"/>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3460" w:type="dxa"/>
            <w:vAlign w:val="bottom"/>
            <w:gridSpan w:val="2"/>
          </w:tcPr>
          <w:p>
            <w:pPr>
              <w:spacing w:after="0"/>
              <w:rPr>
                <w:sz w:val="24"/>
                <w:szCs w:val="24"/>
                <w:color w:val="auto"/>
              </w:rPr>
            </w:pPr>
          </w:p>
        </w:tc>
        <w:tc>
          <w:tcPr>
            <w:tcW w:w="32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23-2679963</w:t>
            </w:r>
          </w:p>
        </w:tc>
      </w:tr>
      <w:tr>
        <w:trPr>
          <w:trHeight w:val="20"/>
        </w:trPr>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6120" w:type="dxa"/>
            <w:vAlign w:val="bottom"/>
            <w:gridSpan w:val="5"/>
          </w:tcPr>
          <w:p>
            <w:pPr>
              <w:jc w:val="center"/>
              <w:ind w:right="17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80" w:type="dxa"/>
            <w:vAlign w:val="bottom"/>
            <w:gridSpan w:val="5"/>
          </w:tcPr>
          <w:p>
            <w:pPr>
              <w:jc w:val="center"/>
              <w:ind w:left="570"/>
              <w:spacing w:after="0"/>
              <w:rPr>
                <w:sz w:val="20"/>
                <w:szCs w:val="20"/>
                <w:color w:val="auto"/>
              </w:rPr>
            </w:pPr>
            <w:r>
              <w:rPr>
                <w:rFonts w:ascii="Arial" w:cs="Arial" w:eastAsia="Arial" w:hAnsi="Arial"/>
                <w:sz w:val="18"/>
                <w:szCs w:val="18"/>
                <w:color w:val="auto"/>
                <w:w w:val="94"/>
              </w:rPr>
              <w:t>(I.R.S. Employer Identification No.)</w:t>
            </w:r>
          </w:p>
        </w:tc>
      </w:tr>
      <w:tr>
        <w:trPr>
          <w:trHeight w:val="365"/>
        </w:trPr>
        <w:tc>
          <w:tcPr>
            <w:tcW w:w="100" w:type="dxa"/>
            <w:vAlign w:val="bottom"/>
          </w:tcPr>
          <w:p>
            <w:pPr>
              <w:spacing w:after="0"/>
              <w:rPr>
                <w:sz w:val="24"/>
                <w:szCs w:val="24"/>
                <w:color w:val="auto"/>
              </w:rPr>
            </w:pPr>
          </w:p>
        </w:tc>
        <w:tc>
          <w:tcPr>
            <w:tcW w:w="6020" w:type="dxa"/>
            <w:vAlign w:val="bottom"/>
            <w:gridSpan w:val="4"/>
          </w:tcPr>
          <w:p>
            <w:pPr>
              <w:jc w:val="center"/>
              <w:ind w:right="1830"/>
              <w:spacing w:after="0"/>
              <w:rPr>
                <w:sz w:val="20"/>
                <w:szCs w:val="20"/>
                <w:color w:val="auto"/>
              </w:rPr>
            </w:pPr>
            <w:r>
              <w:rPr>
                <w:rFonts w:ascii="Arial" w:cs="Arial" w:eastAsia="Arial" w:hAnsi="Arial"/>
                <w:sz w:val="18"/>
                <w:szCs w:val="18"/>
                <w:b w:val="1"/>
                <w:bCs w:val="1"/>
                <w:color w:val="auto"/>
                <w:w w:val="90"/>
              </w:rPr>
              <w:t>100 Deerfield Lane, Suite 300, Malvern, Pennsylvania</w:t>
            </w:r>
          </w:p>
        </w:tc>
        <w:tc>
          <w:tcPr>
            <w:tcW w:w="2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91"/>
        </w:trPr>
        <w:tc>
          <w:tcPr>
            <w:tcW w:w="10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241"/>
        </w:trPr>
        <w:tc>
          <w:tcPr>
            <w:tcW w:w="61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(610) 989-0340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4020"/>
        <w:spacing w:after="0"/>
        <w:rPr>
          <w:sz w:val="20"/>
          <w:szCs w:val="20"/>
          <w:color w:val="auto"/>
        </w:rPr>
      </w:pPr>
      <w:r>
        <w:rPr>
          <w:rFonts w:ascii="Arial" w:cs="Arial" w:eastAsia="Arial" w:hAnsi="Arial"/>
          <w:sz w:val="11"/>
          <w:szCs w:val="11"/>
          <w:b w:val="1"/>
          <w:bCs w:val="1"/>
          <w:color w:val="auto"/>
        </w:rPr>
        <w:t>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1"/>
              </w:rPr>
              <w:t>Title of Each Class</w:t>
            </w:r>
          </w:p>
        </w:tc>
        <w:tc>
          <w:tcPr>
            <w:tcW w:w="2540" w:type="dxa"/>
            <w:vAlign w:val="bottom"/>
          </w:tcPr>
          <w:p>
            <w:pPr>
              <w:jc w:val="center"/>
              <w:ind w:left="119"/>
              <w:spacing w:after="0"/>
              <w:rPr>
                <w:sz w:val="20"/>
                <w:szCs w:val="20"/>
                <w:color w:val="auto"/>
              </w:rPr>
            </w:pPr>
            <w:r>
              <w:rPr>
                <w:rFonts w:ascii="Arial" w:cs="Arial" w:eastAsia="Arial" w:hAnsi="Arial"/>
                <w:sz w:val="16"/>
                <w:szCs w:val="16"/>
                <w:color w:val="auto"/>
                <w:w w:val="94"/>
              </w:rPr>
              <w:t>Trading Symbol</w:t>
            </w:r>
          </w:p>
        </w:tc>
        <w:tc>
          <w:tcPr>
            <w:tcW w:w="448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4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13"/>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2"/>
              </w:rPr>
              <w:t>Common Stock, no par value</w:t>
            </w:r>
          </w:p>
        </w:tc>
        <w:tc>
          <w:tcPr>
            <w:tcW w:w="2540" w:type="dxa"/>
            <w:vAlign w:val="bottom"/>
          </w:tcPr>
          <w:p>
            <w:pPr>
              <w:jc w:val="center"/>
              <w:ind w:left="139"/>
              <w:spacing w:after="0"/>
              <w:rPr>
                <w:sz w:val="20"/>
                <w:szCs w:val="20"/>
                <w:color w:val="auto"/>
              </w:rPr>
            </w:pPr>
            <w:r>
              <w:rPr>
                <w:rFonts w:ascii="Arial" w:cs="Arial" w:eastAsia="Arial" w:hAnsi="Arial"/>
                <w:sz w:val="16"/>
                <w:szCs w:val="16"/>
                <w:color w:val="auto"/>
                <w:w w:val="93"/>
              </w:rPr>
              <w:t>USAT</w:t>
            </w: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2"/>
              </w:rPr>
              <w:t>Series A Convertible Preferred Stock</w:t>
            </w:r>
          </w:p>
        </w:tc>
        <w:tc>
          <w:tcPr>
            <w:tcW w:w="2540" w:type="dxa"/>
            <w:vAlign w:val="bottom"/>
          </w:tcPr>
          <w:p>
            <w:pPr>
              <w:jc w:val="center"/>
              <w:ind w:left="119"/>
              <w:spacing w:after="0"/>
              <w:rPr>
                <w:sz w:val="20"/>
                <w:szCs w:val="20"/>
                <w:color w:val="auto"/>
              </w:rPr>
            </w:pPr>
            <w:r>
              <w:rPr>
                <w:rFonts w:ascii="Arial" w:cs="Arial" w:eastAsia="Arial" w:hAnsi="Arial"/>
                <w:sz w:val="16"/>
                <w:szCs w:val="16"/>
                <w:color w:val="auto"/>
                <w:w w:val="93"/>
              </w:rPr>
              <w:t>USATP</w:t>
            </w: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78"/>
        </w:trPr>
        <w:tc>
          <w:tcPr>
            <w:tcW w:w="5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w w:val="95"/>
              </w:rPr>
              <w:t>Non-accelerated filer (Do not check if a smaller reporting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0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November 1, 2019 there were 63,825,304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40" w:type="dxa"/>
            <w:vAlign w:val="bottom"/>
          </w:tcPr>
          <w:p>
            <w:pPr>
              <w:spacing w:after="0"/>
              <w:rPr>
                <w:sz w:val="17"/>
                <w:szCs w:val="17"/>
                <w:color w:val="auto"/>
              </w:rPr>
            </w:pPr>
          </w:p>
        </w:tc>
      </w:tr>
      <w:tr>
        <w:trPr>
          <w:trHeight w:val="434"/>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rPr>
              <w:t>USA TECHNOLOGIES, INC.</w:t>
            </w:r>
          </w:p>
        </w:tc>
        <w:tc>
          <w:tcPr>
            <w:tcW w:w="19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 Financial Information</w:t>
              </w:r>
            </w:hyperlink>
          </w:p>
        </w:tc>
        <w:tc>
          <w:tcPr>
            <w:tcW w:w="7300" w:type="dxa"/>
            <w:vAlign w:val="bottom"/>
            <w:gridSpan w:val="9"/>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160" w:type="dxa"/>
            <w:vAlign w:val="bottom"/>
            <w:gridSpan w:val="12"/>
          </w:tcPr>
          <w:p>
            <w:pPr>
              <w:spacing w:after="0"/>
              <w:rPr>
                <w:sz w:val="20"/>
                <w:szCs w:val="20"/>
                <w:color w:val="auto"/>
              </w:rPr>
            </w:pPr>
            <w:r>
              <w:rPr>
                <w:rFonts w:ascii="Arial" w:cs="Arial" w:eastAsia="Arial" w:hAnsi="Arial"/>
                <w:sz w:val="18"/>
                <w:szCs w:val="18"/>
                <w:color w:val="0000EE"/>
              </w:rPr>
              <w:t>Condensed Consolidated Financial Statements</w:t>
            </w:r>
          </w:p>
        </w:tc>
        <w:tc>
          <w:tcPr>
            <w:tcW w:w="19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7"/>
              </w:rPr>
              <w:t>Condensed Consolidated Balance Sheets (unaudited)</w:t>
            </w:r>
          </w:p>
        </w:tc>
        <w:tc>
          <w:tcPr>
            <w:tcW w:w="4380" w:type="dxa"/>
            <w:vAlign w:val="bottom"/>
            <w:gridSpan w:val="6"/>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Condensed Consolidated Statements of Operations (unaudited)</w:t>
            </w:r>
          </w:p>
        </w:tc>
        <w:tc>
          <w:tcPr>
            <w:tcW w:w="3660" w:type="dxa"/>
            <w:vAlign w:val="bottom"/>
            <w:gridSpan w:val="4"/>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Condensed Consolidated Statements of Shareholders’ Equity (unaudited)</w:t>
            </w:r>
          </w:p>
        </w:tc>
        <w:tc>
          <w:tcPr>
            <w:tcW w:w="2920" w:type="dxa"/>
            <w:vAlign w:val="bottom"/>
            <w:gridSpan w:val="2"/>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Condensed Consolidated Statements of Cash Flows (unaudited)</w:t>
            </w:r>
          </w:p>
        </w:tc>
        <w:tc>
          <w:tcPr>
            <w:tcW w:w="3600" w:type="dxa"/>
            <w:vAlign w:val="bottom"/>
            <w:gridSpan w:val="3"/>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19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816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19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80" w:type="dxa"/>
            <w:vAlign w:val="bottom"/>
            <w:gridSpan w:val="7"/>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EE"/>
              </w:rPr>
              <w:t>Item 4.</w:t>
            </w:r>
          </w:p>
        </w:tc>
        <w:tc>
          <w:tcPr>
            <w:tcW w:w="8160" w:type="dxa"/>
            <w:vAlign w:val="bottom"/>
            <w:gridSpan w:val="1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9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420" w:type="dxa"/>
            <w:vAlign w:val="bottom"/>
            <w:gridSpan w:val="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Part II - Other Information</w:t>
              </w:r>
            </w:hyperlink>
          </w:p>
        </w:tc>
        <w:tc>
          <w:tcPr>
            <w:tcW w:w="7440" w:type="dxa"/>
            <w:vAlign w:val="bottom"/>
            <w:gridSpan w:val="10"/>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816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19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19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Amendment No. 1 on Form 10-Q/A (“Amendment No. 1”) amends our Quarterly Report on Form 10-Q for the three months ended September 30, 2019, as filed with the U.S. Securities and Exchange Commission on November 12, 2019 (the “Original Filing” and the “Original Filing Date”). Amendment No. 1 includes restatement of the following previously filed condensed consolidated unaudited financial statements and data (and related disclosures): (1) the condensed consolidated balance sheet as of September 30, 2019 and the condensed consolidated statements of operations, shareholders' equity and cash flows for the three months ended September 30, 2019; and (2) our management’s discussion and analysis of financial condition and results of operations as of and for the three months ended September 30, 2019, located in Part I Item 2 of this Form 10-Q. On February 14, 2020, the Board of Directors (the “Board”) of USA Technologies, Inc. (the “Company”), upon the recommendation of the Audit Committee of the Board (the “Audit Committee”), and following discussions with management, determined that the Company’s unaudited consolidated financial statements for the three months ended September 30, 2019 should no longer be relied upon.</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determination of the Board to restate the above-referenced financial statements was based upon certain errors that were identified by management during the course of preparing the Company’s financial statements for the fiscal quarter ended December 31, 2019. The Company identified certain adjustments that are required to be made to its financial statements. These adjustments primarily consist of the following: (i) incorrect allocation of transaction price between equipment revenues and license and transaction fees in connection with a customer contract which resulted in the inappropriate deferral of equipment revenues on hardware devices shipped during the three months ended June 30, 2019 and the three months ended September 30, 2019; and (ii) inaccurate accounting treatment of the leasing/rental contracts of its wholly-owned subsidiary, Cantaloupe Systems, Inc., relating primarily to the fiscal year ended June 30, 2019 and the three months ended September 30, 2019, which affected cost of sales, inventory and property, plant and equipment. These adjustments do not relate to the Audit Committee’s internal investigation which was substantially completed in January 2019. The Company has concluded that the effects of these adjustments and other accumulated misstatements were not material individually or in the aggregate to any interim or annual period prior to fiscal year 2020. See Note 2, Restatement and Revision of Prior Period Financial Statements in Part I, Item 1. of this Form 10-Q for a detailed discussion of the effect of the restatement.</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Rule 12b-15 promulgated under the Securities Exchange Act of 1934, as amended, we have included the entire text of Part I, Item 1., Item 2., and Item 4. in this Amendment No. 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 II, Item 6. has been included herein to reflect new certifications pursuant to Section 302 and Section 906 of the Sarbanes-Oxley Act of 2002, which are filed and furnished herewith, respectively. This Amendment No. 1 speaks as of the Original Filing Date, and does not reflect events that may have occurred subsequent to the Original Filing Date.</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2019</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restated)</w:t>
            </w: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 of $4,972 and $4,866, respectively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68,928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due after one year,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63,945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114,447</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183,375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convertible preferred stock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and long-term debt, less current portion</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 less current portion</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65,814</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preferences of $20,444 and $20,111 at September 30, 2019 and June 30, 2019, respectively</w:t>
            </w: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640,000,000 shares authorized, 60,008,481 shares issued and outstanding at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2019 and June 30, 2019</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377,143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376,853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(273,938)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(262,430)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182,352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183,375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26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6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5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8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(as restated)</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34,609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28,671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43,359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of sales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22,710</w:t>
            </w:r>
          </w:p>
        </w:tc>
        <w:tc>
          <w:tcPr>
            <w:tcW w:w="0" w:type="dxa"/>
            <w:vAlign w:val="bottom"/>
          </w:tcPr>
          <w:p>
            <w:pPr>
              <w:spacing w:after="0"/>
              <w:rPr>
                <w:sz w:val="1"/>
                <w:szCs w:val="1"/>
                <w:color w:val="auto"/>
              </w:rPr>
            </w:pPr>
          </w:p>
        </w:tc>
      </w:tr>
      <w:tr>
        <w:trPr>
          <w:trHeight w:val="318"/>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18,107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22,694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16,031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318"/>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60,096,852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60,053,912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60,096,852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60,053,912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 Period Ended September 30, 2019 (as restated)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2019</w:t>
            </w:r>
          </w:p>
        </w:tc>
        <w:tc>
          <w:tcPr>
            <w:tcW w:w="3160" w:type="dxa"/>
            <w:vAlign w:val="bottom"/>
            <w:tcBorders>
              <w:bottom w:val="single" w:sz="8" w:color="CCEEFF"/>
            </w:tcBorders>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60,008,481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1780" w:type="dxa"/>
            <w:vAlign w:val="bottom"/>
            <w:gridSpan w:val="2"/>
          </w:tcPr>
          <w:p>
            <w:pPr>
              <w:spacing w:after="0"/>
              <w:rPr>
                <w:sz w:val="22"/>
                <w:szCs w:val="22"/>
                <w:color w:val="auto"/>
              </w:rPr>
            </w:pPr>
          </w:p>
        </w:tc>
        <w:tc>
          <w:tcPr>
            <w:tcW w:w="13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60,008,481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377,143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(273,938)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103,205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40" w:type="dxa"/>
            <w:vAlign w:val="bottom"/>
          </w:tcPr>
          <w:p>
            <w:pPr>
              <w:spacing w:after="0"/>
              <w:rPr>
                <w:sz w:val="24"/>
                <w:szCs w:val="24"/>
                <w:color w:val="auto"/>
              </w:rPr>
            </w:pPr>
          </w:p>
        </w:tc>
        <w:tc>
          <w:tcPr>
            <w:tcW w:w="474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 Period Ended September 30, 2018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3160" w:type="dxa"/>
            <w:vAlign w:val="bottom"/>
            <w:tcBorders>
              <w:bottom w:val="single" w:sz="8" w:color="CCEEFF"/>
            </w:tcBorders>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59,998,811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142,688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w w:val="92"/>
              </w:rPr>
              <w:t>Cumulative effect adjustment for ASC 606 adoption</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160" w:type="dxa"/>
            <w:vAlign w:val="bottom"/>
            <w:tcBorders>
              <w:bottom w:val="single" w:sz="8" w:color="CCEEFF"/>
            </w:tcBorders>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13,344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316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60,012,155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375,806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137,970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68"/>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(11,508)</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(5,288)</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stock based compensation</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 on disposal of property and equipment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interest and amortization of debt discount</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Provision for inventory reserve</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lease expense</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(3,663)</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Finance receivables, net</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(13,593)</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249"/>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FINANCING ACTIVITIES: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6"/>
        </w:trPr>
        <w:tc>
          <w:tcPr>
            <w:tcW w:w="8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(15,702)</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27,464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83,964</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68,262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Interest paid in cash</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2019 Annual Report on Form 10-K. In the opinion of management, all adjustments considered necessary for a fair presentation, consisting of normal recurring adjustments, have been included. Operating results for the three months ended September 30, 2019 are not necessarily indicative of the results that may be expected for the year ending June 30, 2020. The balance sheet at June 30, 2019 has been derived from the audited consolidated financial statements at that date, but does not include all disclosures required by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Accounting Standards Codification, (“ASC”) 205-40. This guidance amended the existing requirements for disclosing information about an entity’s ability to continue as a going concern and explicitly requires management to assess an entity’s ability to continue as a going concern and to provide related disclosures in certain circumstances. This guidance was effective for annual reporting periods ending after December 15, 2016, and for annual and interim reporting periods thereafter. The following information reflects the results of management’s assessment, plans and conclusion of the Company’s ability to continue as a going concern.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2019, the Company had $25.5 million in cash and a working capital deficit of $7.4 million. As noted in Note 10, as of September 30, 2019, the Company was not in compliance with the fixed charge coverage ratio and the total leverage ratio of its Revolving Credit Facility, which represents an event of default under the credit agreement. As a result, the Company has classified all amounts outstanding ($10.0 million) under these credit facilities as current liabilities. Additionally, as of September 30, 2019, the Company identified sales tax liabilities and related interest in the aggregate amount of $18.0 million. Also, the Company has reported aggregate net losses of $48.6 million for the three year period ended June 30, 2019. The working capital deficit and prior period net loss information have been revised. Refer to Note 2 - Restatement and Revision of Prior Period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its need to develop a cash management strategy, the Company developed a plan that included potentially seeking to extend the credit borrowings to beyond one year, securing a commitment for the sale of its long-term receivables, and obtaining outside financing.</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a Stock Purchase Agreement dated October 9, 2019 between the Company and Antara Capital Master Fund LP (“Antara”), the Company sold to Antara 3,800,000 shares of the Company’s common stock at a price of $5.25 per share for an aggregate purchase price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The Company also entered into a registration rights agreement (the "Registration Rights Agreement") with Antara, pursuant to which the Company has agreed, at its expense, to file a registration statement under the Act with the Securities and Exchange Commission (the "SEC") covering the resale of the shares by Antara (the "Registration Statement"). The Company will be required to pay certain negotiated cash payments to Antara in the event that the Registration Statement is not filed within 30 days of the closing date or if the Registration Statement is not declared effective within three months of the closing date, subject to the terms of the Registration Rights Agreement. On November 11, 2019, the Company received an extension of time to file the Registration Statement from Antara until November 26, 2019. In connection with the private placement, William Blair &amp; Company, L.L.C. (“Blair”) acted as exclusive placement agent for the Company and received a cash placement fee of $1.2 million.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9, 2019, the Company also entered into a commitment letter (“Commitment Letter”) with Antara, pursuant to which Antara committed to extend to the Company a $30.0 million senior secured term loan facility (“Term Facility”). Upon the execution of the Commitment Letter, the Company paid to Antara a non-refundable commitment fee of $1.2 million. In connection with the Commitment Letter, Blair acted as exclusive placement agent for the Company and received a cash placement fee of $750,000.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in our periodic reports and proxy statements, our independent Audit Committee chairperson, Robert Metzger is employed by Blair. Mr. Metzger receives discretionary compensation from Blair based on various activities including, among other things, training activities and business development.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current financial resources, as of the date of the issuance of these consolidated financial statements, are sufficient to fund its current twelve month operating budget, alleviating any substantial doubt raised by our historical operating results and satisfying our estimated liquidity needs for twelve months from the issuance of these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AND REVISION OF PRIOR PERIOD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Amendment No. 1 on Form 10-Q/A amends our Quarterly Report on Form 10-Q for the three months ended September 30, 2019 and includes restatement of the following previously filed condensed consolidated unaudited financial statements and data (and related disclosures): the condensed consolidated balance sheet as of September 30, 2019 and the condensed consolidated statements of operations, shareholders' equity and cash flows for the three months ended September 30, 2019. On February 14, 2020, the Board of Directors (the “Board”) of USA Technologies, Inc. (the “Company”), upon the recommendation of the Audit Committee of the Board (the “Audit Committee”), and following discussions with management, determined that the Company’s unaudited consolidated financial statements for the three months ended September 30, 2019 should no longer be relied upon.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During the course of preparing its financial statements for the three months ended December 31, 2019, the Company identified certain adjustments that are required to be made to its previously filed historical financial statements. These adjustments primarily consist of the following: (i) incorrect allocation of transaction price between equipment revenues and license and transaction fees in connection with a customer contract which resulted in the inappropriate deferral of equipment revenues on hardware devices shipped during the three months ended June 30, 2019 and the three months ended September 30, 2019; and (ii) inaccurate accounting treatment of the leasing/rental contracts of its wholly-owned subsidiary, Cantaloupe Systems, Inc., relating primarily to the fiscal year ended June 30, 2019 and the three months ended September 30, 2019, which affected cost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sales, inventory and property, plant and equipment. These adjustments do not relate to the Audit Committee’s internal investigation which was substantially completed in January 2019. In addition, the Company identified other miscellaneous immaterial adjustments relating to the inaccurate accounting for: a customer rebate; certain accrued expenses; timing of hardware revenue recognition for a specific contract; timing of recognition for activation revenue; and timing of recognition for certain license and transaction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 adjustments are material to, and therefore require restatement of, the Company's previously reported financial statements as of and for the three months ended September 30, 2019. The tables below present the effect of the financial statement adjustments of the Company's previously reported financial statements as of and for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condensed consolidated balance sheet as of September 30, 2019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As of September 30, 2019</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 less allowance of $4,972</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18,728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9,344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9,469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61,028</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1,962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62,990</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6,514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64,149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63,945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118,268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119,362</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179,296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182,352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28,555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29,245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29,140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70,725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70,422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5,327</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5,587</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76,312</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76,009</w:t>
            </w:r>
          </w:p>
        </w:tc>
        <w:tc>
          <w:tcPr>
            <w:tcW w:w="0" w:type="dxa"/>
            <w:vAlign w:val="bottom"/>
          </w:tcPr>
          <w:p>
            <w:pPr>
              <w:spacing w:after="0"/>
              <w:rPr>
                <w:sz w:val="1"/>
                <w:szCs w:val="1"/>
                <w:color w:val="auto"/>
              </w:rPr>
            </w:pPr>
          </w:p>
        </w:tc>
      </w:tr>
      <w:tr>
        <w:trPr>
          <w:trHeight w:val="27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$20,444</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Common stock, no par value, 640,000,000 shares authorized, 60,008,481 shares issued and outstanding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377,143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377,143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(277,297)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(273,938)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99,846</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103,205</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179,296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182,352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 of the restatement on the previously filed condensed consolidated statement of operations for the three months ended September 30, 2019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transaction fees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costs of sales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applicable to common shares</w:t>
            </w:r>
          </w:p>
        </w:tc>
        <w:tc>
          <w:tcPr>
            <w:tcW w:w="25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60,096,852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60,096,852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60,096,852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60,096,852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the restatement on the previously filed condensed consolidated statement of cash flows for the three months ended September 30, 2019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(12,897)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1,389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(11,508)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 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lease expense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25,540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25,540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Revision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analyzed the impact of the aforementioned adjustments on the financial statements for the interim and annual periods prior to fiscal year 2020 and concluded a correction of the errors would not be material to any individual period prior to fiscal year 2020, taking into account the requirements of ASC Topic 250, Accounting Changes and Error Corrections, ASC Topic 270 Interim Financial Reporting, ASC Topic 250-S99-1, Assessing Materiality, and ASC Topic 250-S99-2, Considering the Effects of Prior Year Misstatements when Quantifying Misstatements in Current Year Financial Statements. In accordance with the authoritative guidance, management evaluated the materiality of the adjustments from a quantitative and qualitative perspective. Based on such evaluation, the Company concluded that the effects of these adjustments and other accumulated misstatements were not material individually or in the aggregate to any interim or annual period prior to fiscal year 2020. However, correcting the cumulative impact of the misstatements would be material to our results of operations for the three months ended December 31, 2019 and fiscal year 2020. Accordingly, in this filing, the Company has revised the prior period interim and annual financial information for fiscal year 2019 to reflect the correction of these adjustments and other accumulated misstatements.</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revision on the previously filed consolidated balance sheet as of June 30, 2019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June 30, 2019</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27,464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 less allowance of $4,866</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21,712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21,906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11,273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67,902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68,928</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26,171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26,171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64,149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63,945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113,195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114,447</w:t>
            </w:r>
          </w:p>
        </w:tc>
        <w:tc>
          <w:tcPr>
            <w:tcW w:w="0" w:type="dxa"/>
            <w:vAlign w:val="bottom"/>
          </w:tcPr>
          <w:p>
            <w:pPr>
              <w:spacing w:after="0"/>
              <w:rPr>
                <w:sz w:val="1"/>
                <w:szCs w:val="1"/>
                <w:color w:val="auto"/>
              </w:rPr>
            </w:pPr>
          </w:p>
        </w:tc>
      </w:tr>
      <w:tr>
        <w:trPr>
          <w:trHeight w:val="135"/>
        </w:trPr>
        <w:tc>
          <w:tcPr>
            <w:tcW w:w="7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181,097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183,375</w:t>
            </w:r>
          </w:p>
        </w:tc>
        <w:tc>
          <w:tcPr>
            <w:tcW w:w="0" w:type="dxa"/>
            <w:vAlign w:val="bottom"/>
          </w:tcPr>
          <w:p>
            <w:pPr>
              <w:spacing w:after="0"/>
              <w:rPr>
                <w:sz w:val="1"/>
                <w:szCs w:val="1"/>
                <w:color w:val="auto"/>
              </w:rPr>
            </w:pPr>
          </w:p>
        </w:tc>
      </w:tr>
      <w:tr>
        <w:trPr>
          <w:trHeight w:val="116"/>
        </w:trPr>
        <w:tc>
          <w:tcPr>
            <w:tcW w:w="7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27,511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27,584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12,497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12,497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65,367</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65,814</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$20,111</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no par value, 640,000,000 shares authorized, 60,008,481 shares issued and outstanding</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376,853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376,853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(264,400)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(262,430)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112,453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114,423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181,097</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183,375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revision on the previously filed consolidated statements of operations for the three and twelve months ended June 30, 2019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1"/>
              </w:rPr>
              <w:t>Three months ended June 30, 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28"/>
              <w:spacing w:after="0"/>
              <w:rPr>
                <w:sz w:val="20"/>
                <w:szCs w:val="20"/>
                <w:color w:val="auto"/>
              </w:rPr>
            </w:pPr>
            <w:r>
              <w:rPr>
                <w:rFonts w:ascii="Arial" w:cs="Arial" w:eastAsia="Arial" w:hAnsi="Arial"/>
                <w:sz w:val="14"/>
                <w:szCs w:val="14"/>
                <w:b w:val="1"/>
                <w:bCs w:val="1"/>
                <w:color w:val="auto"/>
                <w:w w:val="91"/>
              </w:rPr>
              <w:t>Year ended June 30, 2019</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3"/>
                <w:szCs w:val="13"/>
                <w:color w:val="auto"/>
              </w:rPr>
            </w:pPr>
          </w:p>
        </w:tc>
        <w:tc>
          <w:tcPr>
            <w:tcW w:w="10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33,116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32,989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123,554</w:t>
            </w:r>
          </w:p>
        </w:tc>
        <w:tc>
          <w:tcPr>
            <w:tcW w:w="34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122,908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38,508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143,799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144,466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80,485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7,295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29,238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28,769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105,680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38,119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Investigation and restatement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15,439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15,573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Integration and acquisition costs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19,223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68,275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(10,143)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(30,156)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(31,766)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(10,541)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(32,028)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(10,541)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(9,850)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(32,696)</w:t>
            </w:r>
          </w:p>
        </w:tc>
        <w:tc>
          <w:tcPr>
            <w:tcW w:w="34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(30,550)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auto"/>
              </w:rPr>
              <w:t>Weighted average number of common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60,065,978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60,065,978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60,061,243</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60,061,243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60,065,978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60,065,978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60,061,243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60,061,243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revision on the previously filed consolidated statement of cash flows for the year ended June 30, 2019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Year ended June 30, 2019</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(32,028)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(29,882)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 based compensation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3,172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3,172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(8,706)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(5,242)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(5,607)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(28,701)</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(28,172)</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(4,230)</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(4,759)</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used for repurchase of common stock awards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(23,254)</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(23,569)</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(56,500)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(56,500)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83,964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27,464</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27,464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revision on the previously filed condensed consolidated balance sheet as of March 31, 2019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As of March 31, 2019</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32,788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 less allowance of $3,714</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20,473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11,488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73,765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74,168</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26,956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26,956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64,149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63,945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113,505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114,587</w:t>
            </w:r>
          </w:p>
        </w:tc>
        <w:tc>
          <w:tcPr>
            <w:tcW w:w="0" w:type="dxa"/>
            <w:vAlign w:val="bottom"/>
          </w:tcPr>
          <w:p>
            <w:pPr>
              <w:spacing w:after="0"/>
              <w:rPr>
                <w:sz w:val="1"/>
                <w:szCs w:val="1"/>
                <w:color w:val="auto"/>
              </w:rPr>
            </w:pPr>
          </w:p>
        </w:tc>
      </w:tr>
      <w:tr>
        <w:trPr>
          <w:trHeight w:val="135"/>
        </w:trPr>
        <w:tc>
          <w:tcPr>
            <w:tcW w:w="7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187,270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188,755</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26,058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26,088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19,974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13,202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13,202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1,498</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60,804</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61,291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61,497</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$20,111</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no par value, 640,000,000 shares authorized, 60,019,438 shares issued and outstanding</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376,700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376,700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(253,859)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(252,580)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122,841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124,120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187,270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188,755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effect of the revision on the previously filed condensed consolidated statements of operations for the three and nine months ended March 31, 2019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2"/>
              </w:rPr>
              <w:t>Three months ended March 31, 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2"/>
              </w:rPr>
              <w:t>Nine months ended March 31,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31,630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31,515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90,438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89,919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6,189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37,646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105,574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105,958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7,444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17,371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27,867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27,751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76,442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9,953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30,446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Investigation and restatement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13,122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Integration and acquisition costs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(3,892)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(4,510)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(4,844)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auto"/>
              </w:rPr>
              <w:t>Weighted average number of common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60,065,053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60,065,053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60,059,594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60,059,594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60,065,053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60,065,053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60,059,594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60,059,594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revision on the previously filed condensed consolidated statement of cash flows for the nine months ended March 31, 2019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2"/>
              </w:rPr>
              <w:t>Nine months ended March 31, 2019</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(21,487)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(20,032)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 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2,699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(26,246)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(25,717)</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(2,524)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(22,406)</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(51,176)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(51,176)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32,788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32,788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revision on the previously filed condensed consolidated balance sheet as of December 31,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63,193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 less allowance of $3,385</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10,132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7,343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89,130</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89,467</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12,838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27,740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27,740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63,945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115,248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116,162</w:t>
            </w:r>
          </w:p>
        </w:tc>
        <w:tc>
          <w:tcPr>
            <w:tcW w:w="0" w:type="dxa"/>
            <w:vAlign w:val="bottom"/>
          </w:tcPr>
          <w:p>
            <w:pPr>
              <w:spacing w:after="0"/>
              <w:rPr>
                <w:sz w:val="1"/>
                <w:szCs w:val="1"/>
                <w:color w:val="auto"/>
              </w:rPr>
            </w:pPr>
          </w:p>
        </w:tc>
      </w:tr>
      <w:tr>
        <w:trPr>
          <w:trHeight w:val="135"/>
        </w:trPr>
        <w:tc>
          <w:tcPr>
            <w:tcW w:w="7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204,378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205,629</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17,570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17,570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33,235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33,235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73,417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73,593</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74,226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74,402</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$19,777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no par value, 640,000,000 shares authorized, 60,013,718 shares issued and outstanding</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376,363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376,363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(249,349)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(248,274)</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127,014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128,089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204,378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205,629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 of the revision on the previously filed condensed consolidated statements of operations for the three and six months ended December 31, 2018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December 31, 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0"/>
              </w:rPr>
              <w:t>Six months ended December 31,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29,837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29,733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58,808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68,254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25,163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25,051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48,575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Investigation and restatement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7,188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11,714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Integration and acquisition costs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(10,200)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(16,121)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(10,657)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(10,657)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 w:type="dxa"/>
            <w:vAlign w:val="bottom"/>
            <w:tcBorders>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Weighted average number of common shares</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60,059,936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60,059,936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60,056,924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60,056,924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60,059,936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60,059,936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60,056,924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60,056,924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revision on the previously filed condensed consolidated statement of cash flows for the six months ended December 31, 2018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0"/>
              </w:rPr>
              <w:t>Six months ended December 31, 2018</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(16,977)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(15,726)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 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4,312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4,332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(11,095)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(11,095)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(17,119)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(16,590)</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(20,771)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(20,771)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63,193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63,193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revision on the previously filed condensed consolidated balance sheet as of September 30,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As of September 30, 2018</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68,262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68,262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 less allowance of $3,125</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18,882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6,915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6,915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100,702</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101,002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28,533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28,533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63,945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117,130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117,862</w:t>
            </w:r>
          </w:p>
        </w:tc>
        <w:tc>
          <w:tcPr>
            <w:tcW w:w="0" w:type="dxa"/>
            <w:vAlign w:val="bottom"/>
          </w:tcPr>
          <w:p>
            <w:pPr>
              <w:spacing w:after="0"/>
              <w:rPr>
                <w:sz w:val="1"/>
                <w:szCs w:val="1"/>
                <w:color w:val="auto"/>
              </w:rPr>
            </w:pPr>
          </w:p>
        </w:tc>
      </w:tr>
      <w:tr>
        <w:trPr>
          <w:trHeight w:val="135"/>
        </w:trPr>
        <w:tc>
          <w:tcPr>
            <w:tcW w:w="7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217,832</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218,864</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19,335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19,335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21,848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33,889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33,889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76,511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76,687</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77,756</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$19,777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no par value, 640,000,000 shares authorized, 60,012,155 shares issued and outstanding</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375,806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375,806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(238,692)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(237,836)</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137,114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137,970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217,832</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218,864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effect of the revision on the previously filed condensed consolidated statement of operations for the three months ended September 30, 2018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7"/>
              </w:rPr>
              <w:t>As Revised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transaction fees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costs of sales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Integration and acquisition costs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applicable to common shares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5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60,053,912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60,053,912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60,053,912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60,053,912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the revision on the previously filed condensed consolidated statement of cash flows for the three months ended September 30, 2018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(6,320)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 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(3,663)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(8,665)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(8,665)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(14,122)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(13,593)</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83,964</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68,262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ASU 2016-02, Leases, which requires, among other items, lessees to recognize a right of use asset and a related lease liability for most leases on the balance sheet. Lessees and lessors are required to disclose quantitative and qualitative information about leasing arrangements to enable a user of the financial statements to assess the amount, timing and uncertainty of cash flows arising from leases. ASU 2016-02 is effective for annual reporting periods beginning after December 15, 2018, including interim periods within that reporting period and requires a modified retrospective application, with early adoption permitted. The Company adopted this new guidance on July 1, 2019, using the optional modified retrospective transition method applying the guidance to leases existing as of the effective date. The Company has determined that there was no cumulative-effect adjustment to beginning retained earnings on the consolidated balance sheet. We will continue to report periods prior to July 1, 2019 in our financial statements under prior guidance as outlined in Topic 840.</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adoption of ASU No. 2016-02 resulted in an increase in the Company’s assets and liabilities of approximately $3.9 million at July 1, 2019. The Company’s adoption of ASU No. 2016-02 did not have a material impact to the Company’s consolidated statements of operations or its consolidated statements of cash flows. Further, there was no impact on the Company’s covenant compliance under its current debt agreements as a result of the adoption of ASU No. 2016-02. The Company elected</w:t>
      </w:r>
    </w:p>
    <w:p>
      <w:pPr>
        <w:sectPr>
          <w:pgSz w:w="11900" w:h="16838" w:orient="portrait"/>
          <w:cols w:equalWidth="0" w:num="1">
            <w:col w:w="11420"/>
          </w:cols>
          <w:pgMar w:left="240" w:top="125" w:right="239" w:bottom="271"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271"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package of practical expedients included in this guidance, which allowed it to not reassess: (i) whether any expired or existing contracts contain leases; (ii) the lease classification for any expired or existing leases; and, (iii) the initial direct costs for existing leases. From a lessee perspective, the Company elected the practical expedient related to treating lease and non-lease components as a single lease component for all leases as well as electing a policy exclusion permitting leases with an original lease term of less than one year to be excluded from the Right-of-Use (“ROU”) assets and lease liabilities. From a lessor perspective, the Company also elected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Company adopted this ASU on July 1, 2019, and its adoption did not have a material effect on the Company’s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Company adopted this ASU on July 1, 2019, and its adoption did not have a material effect on the Company’s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No. 2016-13, “Financial Instruments - 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 The Company is currently evaluating and assessing the impact this guidance will have on its condensed consolidated financial statements.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expects that the adoption of this ASU would not have a material impact on the Company’s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office space, warehouses, automobiles and office equipment. USAT’s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obligation to make lease payments arising from the lease. Operating lease ROU assets and liabilities are recognized at commencement date of the lease based on the present value of lease payments over the lease term. As most of our leases do not provide an implicit rate, we use our incremental borrowing rate based on the information available at commencement date in determining the present value of lease payments. The operating lease ROU asset also includes any lease payments made and excludes lease incentives. USAT has lease agreements with lease and non-lease components, which are accounted for together as a single lease component. Lease expense for operating lease payments are recognized on a straight-line basis over the lease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the Company has the following balances recorded in the balance sheet related to its lease arrangements: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5980" w:type="dxa"/>
            <w:vAlign w:val="bottom"/>
            <w:gridSpan w:val="3"/>
          </w:tcPr>
          <w:p>
            <w:pPr>
              <w:ind w:left="1920"/>
              <w:spacing w:after="0"/>
              <w:rPr>
                <w:sz w:val="20"/>
                <w:szCs w:val="20"/>
                <w:color w:val="auto"/>
              </w:rPr>
            </w:pPr>
            <w:r>
              <w:rPr>
                <w:rFonts w:ascii="Arial" w:cs="Arial" w:eastAsia="Arial" w:hAnsi="Arial"/>
                <w:sz w:val="14"/>
                <w:szCs w:val="14"/>
                <w:b w:val="1"/>
                <w:bCs w:val="1"/>
                <w:color w:val="auto"/>
              </w:rPr>
              <w:t>Classification</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 of September 30, 2019</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5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5980" w:type="dxa"/>
            <w:vAlign w:val="bottom"/>
            <w:gridSpan w:val="3"/>
          </w:tcPr>
          <w:p>
            <w:pPr>
              <w:jc w:val="right"/>
              <w:ind w:right="1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5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5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Current:</w:t>
            </w:r>
          </w:p>
        </w:tc>
        <w:tc>
          <w:tcPr>
            <w:tcW w:w="5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5980" w:type="dxa"/>
            <w:vAlign w:val="bottom"/>
            <w:gridSpan w:val="3"/>
          </w:tcPr>
          <w:p>
            <w:pPr>
              <w:jc w:val="right"/>
              <w:ind w:right="14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5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Non-current:</w:t>
            </w:r>
          </w:p>
        </w:tc>
        <w:tc>
          <w:tcPr>
            <w:tcW w:w="5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5980" w:type="dxa"/>
            <w:vAlign w:val="bottom"/>
            <w:gridSpan w:val="3"/>
          </w:tcPr>
          <w:p>
            <w:pPr>
              <w:jc w:val="right"/>
              <w:ind w:right="140"/>
              <w:spacing w:after="0"/>
              <w:rPr>
                <w:sz w:val="20"/>
                <w:szCs w:val="20"/>
                <w:color w:val="auto"/>
              </w:rPr>
            </w:pPr>
            <w:r>
              <w:rPr>
                <w:rFonts w:ascii="Arial" w:cs="Arial" w:eastAsia="Arial" w:hAnsi="Arial"/>
                <w:sz w:val="18"/>
                <w:szCs w:val="18"/>
                <w:color w:val="auto"/>
              </w:rPr>
              <w:t>Capital lease obligations and long-term debt, less 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9"/>
        </w:trPr>
        <w:tc>
          <w:tcPr>
            <w:tcW w:w="3740" w:type="dxa"/>
            <w:vAlign w:val="bottom"/>
            <w:gridSpan w:val="2"/>
          </w:tcPr>
          <w:p>
            <w:pPr>
              <w:spacing w:after="0"/>
              <w:rPr>
                <w:sz w:val="20"/>
                <w:szCs w:val="20"/>
                <w:color w:val="auto"/>
              </w:rPr>
            </w:pPr>
            <w:r>
              <w:rPr>
                <w:rFonts w:ascii="Arial" w:cs="Arial" w:eastAsia="Arial" w:hAnsi="Arial"/>
                <w:sz w:val="18"/>
                <w:szCs w:val="18"/>
                <w:color w:val="auto"/>
              </w:rPr>
              <w:t>Components of lease cost are as follows:</w:t>
            </w: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92"/>
        </w:trPr>
        <w:tc>
          <w:tcPr>
            <w:tcW w:w="3740" w:type="dxa"/>
            <w:vAlign w:val="bottom"/>
            <w:gridSpan w:val="2"/>
            <w:vMerge w:val="continue"/>
          </w:tcPr>
          <w:p>
            <w:pPr>
              <w:spacing w:after="0"/>
              <w:rPr>
                <w:sz w:val="16"/>
                <w:szCs w:val="16"/>
                <w:color w:val="auto"/>
              </w:rPr>
            </w:pPr>
          </w:p>
        </w:tc>
        <w:tc>
          <w:tcPr>
            <w:tcW w:w="5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365"/>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 costs:</w:t>
            </w: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40" w:type="dxa"/>
            <w:vAlign w:val="bottom"/>
            <w:gridSpan w:val="2"/>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ROU assets</w:t>
            </w:r>
          </w:p>
        </w:tc>
        <w:tc>
          <w:tcPr>
            <w:tcW w:w="5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Interest on lease assets</w:t>
            </w:r>
          </w:p>
        </w:tc>
        <w:tc>
          <w:tcPr>
            <w:tcW w:w="5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40" w:type="dxa"/>
            <w:vAlign w:val="bottom"/>
            <w:gridSpan w:val="2"/>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5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50"/>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7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8890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Includes short-term lease and variable lease costs, which are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-130175</wp:posOffset>
            </wp:positionV>
            <wp:extent cx="1226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255"/>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365"/>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Financing cash flows from finance leases</w:t>
            </w:r>
          </w:p>
        </w:tc>
        <w:tc>
          <w:tcPr>
            <w:tcW w:w="4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finance leases</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4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Non-cash activity</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4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4"/>
                <w:szCs w:val="24"/>
                <w:color w:val="auto"/>
              </w:rPr>
            </w:pPr>
          </w:p>
        </w:tc>
        <w:tc>
          <w:tcPr>
            <w:tcW w:w="4120" w:type="dxa"/>
            <w:vAlign w:val="bottom"/>
          </w:tcPr>
          <w:p>
            <w:pPr>
              <w:jc w:val="right"/>
              <w:ind w:right="359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and discount rate (as restated) for our leases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365"/>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Weighted-average remaining lease term</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59"/>
        </w:trPr>
        <w:tc>
          <w:tcPr>
            <w:tcW w:w="8580" w:type="dxa"/>
            <w:vAlign w:val="bottom"/>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6,521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September 2019, the Company entered into an amendment to the lease for its headquarters in Malvern, Pennsylvania that has not yet commenced. The amendment grants the Company approximately 3,400 additional square feet of space in exchange for future minimum lease payments of approximately $350 thousand. The amendment did not alter the lease term and will expire on November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minimum lease commitments as of June 30, 2019, under ASC Topic 840, the predecessor to Topic 842,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 net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obligations under capital leases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Lessor accounting remained substantially unchanged with the adoption of ASC Topic 842. The Company offers its customers financing for the lease of our POS electronic payment devices. We account for these transactions as sales-type leases. Our sales-type leases generally have a non-cancellable term of 60 months. Certain leases contain an end-of-term purchase option that is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generally insignificant and is reasonably certain to be exercised by the lessee. Leases that do not meet the criteria for sales-type lease accounting are accounted for as operating leases, typically our JumpStart program leases. JumpStart terms are typically 36 months and are cancellable with 30 to 60 days' written notice. As discussed in Note 3, the Company has elected to combine lease and non-lease components for its operating leases and account for the combined components under ASC 606, which is the predominant characteristic of the combined components. All QuickStart leases are sales-type and do not qualify for the election.</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ASC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(as restated)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36,190</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(26,355)</w:t>
            </w:r>
          </w:p>
        </w:tc>
        <w:tc>
          <w:tcPr>
            <w:tcW w:w="12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spacing w:after="0"/>
              <w:rPr>
                <w:sz w:val="20"/>
                <w:szCs w:val="20"/>
                <w:color w:val="auto"/>
              </w:rPr>
            </w:pPr>
            <w:r>
              <w:rPr>
                <w:rFonts w:ascii="Arial" w:cs="Arial" w:eastAsia="Arial" w:hAnsi="Arial"/>
                <w:sz w:val="18"/>
                <w:szCs w:val="18"/>
                <w:color w:val="auto"/>
              </w:rPr>
              <w:t>(30,473)</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June 30, 2019 property and equipment balances used for the operating lease rental program have been revised. Refer to Note 2 - Restatement and Revision of Prior Period Financial Statements. The Company’s net investment in sales-type leases (carrying value of lease receivables) and the future minimum amounts to be collected on these lease receivables as of September 30, 2019 are disclosed within the Finance Receivables footnote. Refer to Note 7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As of September 30, 2019</w:t>
            </w: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2021</w:t>
            </w:r>
          </w:p>
        </w:tc>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2023</w:t>
            </w:r>
          </w:p>
        </w:tc>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59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57"/>
        </w:trPr>
        <w:tc>
          <w:tcPr>
            <w:tcW w:w="3520" w:type="dxa"/>
            <w:vAlign w:val="bottom"/>
          </w:tcPr>
          <w:p>
            <w:pPr>
              <w:ind w:left="280"/>
              <w:spacing w:after="0"/>
              <w:rPr>
                <w:sz w:val="20"/>
                <w:szCs w:val="20"/>
                <w:color w:val="auto"/>
              </w:rPr>
            </w:pPr>
            <w:r>
              <w:rPr>
                <w:rFonts w:ascii="Arial" w:cs="Arial" w:eastAsia="Arial" w:hAnsi="Arial"/>
                <w:sz w:val="18"/>
                <w:szCs w:val="18"/>
                <w:color w:val="auto"/>
              </w:rPr>
              <w:t>Total</w:t>
            </w:r>
          </w:p>
        </w:tc>
        <w:tc>
          <w:tcPr>
            <w:tcW w:w="59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39,672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960" w:type="dxa"/>
            <w:vAlign w:val="bottom"/>
            <w:vMerge w:val="restart"/>
          </w:tcPr>
          <w:p>
            <w:pPr>
              <w:jc w:val="right"/>
              <w:ind w:right="359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5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238125</wp:posOffset>
            </wp:positionV>
            <wp:extent cx="1337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6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 September</w:t>
            </w:r>
          </w:p>
        </w:tc>
        <w:tc>
          <w:tcPr>
            <w:tcW w:w="0" w:type="dxa"/>
            <w:vAlign w:val="bottom"/>
          </w:tcPr>
          <w:p>
            <w:pPr>
              <w:spacing w:after="0"/>
              <w:rPr>
                <w:sz w:val="1"/>
                <w:szCs w:val="1"/>
                <w:color w:val="auto"/>
              </w:rPr>
            </w:pPr>
          </w:p>
        </w:tc>
      </w:tr>
      <w:tr>
        <w:trPr>
          <w:trHeight w:val="149"/>
        </w:trPr>
        <w:tc>
          <w:tcPr>
            <w:tcW w:w="9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30, 2019</w:t>
            </w:r>
          </w:p>
        </w:tc>
        <w:tc>
          <w:tcPr>
            <w:tcW w:w="0" w:type="dxa"/>
            <w:vAlign w:val="bottom"/>
          </w:tcPr>
          <w:p>
            <w:pPr>
              <w:spacing w:after="0"/>
              <w:rPr>
                <w:sz w:val="1"/>
                <w:szCs w:val="1"/>
                <w:color w:val="auto"/>
              </w:rPr>
            </w:pPr>
          </w:p>
        </w:tc>
      </w:tr>
      <w:tr>
        <w:trPr>
          <w:trHeight w:val="192"/>
        </w:trPr>
        <w:tc>
          <w:tcPr>
            <w:tcW w:w="906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21"/>
        </w:trPr>
        <w:tc>
          <w:tcPr>
            <w:tcW w:w="90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beginning of the period</w:t>
            </w:r>
          </w:p>
        </w:tc>
        <w:tc>
          <w:tcPr>
            <w:tcW w:w="2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Deferred revenue, end of the period</w:t>
            </w:r>
          </w:p>
        </w:tc>
        <w:tc>
          <w:tcPr>
            <w:tcW w:w="2100" w:type="dxa"/>
            <w:vAlign w:val="bottom"/>
          </w:tcPr>
          <w:p>
            <w:pPr>
              <w:jc w:val="right"/>
              <w:ind w:right="39"/>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in the period from amounts included in deferred revenue at the beginning of the</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2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90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change in the contract liabilities period-over-period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September 30, 2019, the Company had net capitalized costs to obtain contracts of $0.3 million included in Prepaid expenses and other current assets and $1.6 million included in Other noncurrent assets on the Condensed Consolidated Balance Sheet. None of these capitalized contract costs were impaired. During the three months ended September 30, 2019, amortization of capitalized contract costs was $0.1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RESTRUCTURING/INTEGRATION COSTS</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Liabilities for severance will generally be paid during the next twelve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severance activity for the three months ended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Workforce</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reduction</w:t>
            </w:r>
          </w:p>
        </w:tc>
        <w:tc>
          <w:tcPr>
            <w:tcW w:w="0" w:type="dxa"/>
            <w:vAlign w:val="bottom"/>
          </w:tcPr>
          <w:p>
            <w:pPr>
              <w:spacing w:after="0"/>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July 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right w:val="single" w:sz="8" w:color="D9D9D9"/>
            </w:tcBorders>
            <w:shd w:val="clear" w:color="auto" w:fill="CCEEFF"/>
          </w:tcPr>
          <w:p>
            <w:pPr>
              <w:jc w:val="right"/>
              <w:ind w:right="3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180"/>
              <w:spacing w:after="0"/>
              <w:rPr>
                <w:sz w:val="20"/>
                <w:szCs w:val="20"/>
                <w:color w:val="auto"/>
              </w:rPr>
            </w:pPr>
            <w:r>
              <w:rPr>
                <w:rFonts w:ascii="Arial" w:cs="Arial" w:eastAsia="Arial" w:hAnsi="Arial"/>
                <w:sz w:val="18"/>
                <w:szCs w:val="18"/>
                <w:color w:val="auto"/>
              </w:rPr>
              <w:t>Plus: additions</w:t>
            </w:r>
          </w:p>
        </w:tc>
        <w:tc>
          <w:tcPr>
            <w:tcW w:w="240" w:type="dxa"/>
            <w:vAlign w:val="bottom"/>
            <w:tcBorders>
              <w:top w:val="single" w:sz="8" w:color="D9D9D9"/>
            </w:tcBorders>
          </w:tcPr>
          <w:p>
            <w:pPr>
              <w:spacing w:after="0"/>
              <w:rPr>
                <w:sz w:val="20"/>
                <w:szCs w:val="20"/>
                <w:color w:val="auto"/>
              </w:rPr>
            </w:pPr>
          </w:p>
        </w:tc>
        <w:tc>
          <w:tcPr>
            <w:tcW w:w="1140" w:type="dxa"/>
            <w:vAlign w:val="bottom"/>
            <w:tcBorders>
              <w:top w:val="single" w:sz="8" w:color="D9D9D9"/>
              <w:right w:val="single" w:sz="8" w:color="D9D9D9"/>
            </w:tcBorders>
          </w:tcPr>
          <w:p>
            <w:pPr>
              <w:jc w:val="right"/>
              <w:ind w:right="3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D9D9D9"/>
            </w:tcBorders>
          </w:tcPr>
          <w:p>
            <w:pPr>
              <w:spacing w:after="0"/>
              <w:rPr>
                <w:sz w:val="2"/>
                <w:szCs w:val="2"/>
                <w:color w:val="auto"/>
              </w:rPr>
            </w:pPr>
          </w:p>
        </w:tc>
        <w:tc>
          <w:tcPr>
            <w:tcW w:w="1140" w:type="dxa"/>
            <w:vAlign w:val="bottom"/>
            <w:tcBorders>
              <w:bottom w:val="single" w:sz="8" w:color="D9D9D9"/>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D9D9D9"/>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right w:val="single" w:sz="8" w:color="D9D9D9"/>
            </w:tcBorders>
          </w:tcPr>
          <w:p>
            <w:pPr>
              <w:jc w:val="right"/>
              <w:ind w:right="36"/>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FINANCE RECEIVABLES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60 month sales-type leases. As of September 30, 2019 and June 30, 2019 finance receivables consist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(as restated)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receivables, net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6,727</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Finance receivables due after one year, net</w:t>
            </w: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ind w:right="17"/>
              <w:spacing w:after="0"/>
              <w:rPr>
                <w:sz w:val="20"/>
                <w:szCs w:val="20"/>
                <w:color w:val="auto"/>
              </w:rPr>
            </w:pPr>
            <w:r>
              <w:rPr>
                <w:rFonts w:ascii="Arial" w:cs="Arial" w:eastAsia="Arial" w:hAnsi="Arial"/>
                <w:sz w:val="18"/>
                <w:szCs w:val="18"/>
                <w:color w:val="auto"/>
              </w:rPr>
              <w:t>12,642</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finance receivables, net of allowance of $607 and $606, respectively</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19,369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125" w:right="2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and June 30, 2019, credit quality indicators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gridSpan w:val="2"/>
            <w:vMerge w:val="restart"/>
          </w:tcPr>
          <w:p>
            <w:pPr>
              <w:spacing w:after="0"/>
              <w:rPr>
                <w:sz w:val="14"/>
                <w:szCs w:val="14"/>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September 30, 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3"/>
              </w:rPr>
              <w:t>(as restated)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Performing</w:t>
            </w: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43"/>
        </w:trPr>
        <w:tc>
          <w:tcPr>
            <w:tcW w:w="8600" w:type="dxa"/>
            <w:vAlign w:val="bottom"/>
            <w:gridSpan w:val="3"/>
          </w:tcPr>
          <w:p>
            <w:pPr>
              <w:ind w:left="40"/>
              <w:spacing w:after="0"/>
              <w:rPr>
                <w:sz w:val="20"/>
                <w:szCs w:val="20"/>
                <w:color w:val="auto"/>
              </w:rPr>
            </w:pPr>
            <w:r>
              <w:rPr>
                <w:rFonts w:ascii="Arial" w:cs="Arial" w:eastAsia="Arial" w:hAnsi="Arial"/>
                <w:sz w:val="18"/>
                <w:szCs w:val="18"/>
                <w:color w:val="auto"/>
              </w:rPr>
              <w:t>Nonperforming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3"/>
              </w:rPr>
              <w:t>An aged analysis of the Company's finance receivables as of September 30, 2019 and June 30, 2019 is as follows: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19,236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43"/>
        </w:trPr>
        <w:tc>
          <w:tcPr>
            <w:tcW w:w="8600" w:type="dxa"/>
            <w:vAlign w:val="bottom"/>
            <w:gridSpan w:val="3"/>
          </w:tcPr>
          <w:p>
            <w:pPr>
              <w:ind w:left="40"/>
              <w:spacing w:after="0"/>
              <w:rPr>
                <w:sz w:val="20"/>
                <w:szCs w:val="20"/>
                <w:color w:val="auto"/>
              </w:rPr>
            </w:pPr>
            <w:r>
              <w:rPr>
                <w:rFonts w:ascii="Arial" w:cs="Arial" w:eastAsia="Arial" w:hAnsi="Arial"/>
                <w:sz w:val="18"/>
                <w:szCs w:val="18"/>
                <w:color w:val="auto"/>
              </w:rPr>
              <w:t>30 days and under past due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31 - 60 days past due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600" w:type="dxa"/>
            <w:vAlign w:val="bottom"/>
            <w:gridSpan w:val="3"/>
          </w:tcPr>
          <w:p>
            <w:pPr>
              <w:ind w:left="40"/>
              <w:spacing w:after="0"/>
              <w:rPr>
                <w:sz w:val="20"/>
                <w:szCs w:val="20"/>
                <w:color w:val="auto"/>
              </w:rPr>
            </w:pPr>
            <w:r>
              <w:rPr>
                <w:rFonts w:ascii="Arial" w:cs="Arial" w:eastAsia="Arial" w:hAnsi="Arial"/>
                <w:sz w:val="18"/>
                <w:szCs w:val="18"/>
                <w:color w:val="auto"/>
              </w:rPr>
              <w:t>61 - 90 days past due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90 days past due</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5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finance receivables</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600" w:type="dxa"/>
            <w:vAlign w:val="bottom"/>
            <w:gridSpan w:val="3"/>
          </w:tcPr>
          <w:p>
            <w:pPr>
              <w:spacing w:after="0"/>
              <w:rPr>
                <w:sz w:val="20"/>
                <w:szCs w:val="20"/>
                <w:color w:val="auto"/>
              </w:rPr>
            </w:pPr>
            <w:r>
              <w:rPr>
                <w:rFonts w:ascii="Arial" w:cs="Arial" w:eastAsia="Arial" w:hAnsi="Arial"/>
                <w:sz w:val="18"/>
                <w:szCs w:val="18"/>
                <w:color w:val="auto"/>
              </w:rPr>
              <w:t>Cash to be collected on our finance receivables due for each of the fiscal years are as follows (as restated):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600" w:type="dxa"/>
            <w:vAlign w:val="bottom"/>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4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8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97"/>
        </w:trPr>
        <w:tc>
          <w:tcPr>
            <w:tcW w:w="860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amounts to be collected</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24,330</w:t>
            </w:r>
          </w:p>
        </w:tc>
        <w:tc>
          <w:tcPr>
            <w:tcW w:w="0" w:type="dxa"/>
            <w:vAlign w:val="bottom"/>
          </w:tcPr>
          <w:p>
            <w:pPr>
              <w:spacing w:after="0"/>
              <w:rPr>
                <w:sz w:val="1"/>
                <w:szCs w:val="1"/>
                <w:color w:val="auto"/>
              </w:rPr>
            </w:pPr>
          </w:p>
        </w:tc>
      </w:tr>
      <w:tr>
        <w:trPr>
          <w:trHeight w:val="251"/>
        </w:trPr>
        <w:tc>
          <w:tcPr>
            <w:tcW w:w="86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Less: interest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0"/>
        </w:trPr>
        <w:tc>
          <w:tcPr>
            <w:tcW w:w="8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600" w:type="dxa"/>
            <w:vAlign w:val="bottom"/>
            <w:gridSpan w:val="3"/>
          </w:tcPr>
          <w:p>
            <w:pPr>
              <w:ind w:left="280"/>
              <w:spacing w:after="0"/>
              <w:rPr>
                <w:sz w:val="20"/>
                <w:szCs w:val="20"/>
                <w:color w:val="auto"/>
              </w:rPr>
            </w:pPr>
            <w:r>
              <w:rPr>
                <w:rFonts w:ascii="Arial" w:cs="Arial" w:eastAsia="Arial" w:hAnsi="Arial"/>
                <w:sz w:val="18"/>
                <w:szCs w:val="18"/>
                <w:color w:val="auto"/>
              </w:rPr>
              <w:t>Total finance receivables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June 30, 2019 finance receivables balances in the previous tables have been revised. Refer to Note 2 - Restatement and Revision of Prior Period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20" w:type="dxa"/>
            <w:vAlign w:val="bottom"/>
          </w:tcPr>
          <w:p>
            <w:pPr>
              <w:spacing w:after="0"/>
              <w:rPr>
                <w:sz w:val="13"/>
                <w:szCs w:val="13"/>
                <w:color w:val="auto"/>
              </w:rPr>
            </w:pPr>
          </w:p>
        </w:tc>
        <w:tc>
          <w:tcPr>
            <w:tcW w:w="1140" w:type="dxa"/>
            <w:vAlign w:val="bottom"/>
          </w:tcPr>
          <w:p>
            <w:pPr>
              <w:jc w:val="right"/>
              <w:ind w:right="456"/>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8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60,096,852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60,053,912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60,096,852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60,053,912</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loss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calculation of basic and diluted EPS for the three months ended September 30, 2018 has been revised. Refer to Note 2 - Restatement and Revision of Prior Period Financial Statements.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1,293,317 for the three months ended September 30, 2019 and 1,420,301 for the three months ended September 30, 2018.</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2019</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(as restated)</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95,630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89,332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June 30, 2019</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26,171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95,630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90,116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June 30, 2019 goodwill balance has been revised. Refer to Note 2 - Restatement and Revision of Prior Period Financial Statements. For the three months ended September 30, 2019 and 2018 each there was $0.8 million in amortization expense related to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AND OTHER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September 30, 2019 and June 30, 2019 consisted of the following:</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June 30,</w:t>
            </w:r>
          </w:p>
        </w:tc>
      </w:tr>
      <w:tr>
        <w:trPr>
          <w:trHeight w:val="27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2019</w:t>
            </w:r>
          </w:p>
        </w:tc>
      </w:tr>
      <w:tr>
        <w:trPr>
          <w:trHeight w:val="121"/>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1,458</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including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Less: unamortized issuance costs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12,773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(12,497)</w:t>
            </w:r>
          </w:p>
        </w:tc>
      </w:tr>
      <w:tr>
        <w:trPr>
          <w:trHeight w:val="27"/>
        </w:trPr>
        <w:tc>
          <w:tcPr>
            <w:tcW w:w="7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276</w:t>
            </w: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350</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r>
      <w:tr>
        <w:trPr>
          <w:trHeight w:val="257"/>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786</w:t>
            </w: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($7.2 million). All advances under the Revolving Credit Facility and all other obligations must be paid in full at maturity on November 9, 2022.</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months ended September 30, 2019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 On October 31, 2019, the Company repaid the outstanding balance on the Revolving Credit Facility.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September 30, 2019, the Company is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September 30, 2019 and June 30, 2019.</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Borrowings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acquisition of Cantaloupe, the Company assumed debt of $1.8 million with an outstanding balance of $0.6 million and $0.8 million as of September 30, 2019 and June 30, 2019, respectively, comprised of: (i) $0.1 million and $0.2 million of promissory notes bearing an interest rate of 5% and maturing on April 5, 2020 with principal and interest payments due monthly; (ii) $0.4 million and $0.4 million of promissory notes bearing an interest rate of 10% and maturing on April 1, 2021 with principal and interest payments due quarterly; and (iii) $0.1 million and $0.1 million of promissory notes bearing an interest rate of 12% and maturing on December 15, 2019 with principal and interest payments due quarterly.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are carried at cost which approximates fair value. The Company classifies its financial instruments, which are primarily cash equivalents, accounts receivable, accounts payable and accrued expenses as Level 1 investments of the fair value hierarchy because these instruments are carried at cost which approximates fair value due to the short-term maturity of these instruments.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obligations under its long-term debt agreements are carried at amortized cost, which approximates their fair value. The fair value of the Company’s obligations under its long-term debt agreements are considered Level 2 investments of the fair value hierarchy because these instruments have interest rates that reset frequently.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three months ended September 30, 2019, the Company recorded an income tax provision of $59 thousand. As of September 30, 2019, the Company continued to record a full valuation against its deferred tax assets. The income tax provision primarily relates to the Company's uncertain tax positions, as well as state income and franchise taxes. As of September 30, 2019,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three months ended September 30, 2019, as the use of an estimated annual effective income tax rate does not provide a reliable estimate of the income tax provision.</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September 30, 2018, an income tax provision of $18 thousand was recorded, which primarily relates to state income and franchise taxes. The provision is based upon actual loss before income taxes for the three months ended September 30, 2018, as the use of an estimated annual effective income tax rate does not provide a reliable estimate of the income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23,978 warrants outstanding as of September 30, 2019 and June 30, 2019, all of which were exercisable at $5.00 per share. The warrants have an expiration date of March 29,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the Company awarded stock options to its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2018, the Company awarded stock options to 102 employees to purchase up to 400,000 shares of common stock at an exercise price of $8.75 which vest 1/3 each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award any stock options during the quarter ended September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three months ended September 30, 2018 was determined using the following assumptions: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Three months ended</w:t>
            </w:r>
          </w:p>
        </w:tc>
      </w:tr>
      <w:tr>
        <w:trPr>
          <w:trHeight w:val="192"/>
        </w:trPr>
        <w:tc>
          <w:tcPr>
            <w:tcW w:w="9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9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 (percent)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4.5</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Risk-free interest rate (percent)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options granted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400,000</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Weighted average exercise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8.75</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9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4.37</w:t>
            </w:r>
          </w:p>
        </w:tc>
      </w:tr>
      <w:tr>
        <w:trPr>
          <w:trHeight w:val="27"/>
        </w:trPr>
        <w:tc>
          <w:tcPr>
            <w:tcW w:w="9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all stock options for the three months ended September 30, 2019 was $0.2 million and $0.1 million for the three months ended September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2018, 6,677 shares were awarded to each non-employee director for a total of 40,062 shares. The shares vest on a monthly basis over the two year period following July 2, 2018. The total expense recognized for these grants for the three months ended September 30, 2019 was $42 thousand and for the three months ended September 30, 2018 was $0.2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award any long-term stock incentive compensation to its executive officers during the 2019 fiscal year.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long-term stock incentive plans (“LTI”) in prior fiscal years for its then executive officers. Stock based compensation related to the LTI plans was as follows in the three months ended September 30, 2019 and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FY18 LTI Plan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FY17 LTI Plan</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previously reported, various putative shareholder class actions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On September 30, 2019, the Court granted the Motion to Transfer filed by the Company and its former chief executive officer,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transferred the Consolidated Action to the United States District Court for the Eastern District of Pennsylvania, Docket No. 19-cv-04565. On October 18, 2019, the Court entered an Order approving the parties’ stipulation which provided for the filing of an amended complaint by no later than November 20, 2019, a date for the defendants to respond thereto, and a briefing schedule, if necessary.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previously reported, a putative shareholder class action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action until the Consolidated Action reaches a final disposition. On October 18, 2019, plaintiff filed an appeal to the Pennsylvania Superior Court from the Order granting defendants’ Petition for Stay, Docket No. 3100 EDA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resignation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October 17, 2019, Stephen P. Herbert resigned as Chief Executive Officer (the "CEO") and as a member of the Company's Board of Directors. On the same date, the Company's Board of Directors appointed Donald W. Layden, Jr., as interim CEO of the Company. Mr. Layden has served as a member of the Company's Board of Directors since April 2019.</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course of finalizing the severance package for our prior CEO, Stephen Herbert, we identified payments made on Mr. Herbert’s behalf to the Company’s business travel partner, American Express, prior to Mr. Herbert providing reimbursement to the Company. These payments may be classified as loans. The Company is in the process of arranging the final severance amounts to Mr. Herbert taking into account the outstanding balance of approximately $30,000.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 and dividend distribution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18, 2019, the Company’s Board of Directors adopted a shareholder rights plan and declared a dividend distribution of one right on each outstanding share of the Company’s common stock. The rights plan will be put to a vote of shareholders at the next annual meeting, and will automatically terminate if approval is not obtained. If shareholder approval is obtained at the meeting, the shareholder rights plan will expire on October 18, 2020.</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rights will be exercisable only if a person or group acquires 15% or more of the Company’s outstanding common stock. If a shareholder's beneficial ownership of common stock as of the time of this announcement is at or above the 15% threshold, that shareholder's existing ownership percentage would be grandfathered, but the rights would become exercisable if at any time after this announcement the shareholder acquires beneficial ownership of additional shares. Each right will entitle shareholders to buy one one-hundredth of a share of a new series of junior participating preferred stock at an exercise price of $30.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 person or group acquires 15% of the Company’s outstanding common stock, each right will entitle its holder (other than such person or members of such group) to purchase for $30, a number of Company common shares having a market value of twice such price. In addition, at any time after a person or group acquires 15% of the Company’s outstanding common stock, the Company’s Board of Directors may exchange one share of the Company’s common stock for each outstanding right (other than rights owned by such person or group, which would have become void).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the acquisition by a person or group of beneficial ownership of 15% of the Company’s common stock, the rights are redeemable for one cent per right at the option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distribution was made to holders of record as of October 28, 2019, and was not taxable to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Long-Term Stock Incentive Plan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2019, the Company's Board of Directors approved the Fiscal Year 2020 Long-Term Stock Incentive Plan which provides that each executive officer would be awarded shares of common stock of the Company in the event that certain metrics relating to the Company’s 2020 fiscal year would result in specified ranges of year-over-year percentage growth. The metrics are total number of connections as of June 30, 2020 as compared to total number of connections as of June 30, 2019 (40% weighting) and adjusted EBITDA earned during the 2020 fiscal year as compared to the adjusted EBITDA earned during the 2019 fiscal year (60% weighting). If none of the minimum threshold year-over-year percentage target goals are achieved, the executive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(which in any event cannot exceed 150% of the executive officer’s target bonus award). Any shares awarded under the plan would vest as follows: one-third at the time of issuance; one-third on June 30, 2021; and one-third on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right="4000"/>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37" w:lineRule="exact"/>
        <w:rPr>
          <w:sz w:val="20"/>
          <w:szCs w:val="20"/>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29"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are derived;</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 or to do so in a timely manner;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00" w:hanging="316"/>
        <w:spacing w:after="0" w:line="31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the appeal to the Nasdaq Listing and Hearing Review Council of the suspension of trading of the Company’s securities on The Nasdaq Stock Market LLC (“Nasdaq”) will be successful or result in the reinstatement of trading of the Company’s securities, or whether any listing application which may be filed by the Company to relist the Company’s securities on Nasdaq would be granted by Nasdaq or granted in a timely manner;</w:t>
      </w:r>
    </w:p>
    <w:p>
      <w:pPr>
        <w:spacing w:after="0" w:line="106" w:lineRule="exact"/>
        <w:rPr>
          <w:rFonts w:ascii="Arial" w:cs="Arial" w:eastAsia="Arial" w:hAnsi="Arial"/>
          <w:sz w:val="16"/>
          <w:szCs w:val="16"/>
          <w:color w:val="auto"/>
        </w:rPr>
      </w:pPr>
    </w:p>
    <w:p>
      <w:pPr>
        <w:ind w:left="500" w:right="20" w:hanging="316"/>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 and</w:t>
      </w:r>
    </w:p>
    <w:p>
      <w:pPr>
        <w:spacing w:after="0" w:line="129" w:lineRule="exact"/>
        <w:rPr>
          <w:rFonts w:ascii="Arial" w:cs="Arial" w:eastAsia="Arial" w:hAnsi="Arial"/>
          <w:sz w:val="18"/>
          <w:szCs w:val="18"/>
          <w:color w:val="auto"/>
        </w:rPr>
      </w:pPr>
    </w:p>
    <w:p>
      <w:pPr>
        <w:jc w:val="both"/>
        <w:ind w:left="500" w:hanging="316"/>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Annual Report on Form 10-K for the fiscal year ended June 30, 2019 (the "2019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generates revenue in multiple ways. During the three months ended September 30, 2019, we derived approximately 80% of our revenue from recurring license and transaction fees related to our ePort Connect service and approximately 20%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62" w:lineRule="exact"/>
        <w:rPr>
          <w:sz w:val="20"/>
          <w:szCs w:val="20"/>
          <w:color w:val="auto"/>
        </w:rPr>
      </w:pPr>
    </w:p>
    <w:p>
      <w:pPr>
        <w:sectPr>
          <w:pgSz w:w="11900" w:h="16838" w:orient="portrait"/>
          <w:cols w:equalWidth="0" w:num="2">
            <w:col w:w="420" w:space="240"/>
            <w:col w:w="10760"/>
          </w:cols>
          <w:pgMar w:left="240" w:top="125" w:right="239" w:bottom="1440" w:gutter="0" w:footer="0" w:header="0"/>
          <w:type w:val="continuous"/>
        </w:sectPr>
      </w:pPr>
    </w:p>
    <w:p>
      <w:pPr>
        <w:ind w:right="2460" w:firstLine="332"/>
        <w:spacing w:after="0" w:line="346" w:lineRule="auto"/>
        <w:tabs>
          <w:tab w:leader="none" w:pos="648" w:val="left"/>
        </w:tabs>
        <w:numPr>
          <w:ilvl w:val="0"/>
          <w:numId w:val="5"/>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 As of September 30, 2019, highlights of the Company are below:</w:t>
      </w:r>
    </w:p>
    <w:p>
      <w:pPr>
        <w:sectPr>
          <w:pgSz w:w="11900" w:h="16838" w:orient="portrait"/>
          <w:cols w:equalWidth="0" w:num="1">
            <w:col w:w="11420"/>
          </w:cols>
          <w:pgMar w:left="240" w:top="125" w:right="2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120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20,000 customers and approximately 1,215,000 connections to our service;</w:t>
      </w:r>
    </w:p>
    <w:p>
      <w:pPr>
        <w:spacing w:after="0" w:line="198"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Three direct sales teams at the national, regional, and local customer-level and a growing number of OEMs and national distribution partners;</w:t>
      </w:r>
    </w:p>
    <w:p>
      <w:pPr>
        <w:spacing w:after="0" w:line="28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420" w:space="240"/>
            <w:col w:w="1076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5"/>
          <w:szCs w:val="25"/>
          <w:color w:val="auto"/>
        </w:rPr>
      </w:pPr>
      <w:r>
        <w:rPr>
          <w:rFonts w:ascii="Arial" w:cs="Arial" w:eastAsia="Arial" w:hAnsi="Arial"/>
          <w:sz w:val="18"/>
          <w:szCs w:val="18"/>
          <w:color w:val="auto"/>
        </w:rPr>
        <w:t>The Company’s fiscal year ends June 30th.</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indicated in our 2019 Form 10-K, as a result of our failure to comply with our periodic reporting obligations, on September 26, 2019, our securities were suspended from trading on Nasdaq and are currently quoted on the OTC Markets. On October 8, 2019, and pursuant to applicable Nasdaq rules, we filed an appeal to the Nasdaq Listing and Hearing Review Council from the Nasdaq Hearing Panel’s determination to delist the Company’s securities from trading. There can be no assurance that our appeal will be successful or result in the reinstatement of trading of the Company’s securities, or whether any listing application which may be filed by the Company to relist the Company’s securities on Nasdaq would be granted.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2019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interim Condensed Consolidated Financial Statements for a description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show certain financial and non-financial data that management believes give readers insight into certain trends and relationships about the Company’s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and for the three months ended</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Connections: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Gross new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new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1,215,000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1,169,000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1,126,000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1,080,000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1,047,000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New customers added</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Volumes: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number of transactions (millions)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volume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structure of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JumpStart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5"/>
                <w:szCs w:val="25"/>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September 30, 2019 include:</w:t>
      </w:r>
    </w:p>
    <w:p>
      <w:pPr>
        <w:spacing w:after="0" w:line="1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46,000 additional net new connections during the quarter;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1,215,000 total connections to our service compared to the same quarter last year of approximately 1,047,000 total connections to our service, an increase of 168,000 connections, or 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As discussed in Note 2 - Restatement and Revision of Prior Period Financial Statements, the Company has restated its financial statements as of and for the three months ended September 30, 2019 and revised its financial statements as of and for the three months ended September 30, 2018. Accordingly, the results of operations and reconciliations of net loss to adjusted EBITDA and net loss to non-GAAP net loss have been updated for these corrections.</w:t>
      </w:r>
    </w:p>
    <w:p>
      <w:pPr>
        <w:spacing w:after="0" w:line="102" w:lineRule="exact"/>
        <w:rPr>
          <w:sz w:val="20"/>
          <w:szCs w:val="20"/>
          <w:color w:val="auto"/>
        </w:rPr>
      </w:pPr>
    </w:p>
    <w:p>
      <w:pPr>
        <w:ind w:right="3940"/>
        <w:spacing w:after="0" w:line="482" w:lineRule="auto"/>
        <w:rPr>
          <w:sz w:val="20"/>
          <w:szCs w:val="20"/>
          <w:color w:val="auto"/>
        </w:rPr>
      </w:pPr>
      <w:r>
        <w:rPr>
          <w:rFonts w:ascii="Arial" w:cs="Arial" w:eastAsia="Arial" w:hAnsi="Arial"/>
          <w:sz w:val="18"/>
          <w:szCs w:val="18"/>
          <w:b w:val="1"/>
          <w:bCs w:val="1"/>
          <w:color w:val="auto"/>
        </w:rPr>
        <w:t>Three Months Ended September 30, 2019 Compared to Three Months Ended September 30, 2018 Revenue and Gross Profit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6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34,609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28,671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33,768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18,372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127.2 %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costs of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10,299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11,416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$9.6 million for the three months ended September 30, 2019 compared to the same period in 2018. The growth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resulted from a $5.9 million increase in license and transaction fee revenue for the three months ended September 30, 2019 compared to the same period in 2018, mostly driven by the increase in connection count which caused an increase in license fee and processing fees, and a $3.7 million increase in equipment revenue for the three months ended September 30, 2019 compared to the same period in 2018 driven by higher shipments compared to the same period last year.</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$9.2 million for the three months ended September 30, 2019 compared to the same period in 2018.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$3.7 million increase in cost of services driven by an increase in transaction processing costs commensurate with the increase in transaction processing fees for the quarter and a $5.5 million increase in cost of equipment sales, resulting from higher shipments compared to the same period last year.</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6.4%, from 32.7% for the three months ended September 30, 2018 to 26.3%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The decrease was driven primarily by a lower equipment margin resulting from a large equipment sale made to a strategic customer during the current quarter, reflecting our strategy of using equipment sales as an enabler for driving longer-term, higher margin license and transaction fees. License and transaction processing margin remained consistent compared to the same period last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6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20" w:type="dxa"/>
            <w:vAlign w:val="bottom"/>
            <w:vMerge w:val="restart"/>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(21.2)%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22,694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16,031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$8.7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as compared to the same period in 2018. This change was primarily driven by an increase in professional services costs primarily related to the Company's restatement project and related audit activities.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incurred beginning in the first quarter of fiscal year 2019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first quarter of fiscal year 2020 in connection with the Audit Committee's investigation, the restatements of previously filed financial statements, bank consents, and the ongoing remediation of deficiencies in our internal control over financial reporting.</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were $0.9 million for the three months ended September 30, 2018 due to the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Cantaloupe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6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57"/>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decreased $0.1 million for the three months ended September 30, 2019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2018 due to the prepayments in fiscal year 2019 on the Term Loan which reduced the amount of interest expense to be recorded in fiscal year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6"/>
                <w:szCs w:val="6"/>
                <w:color w:val="auto"/>
              </w:rPr>
            </w:pPr>
          </w:p>
        </w:tc>
        <w:tc>
          <w:tcPr>
            <w:tcW w:w="10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227.8%</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three months ended September 30, 2019, a tax provision of $59 thousand was recorded which primarily relates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 tax positions, as well as state income and franchise taxes. As of September 30, 2019,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three months ended September 30, 2019, as the use of an estimated annual effective income tax rate does not provide a reliable estimate of the income tax provision.</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2018, a tax provision of $18 thousand was recorded which primarily relates to state income and franchise taxes. The provision is based upon actual loss before income taxes for the three months ended September 30, 2018, as the use of an estimated annual effective income tax rate does not provide a reliable estimate of the income tax provision.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7"/>
              </w:rPr>
              <w:t>Three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income tax provision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EBITDA</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5,869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or activist related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or the activist related matters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7"/>
              </w:rPr>
              <w:t>Three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Litigation related professional fees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used herein, non-GAAP net income (loss) represents GAAP net loss excluding costs or benefits relating to any non-cash portions of the Company’s income tax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or activist related expenses.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discussed in Note 2 - Restatement and Revision of Prior Period Financial Statements, the Company has restated its financial statements as of and for the three months ended September 30, 2019 and revised its financial statements as of and for the three months ended September 30, 2018. Accordingly, net cash provided by (used in) operating activities and net cash used in investing activities for the three months ended September 30, 2019 and 2018 have been updated for these corrections.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was $0.2 million for the three months ended September 30, 2019 compared to cash used of $13.6 million in the same period in fiscal year 2018. The change reflects net cash provided by the change in various operating assets and liabilities of $20.0 million. The change in operating assets and liabilities is primarily driven by the change of accounts receivable of $6.9 million and the change of accounts payable and accrued expenses of $14.0 million.</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Cash used in investing activities was $0.4 million for the three months ended September 30, 2019 compared to cash used of $1.2 million in the same period in fiscal year 2018, primarily driven by a decrease in equipment purchases for rental equipment compared to the same period last year.</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was $1.8 million for the nine months ended September 30, 2019 compared to cash used of $0.9 million in the same period in fiscal year 2018. The change was primarily due to the Term Loan prepayment of $1.5 million made on September 30,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and related compliance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certificates required under the terms of the credit agreement which are required to be delivered to the Lender by no later than October 31, 2019.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 On October 31, 2019, the Company repaid the outstanding balance on the Revolving Credit Facility.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Although as of September 30, 2019 the Company was not in compliance with the fixed charge coverage ratio and the total leverage ratio financial covenants under the credit agreement, pursuant to the September 30, 2019 extension agreement, the lender agreed that any such failure would not constitute an event of default pending the delivery to the lender of our financial statements and related compliance certificates by no later than October 31, 2019. The Company has classified all amounts outstanding under the Revolving Credit Facility and Term Loan as current liabilities as of September 30, 2019 and June 30, 2019.</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a Stock Purchase Agreement dated October 9, 2019 between the Company and Antara Capital Master Fund LP (“Antara”), on October 9, 2019, the Company sold to Antara 3,800,000 shares of the Company’s common stock at a price of $5.25 per share for gross proceeds of $19,950,000. On October 9, 2019, the Company also entered into a commitment letter (“Commitment Letter”) with Antara, pursuant to which Antara committed to extend to the Company a $30.0 million senior secured term loan facility (“Term Facility”).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primary sources of capital available: (1) cash and cash equivalents on hand of $25.5 million as of September 30, 2019;</w:t>
      </w:r>
    </w:p>
    <w:p>
      <w:pPr>
        <w:spacing w:after="0" w:line="35" w:lineRule="exact"/>
        <w:rPr>
          <w:sz w:val="20"/>
          <w:szCs w:val="20"/>
          <w:color w:val="auto"/>
        </w:rPr>
      </w:pPr>
    </w:p>
    <w:p>
      <w:pPr>
        <w:jc w:val="both"/>
        <w:ind w:firstLine="8"/>
        <w:spacing w:after="0" w:line="255"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which may be provided by operating activities in the 2020 fiscal year; (3) potential sales to third party lenders of all or a portion of our finance receivables; (4) gross cash proceeds of $19,950,000 from the issuance of our shares to Antara as referred to above; and (5) an aggregate amount of $30 million under the Term Facility as described above.</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anticipates that during the remainder of the 2020 fiscal year, the Company would have to satisfy its sales tax liability estimated to be no more than $20.0 million, inclusive of accruing no more than an additional $4.0 million in the 2020 fiscal year. In addition, management has recently implemented efficiencies in working capital that are designed to increase our cash balances.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evaluated, with the participation of our interim chief executive officer and interim chief financial officer, the effectiveness as of the end of the period covered by this Form 10-Q/A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interim chief executive officer and interim chief financial officer, to allow timely decisions regarding required disclosure. Based on this evaluation, our management, including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interim chief executive officer and interim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than the remediation actions disclosed in Item 9A. of the 2019 Form 10-K, there were no changes in our internal controls over financial reporting that occurred during the quarter ended September 30, 2019 that materially affected, or are reasonably likely to materially affect, our internal controls over financial reporting. In addition, we evaluated the relevant internal control deficiencies that led to the errors disclosed in Note 2 - Restatement and Revision of Prior Period Financial Statements and determined they are a result of our existing material weaknesses. As discussed in Item 9A. of our 2019 Form 10-K, we have initiated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were not complete as of September 30, 2019, and will continue through fiscal year 2020, with the goal to fully remediate all remaining material weaknesses by fiscal year end.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93"/>
              </w:rPr>
              <w:t>3.1*</w:t>
            </w:r>
          </w:p>
        </w:tc>
        <w:tc>
          <w:tcPr>
            <w:tcW w:w="3460" w:type="dxa"/>
            <w:vAlign w:val="bottom"/>
            <w:tcBorders>
              <w:bottom w:val="single" w:sz="8" w:color="0000FF"/>
            </w:tcBorders>
            <w:gridSpan w:val="3"/>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Amended and Restated Bylaws of the Company</w:t>
              </w:r>
            </w:hyperlink>
          </w:p>
        </w:tc>
        <w:tc>
          <w:tcPr>
            <w:tcW w:w="6840" w:type="dxa"/>
            <w:vAlign w:val="bottom"/>
            <w:gridSpan w:val="4"/>
          </w:tcPr>
          <w:p>
            <w:pPr>
              <w:spacing w:after="0"/>
              <w:rPr>
                <w:sz w:val="17"/>
                <w:szCs w:val="17"/>
                <w:color w:val="auto"/>
              </w:rPr>
            </w:pPr>
          </w:p>
        </w:tc>
      </w:tr>
      <w:tr>
        <w:trPr>
          <w:trHeight w:val="574"/>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81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Certifications of Chief Executive Officer pursuant to Rule 13a-14(a) under the Securities Exchange Act of 1934.</w:t>
              </w:r>
            </w:hyperlink>
          </w:p>
        </w:tc>
        <w:tc>
          <w:tcPr>
            <w:tcW w:w="2200" w:type="dxa"/>
            <w:vAlign w:val="bottom"/>
            <w:gridSpan w:val="2"/>
          </w:tcPr>
          <w:p>
            <w:pPr>
              <w:spacing w:after="0"/>
              <w:rPr>
                <w:sz w:val="24"/>
                <w:szCs w:val="24"/>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10300" w:type="dxa"/>
            <w:vAlign w:val="bottom"/>
            <w:gridSpan w:val="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40" w:type="dxa"/>
            <w:vAlign w:val="bottom"/>
            <w:gridSpan w:val="2"/>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101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Certification of the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of 2002.</w:t>
              </w:r>
            </w:hyperlink>
          </w:p>
        </w:tc>
        <w:tc>
          <w:tcPr>
            <w:tcW w:w="9700" w:type="dxa"/>
            <w:vAlign w:val="bottom"/>
            <w:gridSpan w:val="5"/>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103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the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54">
              <w:r>
                <w:rPr>
                  <w:rFonts w:ascii="Arial" w:cs="Arial" w:eastAsia="Arial" w:hAnsi="Arial"/>
                  <w:sz w:val="18"/>
                  <w:szCs w:val="18"/>
                  <w:color w:val="0000FF"/>
                  <w:w w:val="84"/>
                </w:rPr>
                <w:t>2002.</w:t>
              </w:r>
            </w:hyperlink>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64" w:lineRule="exact"/>
        <w:rPr>
          <w:sz w:val="20"/>
          <w:szCs w:val="20"/>
          <w:color w:val="auto"/>
        </w:rPr>
      </w:pPr>
    </w:p>
    <w:p>
      <w:pPr>
        <w:ind w:left="1080" w:right="40" w:hanging="1045"/>
        <w:spacing w:after="0" w:line="28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10-Q/A for the quarter ended September 30, 2019, filed with the SEC on February 18, 2020, formatted in Extensible Business Reporting Language (XBRL): (1) the Consolidated Balance Sheets as of September 30, 2019 and June 30, 2019, (2) the Consolidated Statements of Operations for the three-month periods ended September 30, 2019 and 2018,</w:t>
      </w:r>
    </w:p>
    <w:p>
      <w:pPr>
        <w:ind w:left="1080" w:right="220"/>
        <w:spacing w:after="0" w:line="255" w:lineRule="auto"/>
        <w:rPr>
          <w:rFonts w:ascii="Arial" w:cs="Arial" w:eastAsia="Arial" w:hAnsi="Arial"/>
          <w:sz w:val="16"/>
          <w:szCs w:val="16"/>
          <w:color w:val="auto"/>
        </w:rPr>
      </w:pPr>
      <w:r>
        <w:rPr>
          <w:rFonts w:ascii="Arial" w:cs="Arial" w:eastAsia="Arial" w:hAnsi="Arial"/>
          <w:sz w:val="18"/>
          <w:szCs w:val="18"/>
          <w:color w:val="auto"/>
        </w:rPr>
        <w:t>(3) the Consolidated Statements of Shareholders’ Equity for the three-month periods ended September 30, 2019 and 2018, (4) the Consolidated Statements of Cash Flows for the three-month periods ended September 30, 2019 and 2018, and (5) the Notes to Consolidated Financial Statements.</w:t>
      </w:r>
    </w:p>
    <w:p>
      <w:pPr>
        <w:spacing w:after="0" w:line="28" w:lineRule="exact"/>
        <w:rPr>
          <w:sz w:val="20"/>
          <w:szCs w:val="20"/>
          <w:color w:val="auto"/>
        </w:rPr>
      </w:pPr>
    </w:p>
    <w:p>
      <w:pPr>
        <w:ind w:left="5620" w:right="2780" w:hanging="5585"/>
        <w:spacing w:after="0" w:line="810" w:lineRule="auto"/>
        <w:tabs>
          <w:tab w:leader="none" w:pos="10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the Form 10-Q for the fiscal quarter ended September 30, 2019 filed on November 12, 2019. 49</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567"/>
        </w:trPr>
        <w:tc>
          <w:tcPr>
            <w:tcW w:w="3660" w:type="dxa"/>
            <w:vAlign w:val="bottom"/>
          </w:tcPr>
          <w:p>
            <w:pPr>
              <w:spacing w:after="0"/>
              <w:rPr>
                <w:sz w:val="20"/>
                <w:szCs w:val="20"/>
                <w:color w:val="auto"/>
              </w:rPr>
            </w:pPr>
            <w:r>
              <w:rPr>
                <w:rFonts w:ascii="Arial" w:cs="Arial" w:eastAsia="Arial" w:hAnsi="Arial"/>
                <w:sz w:val="18"/>
                <w:szCs w:val="18"/>
                <w:color w:val="auto"/>
              </w:rPr>
              <w:t>Date: February 18, 2020</w:t>
            </w:r>
          </w:p>
        </w:tc>
        <w:tc>
          <w:tcPr>
            <w:tcW w:w="20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Donald W. Layden, Jr.</w:t>
            </w:r>
          </w:p>
        </w:tc>
      </w:tr>
      <w:tr>
        <w:trPr>
          <w:trHeight w:val="27"/>
        </w:trPr>
        <w:tc>
          <w:tcPr>
            <w:tcW w:w="3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Donald W. Layden, Jr.</w:t>
            </w:r>
          </w:p>
        </w:tc>
      </w:tr>
      <w:tr>
        <w:trPr>
          <w:trHeight w:val="270"/>
        </w:trPr>
        <w:tc>
          <w:tcPr>
            <w:tcW w:w="3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r>
      <w:tr>
        <w:trPr>
          <w:trHeight w:val="567"/>
        </w:trPr>
        <w:tc>
          <w:tcPr>
            <w:tcW w:w="3660" w:type="dxa"/>
            <w:vAlign w:val="bottom"/>
          </w:tcPr>
          <w:p>
            <w:pPr>
              <w:spacing w:after="0"/>
              <w:rPr>
                <w:sz w:val="20"/>
                <w:szCs w:val="20"/>
                <w:color w:val="auto"/>
              </w:rPr>
            </w:pPr>
            <w:r>
              <w:rPr>
                <w:rFonts w:ascii="Arial" w:cs="Arial" w:eastAsia="Arial" w:hAnsi="Arial"/>
                <w:sz w:val="18"/>
                <w:szCs w:val="18"/>
                <w:color w:val="auto"/>
              </w:rPr>
              <w:t>Date: February 18, 2020</w:t>
            </w:r>
          </w:p>
        </w:tc>
        <w:tc>
          <w:tcPr>
            <w:tcW w:w="20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Glen E. Goold</w:t>
            </w:r>
          </w:p>
        </w:tc>
      </w:tr>
      <w:tr>
        <w:trPr>
          <w:trHeight w:val="27"/>
        </w:trPr>
        <w:tc>
          <w:tcPr>
            <w:tcW w:w="3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Glen E. Goold</w:t>
            </w:r>
          </w:p>
        </w:tc>
      </w:tr>
      <w:tr>
        <w:trPr>
          <w:trHeight w:val="270"/>
        </w:trPr>
        <w:tc>
          <w:tcPr>
            <w:tcW w:w="3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459"/>
        </w:trPr>
        <w:tc>
          <w:tcPr>
            <w:tcW w:w="366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Donald W. Layden, Jr.,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Q/A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Donald W. Layden,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72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Glen E. Goold,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Q/A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72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4" w:lineRule="exact"/>
        <w:rPr>
          <w:sz w:val="20"/>
          <w:szCs w:val="20"/>
          <w:color w:val="auto"/>
        </w:rPr>
      </w:pPr>
      <w:r>
        <w:rPr>
          <w:rFonts w:ascii="Arial" w:cs="Arial" w:eastAsia="Arial" w:hAnsi="Arial"/>
          <w:sz w:val="17"/>
          <w:szCs w:val="17"/>
          <w:color w:val="auto"/>
        </w:rPr>
        <w:t>In connection with the accompanying Quarterly Report of USA Technologies,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Q/A for the period ended September 30, 2019 (the “Report”), I, Donald W. Layden, Jr., Interim Chief Executive Officer of the Company, hereby certify that to my knowledge:</w:t>
      </w:r>
    </w:p>
    <w:p>
      <w:pPr>
        <w:spacing w:after="0" w:line="16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Donald W. Layden,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72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Q/A for the period ended September 30, 2019 (the “Report”), I, Glen E. Goold, Interim Chief Financial Officer of the Company, hereby certify that to my knowledge:</w:t>
      </w:r>
    </w:p>
    <w:p>
      <w:pPr>
        <w:spacing w:after="0" w:line="16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6" Type="http://schemas.openxmlformats.org/officeDocument/2006/relationships/hyperlink" Target="http://www.sec.gov/Archives/edgar/data/896429/000162828019013962/a20190930-ex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2020-02-18T15:48:13Z</dcterms:created>
  <dcterms:modified xsi:type="dcterms:W3CDTF">2020-02-18T15:48:13Z</dcterms:modified>
</cp:coreProperties>
</file>