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491490</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62" w:lineRule="exact"/>
        <w:rPr>
          <w:sz w:val="24"/>
          <w:szCs w:val="24"/>
          <w:color w:val="auto"/>
        </w:rPr>
      </w:pPr>
    </w:p>
    <w:p>
      <w:pPr>
        <w:ind w:left="500" w:hanging="330"/>
        <w:spacing w:after="0"/>
        <w:tabs>
          <w:tab w:leader="none" w:pos="500" w:val="left"/>
        </w:tabs>
        <w:numPr>
          <w:ilvl w:val="0"/>
          <w:numId w:val="1"/>
        </w:numPr>
        <w:rPr>
          <w:rFonts w:ascii="MS PGothic" w:cs="MS PGothic" w:eastAsia="MS PGothic" w:hAnsi="MS PGothic"/>
          <w:sz w:val="32"/>
          <w:szCs w:val="32"/>
          <w:color w:val="auto"/>
          <w:vertAlign w:val="subscript"/>
        </w:rPr>
      </w:pPr>
      <w:r>
        <w:rPr>
          <w:rFonts w:ascii="Times New Roman" w:cs="Times New Roman" w:eastAsia="Times New Roman" w:hAnsi="Times New Roman"/>
          <w:sz w:val="18"/>
          <w:szCs w:val="18"/>
          <w:b w:val="1"/>
          <w:bCs w:val="1"/>
          <w:color w:val="auto"/>
        </w:rPr>
        <w:t>QUARTERLY REPORT PURSUANT TO SECTION 13 OR 15 (d) OF THE SECURITIES EXCHANGE ACT OF 1934</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2023</w:t>
      </w:r>
    </w:p>
    <w:p>
      <w:pPr>
        <w:spacing w:after="0" w:line="1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127" w:lineRule="exact"/>
        <w:rPr>
          <w:sz w:val="24"/>
          <w:szCs w:val="24"/>
          <w:color w:val="auto"/>
        </w:rPr>
      </w:pPr>
    </w:p>
    <w:p>
      <w:pPr>
        <w:ind w:left="500" w:hanging="337"/>
        <w:spacing w:after="0"/>
        <w:tabs>
          <w:tab w:leader="none" w:pos="5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 (d) OF THE EXCHANGE ACT OF 1934</w:t>
      </w:r>
    </w:p>
    <w:p>
      <w:pPr>
        <w:spacing w:after="0" w:line="212" w:lineRule="exact"/>
        <w:rPr>
          <w:sz w:val="24"/>
          <w:szCs w:val="24"/>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_________ to _________</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001-33365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45720</wp:posOffset>
            </wp:positionV>
            <wp:extent cx="1714500" cy="4883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14500" cy="4883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Cantaloupe, Inc.</w:t>
      </w:r>
    </w:p>
    <w:p>
      <w:pPr>
        <w:spacing w:after="0" w:line="25" w:lineRule="exact"/>
        <w:rPr>
          <w:sz w:val="24"/>
          <w:szCs w:val="24"/>
          <w:color w:val="auto"/>
        </w:rPr>
      </w:pPr>
    </w:p>
    <w:p>
      <w:pPr>
        <w:ind w:left="336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31" w:lineRule="exact"/>
        <w:rPr>
          <w:sz w:val="24"/>
          <w:szCs w:val="24"/>
          <w:color w:val="auto"/>
        </w:rPr>
      </w:pPr>
    </w:p>
    <w:tbl>
      <w:tblPr>
        <w:tblLayout w:type="fixed"/>
        <w:tblInd w:w="240" w:type="dxa"/>
        <w:tblCellMar>
          <w:top w:w="0" w:type="dxa"/>
          <w:left w:w="0" w:type="dxa"/>
          <w:bottom w:w="0" w:type="dxa"/>
          <w:right w:w="0" w:type="dxa"/>
        </w:tblCellMar>
      </w:tblPr>
      <w:tr>
        <w:trPr>
          <w:trHeight w:val="207"/>
        </w:trPr>
        <w:tc>
          <w:tcPr>
            <w:tcW w:w="1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Pennsylvania</w:t>
            </w:r>
          </w:p>
        </w:tc>
        <w:tc>
          <w:tcPr>
            <w:tcW w:w="96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120" w:type="dxa"/>
            <w:vAlign w:val="bottom"/>
            <w:gridSpan w:val="5"/>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8"/>
              </w:rPr>
              <w:t>23-2679963</w:t>
            </w:r>
          </w:p>
        </w:tc>
      </w:tr>
      <w:tr>
        <w:trPr>
          <w:trHeight w:val="20"/>
        </w:trPr>
        <w:tc>
          <w:tcPr>
            <w:tcW w:w="1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gridSpan w:val="2"/>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50"/>
        </w:trPr>
        <w:tc>
          <w:tcPr>
            <w:tcW w:w="6460" w:type="dxa"/>
            <w:vAlign w:val="bottom"/>
            <w:gridSpan w:val="11"/>
          </w:tcPr>
          <w:p>
            <w:pPr>
              <w:jc w:val="center"/>
              <w:ind w:right="152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3120" w:type="dxa"/>
            <w:vAlign w:val="bottom"/>
            <w:gridSpan w:val="5"/>
          </w:tcPr>
          <w:p>
            <w:pPr>
              <w:jc w:val="center"/>
              <w:ind w:left="41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310"/>
        </w:trPr>
        <w:tc>
          <w:tcPr>
            <w:tcW w:w="1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100 Deerfield Lane,</w:t>
            </w:r>
          </w:p>
        </w:tc>
        <w:tc>
          <w:tcPr>
            <w:tcW w:w="380" w:type="dxa"/>
            <w:vAlign w:val="bottom"/>
          </w:tcPr>
          <w:p>
            <w:pPr>
              <w:spacing w:after="0"/>
              <w:rPr>
                <w:sz w:val="24"/>
                <w:szCs w:val="24"/>
                <w:color w:val="auto"/>
              </w:rPr>
            </w:pPr>
          </w:p>
        </w:tc>
        <w:tc>
          <w:tcPr>
            <w:tcW w:w="9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Suite 300,</w:t>
            </w:r>
          </w:p>
        </w:tc>
        <w:tc>
          <w:tcPr>
            <w:tcW w:w="116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Malvern,</w:t>
            </w:r>
          </w:p>
        </w:tc>
        <w:tc>
          <w:tcPr>
            <w:tcW w:w="25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Pennsylvania</w:t>
            </w:r>
          </w:p>
        </w:tc>
        <w:tc>
          <w:tcPr>
            <w:tcW w:w="2240" w:type="dxa"/>
            <w:vAlign w:val="bottom"/>
            <w:gridSpan w:val="4"/>
          </w:tcPr>
          <w:p>
            <w:pPr>
              <w:jc w:val="center"/>
              <w:ind w:left="1290"/>
              <w:spacing w:after="0"/>
              <w:rPr>
                <w:sz w:val="20"/>
                <w:szCs w:val="20"/>
                <w:color w:val="auto"/>
              </w:rPr>
            </w:pPr>
            <w:r>
              <w:rPr>
                <w:rFonts w:ascii="Times New Roman" w:cs="Times New Roman" w:eastAsia="Times New Roman" w:hAnsi="Times New Roman"/>
                <w:sz w:val="18"/>
                <w:szCs w:val="18"/>
                <w:b w:val="1"/>
                <w:bCs w:val="1"/>
                <w:color w:val="auto"/>
              </w:rPr>
              <w:t>19355</w:t>
            </w:r>
          </w:p>
        </w:tc>
        <w:tc>
          <w:tcPr>
            <w:tcW w:w="880" w:type="dxa"/>
            <w:vAlign w:val="bottom"/>
          </w:tcPr>
          <w:p>
            <w:pPr>
              <w:spacing w:after="0"/>
              <w:rPr>
                <w:sz w:val="24"/>
                <w:szCs w:val="24"/>
                <w:color w:val="auto"/>
              </w:rPr>
            </w:pPr>
          </w:p>
        </w:tc>
      </w:tr>
      <w:tr>
        <w:trPr>
          <w:trHeight w:val="20"/>
        </w:trPr>
        <w:tc>
          <w:tcPr>
            <w:tcW w:w="1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360" w:type="dxa"/>
            <w:vAlign w:val="bottom"/>
            <w:tcBorders>
              <w:right w:val="single" w:sz="8" w:color="auto"/>
            </w:tcBorders>
            <w:gridSpan w:val="2"/>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r>
      <w:tr>
        <w:trPr>
          <w:trHeight w:val="250"/>
        </w:trPr>
        <w:tc>
          <w:tcPr>
            <w:tcW w:w="3940" w:type="dxa"/>
            <w:vAlign w:val="bottom"/>
            <w:gridSpan w:val="8"/>
          </w:tcPr>
          <w:p>
            <w:pPr>
              <w:jc w:val="center"/>
              <w:ind w:left="9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740" w:type="dxa"/>
            <w:vAlign w:val="bottom"/>
            <w:gridSpan w:val="4"/>
          </w:tcPr>
          <w:p>
            <w:pPr>
              <w:jc w:val="center"/>
              <w:ind w:right="860"/>
              <w:spacing w:after="0"/>
              <w:rPr>
                <w:sz w:val="20"/>
                <w:szCs w:val="20"/>
                <w:color w:val="auto"/>
              </w:rPr>
            </w:pPr>
            <w:r>
              <w:rPr>
                <w:rFonts w:ascii="Times New Roman" w:cs="Times New Roman" w:eastAsia="Times New Roman" w:hAnsi="Times New Roman"/>
                <w:sz w:val="18"/>
                <w:szCs w:val="18"/>
                <w:color w:val="auto"/>
              </w:rPr>
              <w:t>(Zip Code)</w:t>
            </w:r>
          </w:p>
        </w:tc>
      </w:tr>
      <w:tr>
        <w:trPr>
          <w:trHeight w:val="272"/>
        </w:trPr>
        <w:tc>
          <w:tcPr>
            <w:tcW w:w="15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52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(610) 989-0340</w:t>
            </w:r>
          </w:p>
        </w:tc>
        <w:tc>
          <w:tcPr>
            <w:tcW w:w="13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190"/>
        </w:trPr>
        <w:tc>
          <w:tcPr>
            <w:tcW w:w="1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60" w:type="dxa"/>
            <w:vAlign w:val="bottom"/>
            <w:gridSpan w:val="7"/>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w:t>
            </w: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r>
    </w:tbl>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13"/>
        </w:trPr>
        <w:tc>
          <w:tcPr>
            <w:tcW w:w="4180" w:type="dxa"/>
            <w:vAlign w:val="bottom"/>
            <w:tcBorders>
              <w:bottom w:val="single" w:sz="8" w:color="auto"/>
            </w:tcBorders>
          </w:tcPr>
          <w:p>
            <w:pPr>
              <w:jc w:val="center"/>
              <w:ind w:left="319"/>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2640" w:type="dxa"/>
            <w:vAlign w:val="bottom"/>
            <w:tcBorders>
              <w:bottom w:val="single" w:sz="8" w:color="auto"/>
            </w:tcBorders>
          </w:tcPr>
          <w:p>
            <w:pPr>
              <w:jc w:val="center"/>
              <w:ind w:left="239"/>
              <w:spacing w:after="0"/>
              <w:rPr>
                <w:sz w:val="20"/>
                <w:szCs w:val="20"/>
                <w:color w:val="auto"/>
              </w:rPr>
            </w:pPr>
            <w:r>
              <w:rPr>
                <w:rFonts w:ascii="Times New Roman" w:cs="Times New Roman" w:eastAsia="Times New Roman" w:hAnsi="Times New Roman"/>
                <w:sz w:val="16"/>
                <w:szCs w:val="16"/>
                <w:color w:val="auto"/>
                <w:w w:val="99"/>
              </w:rPr>
              <w:t>Trading Symbol</w:t>
            </w:r>
          </w:p>
        </w:tc>
        <w:tc>
          <w:tcPr>
            <w:tcW w:w="4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07"/>
        </w:trPr>
        <w:tc>
          <w:tcPr>
            <w:tcW w:w="4180" w:type="dxa"/>
            <w:vAlign w:val="bottom"/>
          </w:tcPr>
          <w:p>
            <w:pPr>
              <w:jc w:val="center"/>
              <w:ind w:left="319"/>
              <w:spacing w:after="0"/>
              <w:rPr>
                <w:sz w:val="20"/>
                <w:szCs w:val="20"/>
                <w:color w:val="auto"/>
              </w:rPr>
            </w:pPr>
            <w:r>
              <w:rPr>
                <w:rFonts w:ascii="Times New Roman" w:cs="Times New Roman" w:eastAsia="Times New Roman" w:hAnsi="Times New Roman"/>
                <w:sz w:val="16"/>
                <w:szCs w:val="16"/>
                <w:color w:val="auto"/>
              </w:rPr>
              <w:t>Common Stock, no par value</w:t>
            </w:r>
          </w:p>
        </w:tc>
        <w:tc>
          <w:tcPr>
            <w:tcW w:w="2640" w:type="dxa"/>
            <w:vAlign w:val="bottom"/>
          </w:tcPr>
          <w:p>
            <w:pPr>
              <w:jc w:val="center"/>
              <w:ind w:left="239"/>
              <w:spacing w:after="0"/>
              <w:rPr>
                <w:sz w:val="20"/>
                <w:szCs w:val="20"/>
                <w:color w:val="auto"/>
              </w:rPr>
            </w:pPr>
            <w:r>
              <w:rPr>
                <w:rFonts w:ascii="Times New Roman" w:cs="Times New Roman" w:eastAsia="Times New Roman" w:hAnsi="Times New Roman"/>
                <w:sz w:val="16"/>
                <w:szCs w:val="16"/>
                <w:color w:val="auto"/>
              </w:rPr>
              <w:t>CTLP</w:t>
            </w:r>
          </w:p>
        </w:tc>
        <w:tc>
          <w:tcPr>
            <w:tcW w:w="44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190"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0"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0"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95" w:lineRule="exact"/>
        <w:rPr>
          <w:sz w:val="24"/>
          <w:szCs w:val="24"/>
          <w:color w:val="auto"/>
        </w:rPr>
      </w:pPr>
    </w:p>
    <w:tbl>
      <w:tblPr>
        <w:tblLayout w:type="fixed"/>
        <w:tblInd w:w="20" w:type="dxa"/>
        <w:tblCellMar>
          <w:top w:w="0" w:type="dxa"/>
          <w:left w:w="0" w:type="dxa"/>
          <w:bottom w:w="0" w:type="dxa"/>
          <w:right w:w="0" w:type="dxa"/>
        </w:tblCellMar>
      </w:tblPr>
      <w:tr>
        <w:trPr>
          <w:trHeight w:val="241"/>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020" w:type="dxa"/>
            <w:vAlign w:val="bottom"/>
          </w:tcPr>
          <w:p>
            <w:pPr>
              <w:ind w:left="1660"/>
              <w:spacing w:after="0" w:line="181" w:lineRule="exact"/>
              <w:rPr>
                <w:sz w:val="20"/>
                <w:szCs w:val="20"/>
                <w:color w:val="auto"/>
              </w:rPr>
            </w:pPr>
            <w:r>
              <w:rPr>
                <w:rFonts w:ascii="MS PGothic" w:cs="MS PGothic" w:eastAsia="MS PGothic" w:hAnsi="MS PGothic"/>
                <w:sz w:val="18"/>
                <w:szCs w:val="18"/>
                <w:color w:val="auto"/>
              </w:rPr>
              <w:t>☐</w:t>
            </w:r>
          </w:p>
        </w:tc>
        <w:tc>
          <w:tcPr>
            <w:tcW w:w="3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Accelerated filer</w:t>
            </w:r>
          </w:p>
        </w:tc>
        <w:tc>
          <w:tcPr>
            <w:tcW w:w="1740" w:type="dxa"/>
            <w:vAlign w:val="bottom"/>
          </w:tcPr>
          <w:p>
            <w:pPr>
              <w:jc w:val="right"/>
              <w:spacing w:after="0" w:line="161" w:lineRule="exact"/>
              <w:rPr>
                <w:sz w:val="20"/>
                <w:szCs w:val="20"/>
                <w:color w:val="auto"/>
              </w:rPr>
            </w:pPr>
            <w:r>
              <w:rPr>
                <w:rFonts w:ascii="MS PGothic" w:cs="MS PGothic" w:eastAsia="MS PGothic" w:hAnsi="MS PGothic"/>
                <w:sz w:val="16"/>
                <w:szCs w:val="16"/>
                <w:color w:val="auto"/>
              </w:rPr>
              <w:t>☑</w:t>
            </w:r>
          </w:p>
        </w:tc>
      </w:tr>
      <w:tr>
        <w:trPr>
          <w:trHeight w:val="230"/>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020" w:type="dxa"/>
            <w:vAlign w:val="bottom"/>
          </w:tcPr>
          <w:p>
            <w:pPr>
              <w:ind w:left="1660"/>
              <w:spacing w:after="0" w:line="181" w:lineRule="exact"/>
              <w:rPr>
                <w:sz w:val="20"/>
                <w:szCs w:val="20"/>
                <w:color w:val="auto"/>
              </w:rPr>
            </w:pPr>
            <w:r>
              <w:rPr>
                <w:rFonts w:ascii="MS PGothic" w:cs="MS PGothic" w:eastAsia="MS PGothic" w:hAnsi="MS PGothic"/>
                <w:sz w:val="18"/>
                <w:szCs w:val="18"/>
                <w:color w:val="auto"/>
              </w:rPr>
              <w:t>☐</w:t>
            </w:r>
          </w:p>
        </w:tc>
        <w:tc>
          <w:tcPr>
            <w:tcW w:w="3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740" w:type="dxa"/>
            <w:vAlign w:val="bottom"/>
          </w:tcPr>
          <w:p>
            <w:pPr>
              <w:jc w:val="right"/>
              <w:spacing w:after="0" w:line="181" w:lineRule="exact"/>
              <w:rPr>
                <w:sz w:val="20"/>
                <w:szCs w:val="20"/>
                <w:color w:val="auto"/>
              </w:rPr>
            </w:pPr>
            <w:r>
              <w:rPr>
                <w:rFonts w:ascii="MS PGothic" w:cs="MS PGothic" w:eastAsia="MS PGothic" w:hAnsi="MS PGothic"/>
                <w:sz w:val="18"/>
                <w:szCs w:val="18"/>
                <w:color w:val="auto"/>
              </w:rPr>
              <w:t>☐</w:t>
            </w:r>
          </w:p>
        </w:tc>
      </w:tr>
      <w:tr>
        <w:trPr>
          <w:trHeight w:val="283"/>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2020" w:type="dxa"/>
            <w:vAlign w:val="bottom"/>
          </w:tcPr>
          <w:p>
            <w:pPr>
              <w:ind w:left="1660"/>
              <w:spacing w:after="0" w:line="181" w:lineRule="exact"/>
              <w:rPr>
                <w:sz w:val="20"/>
                <w:szCs w:val="20"/>
                <w:color w:val="auto"/>
              </w:rPr>
            </w:pPr>
            <w:r>
              <w:rPr>
                <w:rFonts w:ascii="MS PGothic" w:cs="MS PGothic" w:eastAsia="MS PGothic" w:hAnsi="MS PGothic"/>
                <w:sz w:val="18"/>
                <w:szCs w:val="18"/>
                <w:color w:val="auto"/>
              </w:rPr>
              <w:t>☐</w:t>
            </w:r>
          </w:p>
        </w:tc>
        <w:tc>
          <w:tcPr>
            <w:tcW w:w="3780" w:type="dxa"/>
            <w:vAlign w:val="bottom"/>
          </w:tcPr>
          <w:p>
            <w:pPr>
              <w:spacing w:after="0"/>
              <w:rPr>
                <w:sz w:val="24"/>
                <w:szCs w:val="24"/>
                <w:color w:val="auto"/>
              </w:rPr>
            </w:pPr>
          </w:p>
        </w:tc>
        <w:tc>
          <w:tcPr>
            <w:tcW w:w="1740" w:type="dxa"/>
            <w:vAlign w:val="bottom"/>
          </w:tcPr>
          <w:p>
            <w:pPr>
              <w:spacing w:after="0"/>
              <w:rPr>
                <w:sz w:val="24"/>
                <w:szCs w:val="24"/>
                <w:color w:val="auto"/>
              </w:rPr>
            </w:pPr>
          </w:p>
        </w:tc>
      </w:tr>
    </w:tbl>
    <w:p>
      <w:pPr>
        <w:spacing w:after="0" w:line="151"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6"/>
          <w:szCs w:val="16"/>
          <w:color w:val="auto"/>
        </w:rPr>
        <w:t>☑</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April 28, 2023 there were 72,519,258 outstanding shares of Common Stock, no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544830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111760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137160</wp:posOffset>
            </wp:positionV>
            <wp:extent cx="7115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6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560" w:type="dxa"/>
            <w:vAlign w:val="bottom"/>
          </w:tcPr>
          <w:p>
            <w:pPr>
              <w:spacing w:after="0"/>
              <w:rPr>
                <w:sz w:val="17"/>
                <w:szCs w:val="17"/>
                <w:color w:val="auto"/>
              </w:rPr>
            </w:pPr>
          </w:p>
        </w:tc>
      </w:tr>
      <w:tr>
        <w:trPr>
          <w:trHeight w:val="768"/>
        </w:trPr>
        <w:tc>
          <w:tcPr>
            <w:tcW w:w="2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160" w:type="dxa"/>
            <w:vAlign w:val="bottom"/>
            <w:gridSpan w:val="6"/>
          </w:tcPr>
          <w:p>
            <w:pPr>
              <w:jc w:val="center"/>
              <w:ind w:right="3820"/>
              <w:spacing w:after="0"/>
              <w:rPr>
                <w:sz w:val="20"/>
                <w:szCs w:val="20"/>
                <w:color w:val="auto"/>
              </w:rPr>
            </w:pPr>
            <w:r>
              <w:rPr>
                <w:rFonts w:ascii="Times New Roman" w:cs="Times New Roman" w:eastAsia="Times New Roman" w:hAnsi="Times New Roman"/>
                <w:sz w:val="18"/>
                <w:szCs w:val="18"/>
                <w:b w:val="1"/>
                <w:bCs w:val="1"/>
                <w:color w:val="auto"/>
                <w:w w:val="98"/>
              </w:rPr>
              <w:t>Cantaloupe, Inc.</w:t>
            </w:r>
          </w:p>
        </w:tc>
        <w:tc>
          <w:tcPr>
            <w:tcW w:w="560" w:type="dxa"/>
            <w:vAlign w:val="bottom"/>
          </w:tcPr>
          <w:p>
            <w:pPr>
              <w:spacing w:after="0"/>
              <w:rPr>
                <w:sz w:val="24"/>
                <w:szCs w:val="24"/>
                <w:color w:val="auto"/>
              </w:rPr>
            </w:pPr>
          </w:p>
        </w:tc>
      </w:tr>
      <w:tr>
        <w:trPr>
          <w:trHeight w:val="238"/>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160" w:type="dxa"/>
            <w:vAlign w:val="bottom"/>
            <w:gridSpan w:val="7"/>
          </w:tcPr>
          <w:p>
            <w:pPr>
              <w:jc w:val="center"/>
              <w:ind w:right="282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560" w:type="dxa"/>
            <w:vAlign w:val="bottom"/>
          </w:tcPr>
          <w:p>
            <w:pPr>
              <w:spacing w:after="0"/>
              <w:rPr>
                <w:sz w:val="20"/>
                <w:szCs w:val="20"/>
                <w:color w:val="auto"/>
              </w:rPr>
            </w:pPr>
          </w:p>
        </w:tc>
      </w:tr>
      <w:tr>
        <w:trPr>
          <w:trHeight w:val="311"/>
        </w:trPr>
        <w:tc>
          <w:tcPr>
            <w:tcW w:w="20" w:type="dxa"/>
            <w:vAlign w:val="bottom"/>
          </w:tcPr>
          <w:p>
            <w:pPr>
              <w:spacing w:after="0"/>
              <w:rPr>
                <w:sz w:val="24"/>
                <w:szCs w:val="24"/>
                <w:color w:val="auto"/>
              </w:rPr>
            </w:pPr>
          </w:p>
        </w:tc>
        <w:tc>
          <w:tcPr>
            <w:tcW w:w="1066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Part I - Financial Information</w:t>
            </w:r>
          </w:p>
        </w:tc>
        <w:tc>
          <w:tcPr>
            <w:tcW w:w="56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1.</w:t>
            </w:r>
          </w:p>
        </w:tc>
        <w:tc>
          <w:tcPr>
            <w:tcW w:w="60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95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Financial Statements</w:t>
            </w:r>
          </w:p>
        </w:tc>
        <w:tc>
          <w:tcPr>
            <w:tcW w:w="56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Balance Sheets - March 31, 2023 (unaudited) and June 30, 2022</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 Three and Nine Months ended March 31, 2023 and 2022 (unaudited)</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0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Shareholders’ Equity - Three and Nine Months ended March 31, 2023 and 2022 (unaudited)</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466"/>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 Nine Months ended March 31, 2023 and 2022 (unaudited)</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466"/>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4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1460" w:type="dxa"/>
            <w:vAlign w:val="bottom"/>
            <w:gridSpan w:val="2"/>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Item 2.</w:t>
            </w: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0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2120" w:type="dxa"/>
            <w:vAlign w:val="bottom"/>
            <w:tcBorders>
              <w:left w:val="single" w:sz="8" w:color="0000EE"/>
            </w:tcBorders>
            <w:gridSpan w:val="3"/>
            <w:shd w:val="clear" w:color="auto" w:fill="0000EE"/>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3.</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0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5160" w:type="dxa"/>
            <w:vAlign w:val="bottom"/>
            <w:tcBorders>
              <w:left w:val="single" w:sz="8" w:color="0000EE"/>
            </w:tcBorders>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4.</w:t>
            </w:r>
          </w:p>
        </w:tc>
        <w:tc>
          <w:tcPr>
            <w:tcW w:w="60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950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Controls and Procedures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16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1066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Part II - Other Information</w:t>
            </w:r>
          </w:p>
        </w:tc>
        <w:tc>
          <w:tcPr>
            <w:tcW w:w="56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16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1.</w:t>
            </w:r>
          </w:p>
        </w:tc>
        <w:tc>
          <w:tcPr>
            <w:tcW w:w="60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950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16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1A.</w:t>
            </w:r>
          </w:p>
        </w:tc>
        <w:tc>
          <w:tcPr>
            <w:tcW w:w="40" w:type="dxa"/>
            <w:vAlign w:val="bottom"/>
          </w:tcPr>
          <w:p>
            <w:pPr>
              <w:spacing w:after="0"/>
              <w:rPr>
                <w:sz w:val="24"/>
                <w:szCs w:val="24"/>
                <w:color w:val="auto"/>
              </w:rPr>
            </w:pPr>
          </w:p>
        </w:tc>
        <w:tc>
          <w:tcPr>
            <w:tcW w:w="95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16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2.</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516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3.</w:t>
            </w:r>
          </w:p>
        </w:tc>
        <w:tc>
          <w:tcPr>
            <w:tcW w:w="60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95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180" w:type="dxa"/>
            <w:vAlign w:val="bottom"/>
            <w:gridSpan w:val="8"/>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4.</w:t>
            </w:r>
          </w:p>
        </w:tc>
        <w:tc>
          <w:tcPr>
            <w:tcW w:w="600" w:type="dxa"/>
            <w:vAlign w:val="bottom"/>
            <w:gridSpan w:val="2"/>
          </w:tcPr>
          <w:p>
            <w:pPr>
              <w:spacing w:after="0"/>
              <w:rPr>
                <w:sz w:val="24"/>
                <w:szCs w:val="24"/>
                <w:color w:val="auto"/>
              </w:rPr>
            </w:pPr>
          </w:p>
        </w:tc>
        <w:tc>
          <w:tcPr>
            <w:tcW w:w="95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466"/>
        </w:trPr>
        <w:tc>
          <w:tcPr>
            <w:tcW w:w="20" w:type="dxa"/>
            <w:vAlign w:val="bottom"/>
          </w:tcPr>
          <w:p>
            <w:pPr>
              <w:spacing w:after="0"/>
              <w:rPr>
                <w:sz w:val="24"/>
                <w:szCs w:val="24"/>
                <w:color w:val="auto"/>
              </w:rPr>
            </w:pPr>
          </w:p>
        </w:tc>
        <w:tc>
          <w:tcPr>
            <w:tcW w:w="5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5.</w:t>
            </w:r>
          </w:p>
        </w:tc>
        <w:tc>
          <w:tcPr>
            <w:tcW w:w="600" w:type="dxa"/>
            <w:vAlign w:val="bottom"/>
            <w:gridSpan w:val="2"/>
          </w:tcPr>
          <w:p>
            <w:pPr>
              <w:spacing w:after="0"/>
              <w:rPr>
                <w:sz w:val="24"/>
                <w:szCs w:val="24"/>
                <w:color w:val="auto"/>
              </w:rPr>
            </w:pPr>
          </w:p>
        </w:tc>
        <w:tc>
          <w:tcPr>
            <w:tcW w:w="180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740" w:type="dxa"/>
            <w:vAlign w:val="bottom"/>
            <w:gridSpan w:val="9"/>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466"/>
        </w:trPr>
        <w:tc>
          <w:tcPr>
            <w:tcW w:w="20" w:type="dxa"/>
            <w:vAlign w:val="bottom"/>
          </w:tcPr>
          <w:p>
            <w:pPr>
              <w:spacing w:after="0"/>
              <w:rPr>
                <w:sz w:val="24"/>
                <w:szCs w:val="24"/>
                <w:color w:val="auto"/>
              </w:rPr>
            </w:pPr>
          </w:p>
        </w:tc>
        <w:tc>
          <w:tcPr>
            <w:tcW w:w="5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EE"/>
                <w:w w:val="97"/>
              </w:rPr>
              <w:t>Item 6.</w:t>
            </w:r>
          </w:p>
        </w:tc>
        <w:tc>
          <w:tcPr>
            <w:tcW w:w="600" w:type="dxa"/>
            <w:vAlign w:val="bottom"/>
            <w:gridSpan w:val="2"/>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32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EE"/>
              </w:rPr>
              <w:t>Exhibits</w:t>
            </w:r>
          </w:p>
        </w:tc>
        <w:tc>
          <w:tcPr>
            <w:tcW w:w="8180" w:type="dxa"/>
            <w:vAlign w:val="bottom"/>
            <w:gridSpan w:val="10"/>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740" w:type="dxa"/>
            <w:vAlign w:val="bottom"/>
            <w:gridSpan w:val="1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0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1229"/>
        </w:trPr>
        <w:tc>
          <w:tcPr>
            <w:tcW w:w="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top w:val="single" w:sz="8" w:color="0000EE"/>
              <w:bottom w:val="single" w:sz="8" w:color="9A9A9A"/>
            </w:tcBorders>
          </w:tcPr>
          <w:p>
            <w:pPr>
              <w:spacing w:after="0"/>
              <w:rPr>
                <w:sz w:val="24"/>
                <w:szCs w:val="24"/>
                <w:color w:val="auto"/>
              </w:rPr>
            </w:pPr>
          </w:p>
        </w:tc>
        <w:tc>
          <w:tcPr>
            <w:tcW w:w="500" w:type="dxa"/>
            <w:vAlign w:val="bottom"/>
            <w:tcBorders>
              <w:top w:val="single" w:sz="8" w:color="0000EE"/>
              <w:bottom w:val="single" w:sz="8" w:color="9A9A9A"/>
            </w:tcBorders>
          </w:tcPr>
          <w:p>
            <w:pPr>
              <w:spacing w:after="0"/>
              <w:rPr>
                <w:sz w:val="24"/>
                <w:szCs w:val="24"/>
                <w:color w:val="auto"/>
              </w:rPr>
            </w:pPr>
          </w:p>
        </w:tc>
        <w:tc>
          <w:tcPr>
            <w:tcW w:w="160" w:type="dxa"/>
            <w:vAlign w:val="bottom"/>
            <w:tcBorders>
              <w:top w:val="single" w:sz="8" w:color="0000EE"/>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Cantaloupe,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260" w:type="dxa"/>
            <w:vAlign w:val="bottom"/>
          </w:tcPr>
          <w:p>
            <w:pPr>
              <w:spacing w:after="0"/>
              <w:rPr>
                <w:sz w:val="15"/>
                <w:szCs w:val="15"/>
                <w:color w:val="auto"/>
              </w:rPr>
            </w:pPr>
          </w:p>
        </w:tc>
        <w:tc>
          <w:tcPr>
            <w:tcW w:w="106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90"/>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 except share data)</w:t>
            </w:r>
          </w:p>
        </w:tc>
        <w:tc>
          <w:tcPr>
            <w:tcW w:w="16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60" w:type="dxa"/>
            <w:vAlign w:val="bottom"/>
          </w:tcPr>
          <w:p>
            <w:pPr>
              <w:spacing w:after="0"/>
              <w:rPr>
                <w:sz w:val="16"/>
                <w:szCs w:val="16"/>
                <w:color w:val="auto"/>
              </w:rPr>
            </w:pPr>
          </w:p>
        </w:tc>
        <w:tc>
          <w:tcPr>
            <w:tcW w:w="106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8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34"/>
        </w:trPr>
        <w:tc>
          <w:tcPr>
            <w:tcW w:w="8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8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46,676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68,125</w:t>
            </w:r>
          </w:p>
        </w:tc>
      </w:tr>
      <w:tr>
        <w:trPr>
          <w:trHeight w:val="243"/>
        </w:trPr>
        <w:tc>
          <w:tcPr>
            <w:tcW w:w="8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29,219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37,695</w:t>
            </w:r>
          </w:p>
        </w:tc>
      </w:tr>
      <w:tr>
        <w:trPr>
          <w:trHeight w:val="27"/>
        </w:trPr>
        <w:tc>
          <w:tcPr>
            <w:tcW w:w="8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receivables, net</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6,721</w:t>
            </w:r>
          </w:p>
        </w:tc>
      </w:tr>
      <w:tr>
        <w:trPr>
          <w:trHeight w:val="243"/>
        </w:trPr>
        <w:tc>
          <w:tcPr>
            <w:tcW w:w="8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Inventory, net</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29,837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19,754</w:t>
            </w:r>
          </w:p>
        </w:tc>
      </w:tr>
      <w:tr>
        <w:trPr>
          <w:trHeight w:val="27"/>
        </w:trPr>
        <w:tc>
          <w:tcPr>
            <w:tcW w:w="8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4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4,285</w:t>
            </w:r>
          </w:p>
        </w:tc>
      </w:tr>
      <w:tr>
        <w:trPr>
          <w:trHeight w:val="237"/>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118,244</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136,580</w:t>
            </w:r>
          </w:p>
        </w:tc>
      </w:tr>
      <w:tr>
        <w:trPr>
          <w:trHeight w:val="27"/>
        </w:trPr>
        <w:tc>
          <w:tcPr>
            <w:tcW w:w="8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16"/>
        </w:trPr>
        <w:tc>
          <w:tcPr>
            <w:tcW w:w="8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43"/>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8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receivables due after one year, net</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14,727</w:t>
            </w:r>
          </w:p>
        </w:tc>
      </w:tr>
      <w:tr>
        <w:trPr>
          <w:trHeight w:val="243"/>
        </w:trPr>
        <w:tc>
          <w:tcPr>
            <w:tcW w:w="8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22,790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12,784</w:t>
            </w:r>
          </w:p>
        </w:tc>
      </w:tr>
      <w:tr>
        <w:trPr>
          <w:trHeight w:val="27"/>
        </w:trPr>
        <w:tc>
          <w:tcPr>
            <w:tcW w:w="8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2,370</w:t>
            </w:r>
          </w:p>
        </w:tc>
      </w:tr>
      <w:tr>
        <w:trPr>
          <w:trHeight w:val="243"/>
        </w:trPr>
        <w:tc>
          <w:tcPr>
            <w:tcW w:w="8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Intangibles, net</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27,817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17,947</w:t>
            </w:r>
          </w:p>
        </w:tc>
      </w:tr>
      <w:tr>
        <w:trPr>
          <w:trHeight w:val="27"/>
        </w:trPr>
        <w:tc>
          <w:tcPr>
            <w:tcW w:w="8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92,772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66,656</w:t>
            </w:r>
          </w:p>
        </w:tc>
      </w:tr>
      <w:tr>
        <w:trPr>
          <w:trHeight w:val="243"/>
        </w:trPr>
        <w:tc>
          <w:tcPr>
            <w:tcW w:w="8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4,568</w:t>
            </w:r>
          </w:p>
        </w:tc>
      </w:tr>
      <w:tr>
        <w:trPr>
          <w:trHeight w:val="27"/>
        </w:trPr>
        <w:tc>
          <w:tcPr>
            <w:tcW w:w="8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non-current assets</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164,852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119,052</w:t>
            </w:r>
          </w:p>
        </w:tc>
      </w:tr>
      <w:tr>
        <w:trPr>
          <w:trHeight w:val="54"/>
        </w:trPr>
        <w:tc>
          <w:tcPr>
            <w:tcW w:w="838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89"/>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283,096</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255,632</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8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50"/>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convertible preferred stock, and shareholders’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8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51,019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48,440</w:t>
            </w:r>
          </w:p>
        </w:tc>
      </w:tr>
      <w:tr>
        <w:trPr>
          <w:trHeight w:val="243"/>
        </w:trPr>
        <w:tc>
          <w:tcPr>
            <w:tcW w:w="8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25,732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28,154</w:t>
            </w:r>
          </w:p>
        </w:tc>
      </w:tr>
      <w:tr>
        <w:trPr>
          <w:trHeight w:val="27"/>
        </w:trPr>
        <w:tc>
          <w:tcPr>
            <w:tcW w:w="8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obligations under long-term debt</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w:t>
            </w:r>
          </w:p>
        </w:tc>
      </w:tr>
      <w:tr>
        <w:trPr>
          <w:trHeight w:val="243"/>
        </w:trPr>
        <w:tc>
          <w:tcPr>
            <w:tcW w:w="8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1,893</w:t>
            </w:r>
          </w:p>
        </w:tc>
      </w:tr>
      <w:tr>
        <w:trPr>
          <w:trHeight w:val="27"/>
        </w:trPr>
        <w:tc>
          <w:tcPr>
            <w:tcW w:w="8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79,432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79,179</w:t>
            </w:r>
          </w:p>
        </w:tc>
      </w:tr>
      <w:tr>
        <w:trPr>
          <w:trHeight w:val="216"/>
        </w:trPr>
        <w:tc>
          <w:tcPr>
            <w:tcW w:w="8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50"/>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Deferred income taxes</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7"/>
        </w:trPr>
        <w:tc>
          <w:tcPr>
            <w:tcW w:w="8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38,314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13,930</w:t>
            </w:r>
          </w:p>
        </w:tc>
      </w:tr>
      <w:tr>
        <w:trPr>
          <w:trHeight w:val="243"/>
        </w:trPr>
        <w:tc>
          <w:tcPr>
            <w:tcW w:w="8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2,366</w:t>
            </w:r>
          </w:p>
        </w:tc>
      </w:tr>
      <w:tr>
        <w:trPr>
          <w:trHeight w:val="27"/>
        </w:trPr>
        <w:tc>
          <w:tcPr>
            <w:tcW w:w="8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41,213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16,482</w:t>
            </w:r>
          </w:p>
        </w:tc>
      </w:tr>
      <w:tr>
        <w:trPr>
          <w:trHeight w:val="54"/>
        </w:trPr>
        <w:tc>
          <w:tcPr>
            <w:tcW w:w="838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64"/>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120,645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95,661</w:t>
            </w:r>
          </w:p>
        </w:tc>
      </w:tr>
      <w:tr>
        <w:trPr>
          <w:trHeight w:val="223"/>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14)</w:t>
            </w: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r>
      <w:tr>
        <w:trPr>
          <w:trHeight w:val="27"/>
        </w:trPr>
        <w:tc>
          <w:tcPr>
            <w:tcW w:w="8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Convertible preferred stock:</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25"/>
        </w:trPr>
        <w:tc>
          <w:tcPr>
            <w:tcW w:w="8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Series A convertible preferred stock, 900,000 shares authorized, 385,782 and 445,063 issued and outstanding,</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4"/>
        </w:trPr>
        <w:tc>
          <w:tcPr>
            <w:tcW w:w="8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with liquidation preferences of $22,144 and $22,115 at March 31, 2023 and June 30, 2022, respectively</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3,138</w:t>
            </w:r>
          </w:p>
        </w:tc>
      </w:tr>
      <w:tr>
        <w:trPr>
          <w:trHeight w:val="27"/>
        </w:trPr>
        <w:tc>
          <w:tcPr>
            <w:tcW w:w="8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25"/>
        </w:trPr>
        <w:tc>
          <w:tcPr>
            <w:tcW w:w="8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Common stock, no par value, 640,000,000 shares authorized, 72,509,261 and 71,188,053 shares issued and</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4"/>
        </w:trPr>
        <w:tc>
          <w:tcPr>
            <w:tcW w:w="8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outstanding at March 31, 2023 and June 30, 2022, respectively</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475,015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469,918</w:t>
            </w:r>
          </w:p>
        </w:tc>
      </w:tr>
      <w:tr>
        <w:trPr>
          <w:trHeight w:val="27"/>
        </w:trPr>
        <w:tc>
          <w:tcPr>
            <w:tcW w:w="8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4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(315,284)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(313,085)</w:t>
            </w:r>
          </w:p>
        </w:tc>
      </w:tr>
      <w:tr>
        <w:trPr>
          <w:trHeight w:val="236"/>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159,731</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156,833</w:t>
            </w:r>
          </w:p>
        </w:tc>
      </w:tr>
      <w:tr>
        <w:trPr>
          <w:trHeight w:val="27"/>
        </w:trPr>
        <w:tc>
          <w:tcPr>
            <w:tcW w:w="8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88"/>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convertible preferred stock, and shareholders’ equity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283,096</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255,632</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ectPr>
          <w:pgSz w:w="11900" w:h="16838" w:orient="portrait"/>
          <w:cols w:equalWidth="0" w:num="1">
            <w:col w:w="11240"/>
          </w:cols>
          <w:pgMar w:left="320" w:top="121" w:right="339" w:bottom="551"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551"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Cantaloupe,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6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6"/>
                <w:szCs w:val="16"/>
                <w:color w:val="auto"/>
              </w:rPr>
            </w:pPr>
          </w:p>
        </w:tc>
        <w:tc>
          <w:tcPr>
            <w:tcW w:w="2480" w:type="dxa"/>
            <w:vAlign w:val="bottom"/>
            <w:gridSpan w:val="4"/>
          </w:tcPr>
          <w:p>
            <w:pPr>
              <w:jc w:val="right"/>
              <w:ind w:right="69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29"/>
        </w:trPr>
        <w:tc>
          <w:tcPr>
            <w:tcW w:w="5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5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 except share and per share data)</w:t>
            </w:r>
          </w:p>
        </w:tc>
        <w:tc>
          <w:tcPr>
            <w:tcW w:w="2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6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37"/>
        </w:trPr>
        <w:tc>
          <w:tcPr>
            <w:tcW w:w="5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Subscription and transaction fees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51,245</w:t>
            </w:r>
          </w:p>
        </w:tc>
        <w:tc>
          <w:tcPr>
            <w:tcW w:w="100" w:type="dxa"/>
            <w:vAlign w:val="bottom"/>
          </w:tcPr>
          <w:p>
            <w:pPr>
              <w:spacing w:after="0"/>
              <w:rPr>
                <w:sz w:val="23"/>
                <w:szCs w:val="23"/>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42,143</w:t>
            </w:r>
          </w:p>
        </w:tc>
        <w:tc>
          <w:tcPr>
            <w:tcW w:w="10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147,252</w:t>
            </w:r>
          </w:p>
        </w:tc>
        <w:tc>
          <w:tcPr>
            <w:tcW w:w="8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123,956</w:t>
            </w:r>
          </w:p>
        </w:tc>
        <w:tc>
          <w:tcPr>
            <w:tcW w:w="0" w:type="dxa"/>
            <w:vAlign w:val="bottom"/>
          </w:tcPr>
          <w:p>
            <w:pPr>
              <w:spacing w:after="0"/>
              <w:rPr>
                <w:sz w:val="1"/>
                <w:szCs w:val="1"/>
                <w:color w:val="auto"/>
              </w:rPr>
            </w:pPr>
          </w:p>
        </w:tc>
      </w:tr>
      <w:tr>
        <w:trPr>
          <w:trHeight w:val="270"/>
        </w:trPr>
        <w:tc>
          <w:tcPr>
            <w:tcW w:w="5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Equipment sales</w:t>
            </w:r>
          </w:p>
        </w:tc>
        <w:tc>
          <w:tcPr>
            <w:tcW w:w="2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9,111</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8,157</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32,216</w:t>
            </w:r>
          </w:p>
        </w:tc>
        <w:tc>
          <w:tcPr>
            <w:tcW w:w="8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23,215</w:t>
            </w:r>
          </w:p>
        </w:tc>
        <w:tc>
          <w:tcPr>
            <w:tcW w:w="0" w:type="dxa"/>
            <w:vAlign w:val="bottom"/>
          </w:tcPr>
          <w:p>
            <w:pPr>
              <w:spacing w:after="0"/>
              <w:rPr>
                <w:sz w:val="1"/>
                <w:szCs w:val="1"/>
                <w:color w:val="auto"/>
              </w:rPr>
            </w:pPr>
          </w:p>
        </w:tc>
      </w:tr>
      <w:tr>
        <w:trPr>
          <w:trHeight w:val="250"/>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179,468</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147,171</w:t>
            </w:r>
          </w:p>
        </w:tc>
        <w:tc>
          <w:tcPr>
            <w:tcW w:w="0" w:type="dxa"/>
            <w:vAlign w:val="bottom"/>
          </w:tcPr>
          <w:p>
            <w:pPr>
              <w:spacing w:after="0"/>
              <w:rPr>
                <w:sz w:val="1"/>
                <w:szCs w:val="1"/>
                <w:color w:val="auto"/>
              </w:rPr>
            </w:pPr>
          </w:p>
        </w:tc>
      </w:tr>
      <w:tr>
        <w:trPr>
          <w:trHeight w:val="148"/>
        </w:trPr>
        <w:tc>
          <w:tcPr>
            <w:tcW w:w="5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Costs of sales:</w:t>
            </w: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subscription and transaction fees</w:t>
            </w:r>
          </w:p>
        </w:tc>
        <w:tc>
          <w:tcPr>
            <w:tcW w:w="26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29,577</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25,291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90,149</w:t>
            </w: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76,234</w:t>
            </w:r>
          </w:p>
        </w:tc>
        <w:tc>
          <w:tcPr>
            <w:tcW w:w="0" w:type="dxa"/>
            <w:vAlign w:val="bottom"/>
          </w:tcPr>
          <w:p>
            <w:pPr>
              <w:spacing w:after="0"/>
              <w:rPr>
                <w:sz w:val="1"/>
                <w:szCs w:val="1"/>
                <w:color w:val="auto"/>
              </w:rPr>
            </w:pPr>
          </w:p>
        </w:tc>
      </w:tr>
      <w:tr>
        <w:trPr>
          <w:trHeight w:val="270"/>
        </w:trPr>
        <w:tc>
          <w:tcPr>
            <w:tcW w:w="56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Cost of equipment sales</w:t>
            </w:r>
          </w:p>
        </w:tc>
        <w:tc>
          <w:tcPr>
            <w:tcW w:w="2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7,886</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8,809</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33,823</w:t>
            </w:r>
          </w:p>
        </w:tc>
        <w:tc>
          <w:tcPr>
            <w:tcW w:w="8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23,871</w:t>
            </w:r>
          </w:p>
        </w:tc>
        <w:tc>
          <w:tcPr>
            <w:tcW w:w="0" w:type="dxa"/>
            <w:vAlign w:val="bottom"/>
          </w:tcPr>
          <w:p>
            <w:pPr>
              <w:spacing w:after="0"/>
              <w:rPr>
                <w:sz w:val="1"/>
                <w:szCs w:val="1"/>
                <w:color w:val="auto"/>
              </w:rPr>
            </w:pPr>
          </w:p>
        </w:tc>
      </w:tr>
      <w:tr>
        <w:trPr>
          <w:trHeight w:val="250"/>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costs of sales</w:t>
            </w:r>
          </w:p>
        </w:tc>
        <w:tc>
          <w:tcPr>
            <w:tcW w:w="2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37,463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34,100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123,972</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100,105</w:t>
            </w:r>
          </w:p>
        </w:tc>
        <w:tc>
          <w:tcPr>
            <w:tcW w:w="0" w:type="dxa"/>
            <w:vAlign w:val="bottom"/>
          </w:tcPr>
          <w:p>
            <w:pPr>
              <w:spacing w:after="0"/>
              <w:rPr>
                <w:sz w:val="1"/>
                <w:szCs w:val="1"/>
                <w:color w:val="auto"/>
              </w:rPr>
            </w:pPr>
          </w:p>
        </w:tc>
      </w:tr>
      <w:tr>
        <w:trPr>
          <w:trHeight w:val="148"/>
        </w:trPr>
        <w:tc>
          <w:tcPr>
            <w:tcW w:w="55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22,893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55,496</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47,066</w:t>
            </w:r>
          </w:p>
        </w:tc>
        <w:tc>
          <w:tcPr>
            <w:tcW w:w="0" w:type="dxa"/>
            <w:vAlign w:val="bottom"/>
          </w:tcPr>
          <w:p>
            <w:pPr>
              <w:spacing w:after="0"/>
              <w:rPr>
                <w:sz w:val="1"/>
                <w:szCs w:val="1"/>
                <w:color w:val="auto"/>
              </w:rPr>
            </w:pPr>
          </w:p>
        </w:tc>
      </w:tr>
      <w:tr>
        <w:trPr>
          <w:trHeight w:val="149"/>
        </w:trPr>
        <w:tc>
          <w:tcPr>
            <w:tcW w:w="5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5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2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8,888</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6,021</w:t>
            </w:r>
          </w:p>
        </w:tc>
        <w:tc>
          <w:tcPr>
            <w:tcW w:w="0" w:type="dxa"/>
            <w:vAlign w:val="bottom"/>
          </w:tcPr>
          <w:p>
            <w:pPr>
              <w:spacing w:after="0"/>
              <w:rPr>
                <w:sz w:val="1"/>
                <w:szCs w:val="1"/>
                <w:color w:val="auto"/>
              </w:rPr>
            </w:pPr>
          </w:p>
        </w:tc>
      </w:tr>
      <w:tr>
        <w:trPr>
          <w:trHeight w:val="270"/>
        </w:trPr>
        <w:tc>
          <w:tcPr>
            <w:tcW w:w="5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Technology and product development</w:t>
            </w:r>
          </w:p>
        </w:tc>
        <w:tc>
          <w:tcPr>
            <w:tcW w:w="26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4,594</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16,757</w:t>
            </w: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16,701</w:t>
            </w:r>
          </w:p>
        </w:tc>
        <w:tc>
          <w:tcPr>
            <w:tcW w:w="0" w:type="dxa"/>
            <w:vAlign w:val="bottom"/>
          </w:tcPr>
          <w:p>
            <w:pPr>
              <w:spacing w:after="0"/>
              <w:rPr>
                <w:sz w:val="1"/>
                <w:szCs w:val="1"/>
                <w:color w:val="auto"/>
              </w:rPr>
            </w:pPr>
          </w:p>
        </w:tc>
      </w:tr>
      <w:tr>
        <w:trPr>
          <w:trHeight w:val="270"/>
        </w:trPr>
        <w:tc>
          <w:tcPr>
            <w:tcW w:w="5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25,179</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21,724</w:t>
            </w:r>
          </w:p>
        </w:tc>
        <w:tc>
          <w:tcPr>
            <w:tcW w:w="0" w:type="dxa"/>
            <w:vAlign w:val="bottom"/>
          </w:tcPr>
          <w:p>
            <w:pPr>
              <w:spacing w:after="0"/>
              <w:rPr>
                <w:sz w:val="1"/>
                <w:szCs w:val="1"/>
                <w:color w:val="auto"/>
              </w:rPr>
            </w:pPr>
          </w:p>
        </w:tc>
      </w:tr>
      <w:tr>
        <w:trPr>
          <w:trHeight w:val="225"/>
        </w:trPr>
        <w:tc>
          <w:tcPr>
            <w:tcW w:w="5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Investigation, proxy solicitation and restatement expenses, net of</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5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insurance recoveries</w:t>
            </w:r>
          </w:p>
        </w:tc>
        <w:tc>
          <w:tcPr>
            <w:tcW w:w="26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Integration and acquisition expenses</w:t>
            </w:r>
          </w:p>
        </w:tc>
        <w:tc>
          <w:tcPr>
            <w:tcW w:w="260" w:type="dxa"/>
            <w:vAlign w:val="bottom"/>
          </w:tcPr>
          <w:p>
            <w:pPr>
              <w:spacing w:after="0"/>
              <w:rPr>
                <w:sz w:val="23"/>
                <w:szCs w:val="23"/>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3"/>
                <w:szCs w:val="23"/>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2,787</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5,029</w:t>
            </w:r>
          </w:p>
        </w:tc>
        <w:tc>
          <w:tcPr>
            <w:tcW w:w="8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3,197</w:t>
            </w:r>
          </w:p>
        </w:tc>
        <w:tc>
          <w:tcPr>
            <w:tcW w:w="0" w:type="dxa"/>
            <w:vAlign w:val="bottom"/>
          </w:tcPr>
          <w:p>
            <w:pPr>
              <w:spacing w:after="0"/>
              <w:rPr>
                <w:sz w:val="1"/>
                <w:szCs w:val="1"/>
                <w:color w:val="auto"/>
              </w:rPr>
            </w:pPr>
          </w:p>
        </w:tc>
      </w:tr>
      <w:tr>
        <w:trPr>
          <w:trHeight w:val="250"/>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15,319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58,187</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47,643</w:t>
            </w:r>
          </w:p>
        </w:tc>
        <w:tc>
          <w:tcPr>
            <w:tcW w:w="0" w:type="dxa"/>
            <w:vAlign w:val="bottom"/>
          </w:tcPr>
          <w:p>
            <w:pPr>
              <w:spacing w:after="0"/>
              <w:rPr>
                <w:sz w:val="1"/>
                <w:szCs w:val="1"/>
                <w:color w:val="auto"/>
              </w:rPr>
            </w:pPr>
          </w:p>
        </w:tc>
      </w:tr>
      <w:tr>
        <w:trPr>
          <w:trHeight w:val="162"/>
        </w:trPr>
        <w:tc>
          <w:tcPr>
            <w:tcW w:w="5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56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2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6,740</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(2,691)</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0" w:type="dxa"/>
            <w:vAlign w:val="bottom"/>
          </w:tcPr>
          <w:p>
            <w:pPr>
              <w:spacing w:after="0"/>
              <w:rPr>
                <w:sz w:val="1"/>
                <w:szCs w:val="1"/>
                <w:color w:val="auto"/>
              </w:rPr>
            </w:pPr>
          </w:p>
        </w:tc>
      </w:tr>
      <w:tr>
        <w:trPr>
          <w:trHeight w:val="128"/>
        </w:trPr>
        <w:tc>
          <w:tcPr>
            <w:tcW w:w="5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income from leases</w:t>
            </w:r>
          </w:p>
        </w:tc>
        <w:tc>
          <w:tcPr>
            <w:tcW w:w="26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w:t>
            </w: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0" w:type="dxa"/>
            <w:vAlign w:val="bottom"/>
          </w:tcPr>
          <w:p>
            <w:pPr>
              <w:spacing w:after="0"/>
              <w:rPr>
                <w:sz w:val="1"/>
                <w:szCs w:val="1"/>
                <w:color w:val="auto"/>
              </w:rPr>
            </w:pPr>
          </w:p>
        </w:tc>
      </w:tr>
      <w:tr>
        <w:trPr>
          <w:trHeight w:val="270"/>
        </w:trPr>
        <w:tc>
          <w:tcPr>
            <w:tcW w:w="5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2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70"/>
        </w:trPr>
        <w:tc>
          <w:tcPr>
            <w:tcW w:w="5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expense</w:t>
            </w:r>
          </w:p>
        </w:tc>
        <w:tc>
          <w:tcPr>
            <w:tcW w:w="2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8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50"/>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other income</w:t>
            </w: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0" w:type="dxa"/>
            <w:vAlign w:val="bottom"/>
          </w:tcPr>
          <w:p>
            <w:pPr>
              <w:spacing w:after="0"/>
              <w:rPr>
                <w:sz w:val="1"/>
                <w:szCs w:val="1"/>
                <w:color w:val="auto"/>
              </w:rPr>
            </w:pPr>
          </w:p>
        </w:tc>
      </w:tr>
      <w:tr>
        <w:trPr>
          <w:trHeight w:val="162"/>
        </w:trPr>
        <w:tc>
          <w:tcPr>
            <w:tcW w:w="5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(2,076)</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0" w:type="dxa"/>
            <w:vAlign w:val="bottom"/>
          </w:tcPr>
          <w:p>
            <w:pPr>
              <w:spacing w:after="0"/>
              <w:rPr>
                <w:sz w:val="1"/>
                <w:szCs w:val="1"/>
                <w:color w:val="auto"/>
              </w:rPr>
            </w:pPr>
          </w:p>
        </w:tc>
      </w:tr>
      <w:tr>
        <w:trPr>
          <w:trHeight w:val="270"/>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8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129"/>
        </w:trPr>
        <w:tc>
          <w:tcPr>
            <w:tcW w:w="5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6,948</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(2,199)</w:t>
            </w: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0" w:type="dxa"/>
            <w:vAlign w:val="bottom"/>
          </w:tcPr>
          <w:p>
            <w:pPr>
              <w:spacing w:after="0"/>
              <w:rPr>
                <w:sz w:val="1"/>
                <w:szCs w:val="1"/>
                <w:color w:val="auto"/>
              </w:rPr>
            </w:pPr>
          </w:p>
        </w:tc>
      </w:tr>
      <w:tr>
        <w:trPr>
          <w:trHeight w:val="270"/>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Preferred dividends</w:t>
            </w:r>
          </w:p>
        </w:tc>
        <w:tc>
          <w:tcPr>
            <w:tcW w:w="2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0" w:type="dxa"/>
            <w:vAlign w:val="bottom"/>
          </w:tcPr>
          <w:p>
            <w:pPr>
              <w:spacing w:after="0"/>
              <w:rPr>
                <w:sz w:val="1"/>
                <w:szCs w:val="1"/>
                <w:color w:val="auto"/>
              </w:rPr>
            </w:pPr>
          </w:p>
        </w:tc>
      </w:tr>
      <w:tr>
        <w:trPr>
          <w:trHeight w:val="268"/>
        </w:trPr>
        <w:tc>
          <w:tcPr>
            <w:tcW w:w="5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applicable to common shares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(2,822)</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5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5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(loss) per common share</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Basic and diluted</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tcPr>
          <w:p>
            <w:pPr>
              <w:spacing w:after="0"/>
              <w:rPr>
                <w:sz w:val="23"/>
                <w:szCs w:val="23"/>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8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49"/>
        </w:trPr>
        <w:tc>
          <w:tcPr>
            <w:tcW w:w="5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5"/>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number of common shares outstanding used to compute</w:t>
            </w: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earnings (loss) per share applicable to common shares</w:t>
            </w: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72,491,373</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71,083,044</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71,771,135</w:t>
            </w: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71,076,022</w:t>
            </w:r>
          </w:p>
        </w:tc>
        <w:tc>
          <w:tcPr>
            <w:tcW w:w="0" w:type="dxa"/>
            <w:vAlign w:val="bottom"/>
          </w:tcPr>
          <w:p>
            <w:pPr>
              <w:spacing w:after="0"/>
              <w:rPr>
                <w:sz w:val="1"/>
                <w:szCs w:val="1"/>
                <w:color w:val="auto"/>
              </w:rPr>
            </w:pPr>
          </w:p>
        </w:tc>
      </w:tr>
      <w:tr>
        <w:trPr>
          <w:trHeight w:val="270"/>
        </w:trPr>
        <w:tc>
          <w:tcPr>
            <w:tcW w:w="5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72,866,221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71,486,718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71,771,135</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71,076,022</w:t>
            </w:r>
          </w:p>
        </w:tc>
        <w:tc>
          <w:tcPr>
            <w:tcW w:w="0" w:type="dxa"/>
            <w:vAlign w:val="bottom"/>
          </w:tcPr>
          <w:p>
            <w:pPr>
              <w:spacing w:after="0"/>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Cantaloupe,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Nine Month Period Ended March 31, 2023</w:t>
      </w: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60" w:type="dxa"/>
            <w:vAlign w:val="bottom"/>
            <w:gridSpan w:val="5"/>
          </w:tcPr>
          <w:p>
            <w:pPr>
              <w:ind w:left="9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80" w:type="dxa"/>
            <w:vAlign w:val="bottom"/>
          </w:tcPr>
          <w:p>
            <w:pPr>
              <w:spacing w:after="0"/>
              <w:rPr>
                <w:sz w:val="16"/>
                <w:szCs w:val="16"/>
                <w:color w:val="auto"/>
              </w:rPr>
            </w:pPr>
          </w:p>
        </w:tc>
        <w:tc>
          <w:tcPr>
            <w:tcW w:w="12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84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 except share data)</w:t>
            </w: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20" w:type="dxa"/>
            <w:vAlign w:val="bottom"/>
          </w:tcPr>
          <w:p>
            <w:pPr>
              <w:spacing w:after="0"/>
              <w:rPr>
                <w:sz w:val="16"/>
                <w:szCs w:val="16"/>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300" w:type="dxa"/>
            <w:vAlign w:val="bottom"/>
          </w:tcPr>
          <w:p>
            <w:pPr>
              <w:spacing w:after="0"/>
              <w:rPr>
                <w:sz w:val="16"/>
                <w:szCs w:val="16"/>
                <w:color w:val="auto"/>
              </w:rPr>
            </w:pPr>
          </w:p>
        </w:tc>
        <w:tc>
          <w:tcPr>
            <w:tcW w:w="102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7"/>
        </w:trPr>
        <w:tc>
          <w:tcPr>
            <w:tcW w:w="384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June 30, 2022</w:t>
            </w:r>
          </w:p>
        </w:tc>
        <w:tc>
          <w:tcPr>
            <w:tcW w:w="30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71,188,053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469,918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(313,085)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156,833</w:t>
            </w:r>
          </w:p>
        </w:tc>
        <w:tc>
          <w:tcPr>
            <w:tcW w:w="0" w:type="dxa"/>
            <w:vAlign w:val="bottom"/>
          </w:tcPr>
          <w:p>
            <w:pPr>
              <w:spacing w:after="0"/>
              <w:rPr>
                <w:sz w:val="1"/>
                <w:szCs w:val="1"/>
                <w:color w:val="auto"/>
              </w:rPr>
            </w:pPr>
          </w:p>
        </w:tc>
      </w:tr>
      <w:tr>
        <w:trPr>
          <w:trHeight w:val="243"/>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and exercises (net)</w:t>
            </w:r>
          </w:p>
        </w:tc>
        <w:tc>
          <w:tcPr>
            <w:tcW w:w="3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30,077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 of Series A convertible preferred stock</w:t>
            </w: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w:t>
            </w:r>
          </w:p>
        </w:tc>
        <w:tc>
          <w:tcPr>
            <w:tcW w:w="0" w:type="dxa"/>
            <w:vAlign w:val="bottom"/>
          </w:tcPr>
          <w:p>
            <w:pPr>
              <w:spacing w:after="0"/>
              <w:rPr>
                <w:sz w:val="1"/>
                <w:szCs w:val="1"/>
                <w:color w:val="auto"/>
              </w:rPr>
            </w:pPr>
          </w:p>
        </w:tc>
      </w:tr>
      <w:tr>
        <w:trPr>
          <w:trHeight w:val="243"/>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(8,574)</w:t>
            </w:r>
          </w:p>
        </w:tc>
        <w:tc>
          <w:tcPr>
            <w:tcW w:w="0" w:type="dxa"/>
            <w:vAlign w:val="bottom"/>
          </w:tcPr>
          <w:p>
            <w:pPr>
              <w:spacing w:after="0"/>
              <w:rPr>
                <w:sz w:val="1"/>
                <w:szCs w:val="1"/>
                <w:color w:val="auto"/>
              </w:rPr>
            </w:pPr>
          </w:p>
        </w:tc>
      </w:tr>
      <w:tr>
        <w:trPr>
          <w:trHeight w:val="27"/>
        </w:trPr>
        <w:tc>
          <w:tcPr>
            <w:tcW w:w="384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September 30, 2022</w:t>
            </w:r>
          </w:p>
        </w:tc>
        <w:tc>
          <w:tcPr>
            <w:tcW w:w="3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71,218,130</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469,503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(321,659)</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147,844</w:t>
            </w:r>
          </w:p>
        </w:tc>
        <w:tc>
          <w:tcPr>
            <w:tcW w:w="0" w:type="dxa"/>
            <w:vAlign w:val="bottom"/>
          </w:tcPr>
          <w:p>
            <w:pPr>
              <w:spacing w:after="0"/>
              <w:rPr>
                <w:sz w:val="1"/>
                <w:szCs w:val="1"/>
                <w:color w:val="auto"/>
              </w:rPr>
            </w:pPr>
          </w:p>
        </w:tc>
      </w:tr>
      <w:tr>
        <w:trPr>
          <w:trHeight w:val="270"/>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and exercises (net)</w:t>
            </w:r>
          </w:p>
        </w:tc>
        <w:tc>
          <w:tcPr>
            <w:tcW w:w="3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3,919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70"/>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issued for acquisition</w:t>
            </w:r>
          </w:p>
        </w:tc>
        <w:tc>
          <w:tcPr>
            <w:tcW w:w="3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1,240,920</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3,942</w:t>
            </w:r>
          </w:p>
        </w:tc>
        <w:tc>
          <w:tcPr>
            <w:tcW w:w="0" w:type="dxa"/>
            <w:vAlign w:val="bottom"/>
          </w:tcPr>
          <w:p>
            <w:pPr>
              <w:spacing w:after="0"/>
              <w:rPr>
                <w:sz w:val="1"/>
                <w:szCs w:val="1"/>
                <w:color w:val="auto"/>
              </w:rPr>
            </w:pPr>
          </w:p>
        </w:tc>
      </w:tr>
      <w:tr>
        <w:trPr>
          <w:trHeight w:val="270"/>
        </w:trPr>
        <w:tc>
          <w:tcPr>
            <w:tcW w:w="3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64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0" w:type="dxa"/>
            <w:vAlign w:val="bottom"/>
          </w:tcPr>
          <w:p>
            <w:pPr>
              <w:spacing w:after="0"/>
              <w:rPr>
                <w:sz w:val="1"/>
                <w:szCs w:val="1"/>
                <w:color w:val="auto"/>
              </w:rPr>
            </w:pPr>
          </w:p>
        </w:tc>
      </w:tr>
      <w:tr>
        <w:trPr>
          <w:trHeight w:val="263"/>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2022</w:t>
            </w:r>
          </w:p>
        </w:tc>
        <w:tc>
          <w:tcPr>
            <w:tcW w:w="3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72,462,969</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473,605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(322,232)</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151,373</w:t>
            </w:r>
          </w:p>
        </w:tc>
        <w:tc>
          <w:tcPr>
            <w:tcW w:w="0" w:type="dxa"/>
            <w:vAlign w:val="bottom"/>
          </w:tcPr>
          <w:p>
            <w:pPr>
              <w:spacing w:after="0"/>
              <w:rPr>
                <w:sz w:val="1"/>
                <w:szCs w:val="1"/>
                <w:color w:val="auto"/>
              </w:rPr>
            </w:pPr>
          </w:p>
        </w:tc>
      </w:tr>
      <w:tr>
        <w:trPr>
          <w:trHeight w:val="243"/>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and exercises (net)</w:t>
            </w:r>
          </w:p>
        </w:tc>
        <w:tc>
          <w:tcPr>
            <w:tcW w:w="3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46,292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6,948</w:t>
            </w:r>
          </w:p>
        </w:tc>
        <w:tc>
          <w:tcPr>
            <w:tcW w:w="0" w:type="dxa"/>
            <w:vAlign w:val="bottom"/>
          </w:tcPr>
          <w:p>
            <w:pPr>
              <w:spacing w:after="0"/>
              <w:rPr>
                <w:sz w:val="1"/>
                <w:szCs w:val="1"/>
                <w:color w:val="auto"/>
              </w:rPr>
            </w:pPr>
          </w:p>
        </w:tc>
      </w:tr>
      <w:tr>
        <w:trPr>
          <w:trHeight w:val="263"/>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March 31, 2023</w:t>
            </w:r>
          </w:p>
        </w:tc>
        <w:tc>
          <w:tcPr>
            <w:tcW w:w="1740" w:type="dxa"/>
            <w:vAlign w:val="bottom"/>
            <w:gridSpan w:val="2"/>
          </w:tcPr>
          <w:p>
            <w:pPr>
              <w:spacing w:after="0"/>
              <w:rPr>
                <w:sz w:val="22"/>
                <w:szCs w:val="22"/>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72,509,261</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475,015</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(315,284)</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159,731</w:t>
            </w:r>
          </w:p>
        </w:tc>
        <w:tc>
          <w:tcPr>
            <w:tcW w:w="0" w:type="dxa"/>
            <w:vAlign w:val="bottom"/>
          </w:tcPr>
          <w:p>
            <w:pPr>
              <w:spacing w:after="0"/>
              <w:rPr>
                <w:sz w:val="1"/>
                <w:szCs w:val="1"/>
                <w:color w:val="auto"/>
              </w:rPr>
            </w:pPr>
          </w:p>
        </w:tc>
      </w:tr>
      <w:tr>
        <w:trPr>
          <w:trHeight w:val="21"/>
        </w:trPr>
        <w:tc>
          <w:tcPr>
            <w:tcW w:w="38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71"/>
        </w:trPr>
        <w:tc>
          <w:tcPr>
            <w:tcW w:w="3840" w:type="dxa"/>
            <w:vAlign w:val="bottom"/>
          </w:tcPr>
          <w:p>
            <w:pPr>
              <w:spacing w:after="0"/>
              <w:rPr>
                <w:sz w:val="24"/>
                <w:szCs w:val="24"/>
                <w:color w:val="auto"/>
              </w:rPr>
            </w:pPr>
          </w:p>
        </w:tc>
        <w:tc>
          <w:tcPr>
            <w:tcW w:w="350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 Period Ended March 31, 2022</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5"/>
        </w:trPr>
        <w:tc>
          <w:tcPr>
            <w:tcW w:w="38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60" w:type="dxa"/>
            <w:vAlign w:val="bottom"/>
            <w:gridSpan w:val="5"/>
          </w:tcPr>
          <w:p>
            <w:pPr>
              <w:ind w:left="9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80" w:type="dxa"/>
            <w:vAlign w:val="bottom"/>
          </w:tcPr>
          <w:p>
            <w:pPr>
              <w:spacing w:after="0"/>
              <w:rPr>
                <w:sz w:val="24"/>
                <w:szCs w:val="24"/>
                <w:color w:val="auto"/>
              </w:rPr>
            </w:pPr>
          </w:p>
        </w:tc>
        <w:tc>
          <w:tcPr>
            <w:tcW w:w="12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384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 except share data)</w:t>
            </w: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20" w:type="dxa"/>
            <w:vAlign w:val="bottom"/>
          </w:tcPr>
          <w:p>
            <w:pPr>
              <w:spacing w:after="0"/>
              <w:rPr>
                <w:sz w:val="16"/>
                <w:szCs w:val="16"/>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300" w:type="dxa"/>
            <w:vAlign w:val="bottom"/>
          </w:tcPr>
          <w:p>
            <w:pPr>
              <w:spacing w:after="0"/>
              <w:rPr>
                <w:sz w:val="16"/>
                <w:szCs w:val="16"/>
                <w:color w:val="auto"/>
              </w:rPr>
            </w:pPr>
          </w:p>
        </w:tc>
        <w:tc>
          <w:tcPr>
            <w:tcW w:w="102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7"/>
        </w:trPr>
        <w:tc>
          <w:tcPr>
            <w:tcW w:w="384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June 30, 2021</w:t>
            </w:r>
          </w:p>
        </w:tc>
        <w:tc>
          <w:tcPr>
            <w:tcW w:w="30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71,258,047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462,775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(311,382)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151,393</w:t>
            </w:r>
          </w:p>
        </w:tc>
        <w:tc>
          <w:tcPr>
            <w:tcW w:w="0" w:type="dxa"/>
            <w:vAlign w:val="bottom"/>
          </w:tcPr>
          <w:p>
            <w:pPr>
              <w:spacing w:after="0"/>
              <w:rPr>
                <w:sz w:val="1"/>
                <w:szCs w:val="1"/>
                <w:color w:val="auto"/>
              </w:rPr>
            </w:pPr>
          </w:p>
        </w:tc>
      </w:tr>
      <w:tr>
        <w:trPr>
          <w:trHeight w:val="243"/>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and exercises (net)</w:t>
            </w:r>
          </w:p>
        </w:tc>
        <w:tc>
          <w:tcPr>
            <w:tcW w:w="3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20,958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306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Retirement of common stock</w:t>
            </w:r>
          </w:p>
        </w:tc>
        <w:tc>
          <w:tcPr>
            <w:tcW w:w="30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(319,823)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0" w:type="dxa"/>
            <w:vAlign w:val="bottom"/>
          </w:tcPr>
          <w:p>
            <w:pPr>
              <w:spacing w:after="0"/>
              <w:rPr>
                <w:sz w:val="1"/>
                <w:szCs w:val="1"/>
                <w:color w:val="auto"/>
              </w:rPr>
            </w:pPr>
          </w:p>
        </w:tc>
      </w:tr>
      <w:tr>
        <w:trPr>
          <w:trHeight w:val="27"/>
        </w:trPr>
        <w:tc>
          <w:tcPr>
            <w:tcW w:w="38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gridSpan w:val="2"/>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September 30, 2021</w:t>
            </w:r>
          </w:p>
        </w:tc>
        <w:tc>
          <w:tcPr>
            <w:tcW w:w="3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70,959,182</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464,537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(312,673)</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151,864</w:t>
            </w:r>
          </w:p>
        </w:tc>
        <w:tc>
          <w:tcPr>
            <w:tcW w:w="0" w:type="dxa"/>
            <w:vAlign w:val="bottom"/>
          </w:tcPr>
          <w:p>
            <w:pPr>
              <w:spacing w:after="0"/>
              <w:rPr>
                <w:sz w:val="1"/>
                <w:szCs w:val="1"/>
                <w:color w:val="auto"/>
              </w:rPr>
            </w:pPr>
          </w:p>
        </w:tc>
      </w:tr>
      <w:tr>
        <w:trPr>
          <w:trHeight w:val="270"/>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based compensation and exercises (net)</w:t>
            </w:r>
          </w:p>
        </w:tc>
        <w:tc>
          <w:tcPr>
            <w:tcW w:w="3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28,316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0" w:type="dxa"/>
            <w:vAlign w:val="bottom"/>
          </w:tcPr>
          <w:p>
            <w:pPr>
              <w:spacing w:after="0"/>
              <w:rPr>
                <w:sz w:val="1"/>
                <w:szCs w:val="1"/>
                <w:color w:val="auto"/>
              </w:rPr>
            </w:pPr>
          </w:p>
        </w:tc>
      </w:tr>
      <w:tr>
        <w:trPr>
          <w:trHeight w:val="270"/>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0" w:type="dxa"/>
            <w:vAlign w:val="bottom"/>
          </w:tcPr>
          <w:p>
            <w:pPr>
              <w:spacing w:after="0"/>
              <w:rPr>
                <w:sz w:val="1"/>
                <w:szCs w:val="1"/>
                <w:color w:val="auto"/>
              </w:rPr>
            </w:pPr>
          </w:p>
        </w:tc>
      </w:tr>
      <w:tr>
        <w:trPr>
          <w:trHeight w:val="263"/>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December 31, 2021</w:t>
            </w:r>
          </w:p>
        </w:tc>
        <w:tc>
          <w:tcPr>
            <w:tcW w:w="3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70,987,498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465,990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(313,141)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152,849</w:t>
            </w:r>
          </w:p>
        </w:tc>
        <w:tc>
          <w:tcPr>
            <w:tcW w:w="0" w:type="dxa"/>
            <w:vAlign w:val="bottom"/>
          </w:tcPr>
          <w:p>
            <w:pPr>
              <w:spacing w:after="0"/>
              <w:rPr>
                <w:sz w:val="1"/>
                <w:szCs w:val="1"/>
                <w:color w:val="auto"/>
              </w:rPr>
            </w:pPr>
          </w:p>
        </w:tc>
      </w:tr>
      <w:tr>
        <w:trPr>
          <w:trHeight w:val="270"/>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and exercises (net)</w:t>
            </w:r>
          </w:p>
        </w:tc>
        <w:tc>
          <w:tcPr>
            <w:tcW w:w="3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110,176</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2,258</w:t>
            </w:r>
          </w:p>
        </w:tc>
        <w:tc>
          <w:tcPr>
            <w:tcW w:w="0" w:type="dxa"/>
            <w:vAlign w:val="bottom"/>
          </w:tcPr>
          <w:p>
            <w:pPr>
              <w:spacing w:after="0"/>
              <w:rPr>
                <w:sz w:val="1"/>
                <w:szCs w:val="1"/>
                <w:color w:val="auto"/>
              </w:rPr>
            </w:pPr>
          </w:p>
        </w:tc>
      </w:tr>
      <w:tr>
        <w:trPr>
          <w:trHeight w:val="270"/>
        </w:trPr>
        <w:tc>
          <w:tcPr>
            <w:tcW w:w="3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4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2,136</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2,136</w:t>
            </w:r>
          </w:p>
        </w:tc>
        <w:tc>
          <w:tcPr>
            <w:tcW w:w="0" w:type="dxa"/>
            <w:vAlign w:val="bottom"/>
          </w:tcPr>
          <w:p>
            <w:pPr>
              <w:spacing w:after="0"/>
              <w:rPr>
                <w:sz w:val="1"/>
                <w:szCs w:val="1"/>
                <w:color w:val="auto"/>
              </w:rPr>
            </w:pPr>
          </w:p>
        </w:tc>
      </w:tr>
      <w:tr>
        <w:trPr>
          <w:trHeight w:val="283"/>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March 31, 2022</w:t>
            </w:r>
          </w:p>
        </w:tc>
        <w:tc>
          <w:tcPr>
            <w:tcW w:w="3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71,097,674</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468,248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(311,005)</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157,243</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84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76"/>
        </w:trPr>
        <w:tc>
          <w:tcPr>
            <w:tcW w:w="1280" w:type="dxa"/>
            <w:vAlign w:val="bottom"/>
            <w:tcBorders>
              <w:top w:val="single" w:sz="8" w:color="0000FF"/>
            </w:tcBorders>
          </w:tcPr>
          <w:p>
            <w:pPr>
              <w:spacing w:after="0"/>
              <w:rPr>
                <w:sz w:val="24"/>
                <w:szCs w:val="24"/>
                <w:color w:val="auto"/>
              </w:rPr>
            </w:pPr>
          </w:p>
        </w:tc>
        <w:tc>
          <w:tcPr>
            <w:tcW w:w="7160" w:type="dxa"/>
            <w:vAlign w:val="bottom"/>
            <w:gridSpan w:val="2"/>
          </w:tcPr>
          <w:p>
            <w:pPr>
              <w:jc w:val="center"/>
              <w:ind w:left="1430"/>
              <w:spacing w:after="0"/>
              <w:rPr>
                <w:sz w:val="20"/>
                <w:szCs w:val="20"/>
                <w:color w:val="auto"/>
              </w:rPr>
            </w:pPr>
            <w:r>
              <w:rPr>
                <w:rFonts w:ascii="Times New Roman" w:cs="Times New Roman" w:eastAsia="Times New Roman" w:hAnsi="Times New Roman"/>
                <w:sz w:val="18"/>
                <w:szCs w:val="18"/>
                <w:b w:val="1"/>
                <w:bCs w:val="1"/>
                <w:color w:val="auto"/>
              </w:rPr>
              <w:t>Cantaloupe, Inc.</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160" w:type="dxa"/>
            <w:vAlign w:val="bottom"/>
            <w:gridSpan w:val="2"/>
          </w:tcPr>
          <w:p>
            <w:pPr>
              <w:jc w:val="center"/>
              <w:ind w:left="143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Cash Flows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7160" w:type="dxa"/>
            <w:vAlign w:val="bottom"/>
            <w:gridSpan w:val="2"/>
          </w:tcPr>
          <w:p>
            <w:pPr>
              <w:jc w:val="center"/>
              <w:ind w:left="143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128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60" w:type="dxa"/>
            <w:vAlign w:val="bottom"/>
            <w:gridSpan w:val="4"/>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0" w:type="dxa"/>
            <w:vAlign w:val="bottom"/>
          </w:tcPr>
          <w:p>
            <w:pPr>
              <w:spacing w:after="0"/>
              <w:rPr>
                <w:sz w:val="1"/>
                <w:szCs w:val="1"/>
                <w:color w:val="auto"/>
              </w:rPr>
            </w:pPr>
          </w:p>
        </w:tc>
      </w:tr>
      <w:tr>
        <w:trPr>
          <w:trHeight w:val="270"/>
        </w:trPr>
        <w:tc>
          <w:tcPr>
            <w:tcW w:w="1280" w:type="dxa"/>
            <w:vAlign w:val="bottom"/>
          </w:tcPr>
          <w:p>
            <w:pPr>
              <w:spacing w:after="0"/>
              <w:rPr>
                <w:sz w:val="23"/>
                <w:szCs w:val="23"/>
                <w:color w:val="auto"/>
              </w:rPr>
            </w:pPr>
          </w:p>
        </w:tc>
        <w:tc>
          <w:tcPr>
            <w:tcW w:w="7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40" w:type="dxa"/>
            <w:vAlign w:val="bottom"/>
            <w:gridSpan w:val="3"/>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844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40" w:type="dxa"/>
            <w:vAlign w:val="bottom"/>
            <w:gridSpan w:val="3"/>
            <w:vMerge w:val="continue"/>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4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(2,199)</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(used in)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Stock based compensation</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4,624</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debt issuance costs and discounts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43"/>
        </w:trPr>
        <w:tc>
          <w:tcPr>
            <w:tcW w:w="84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Provision for expected losses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2,519</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Provision for inventory reserve</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0" w:type="dxa"/>
            <w:vAlign w:val="bottom"/>
          </w:tcPr>
          <w:p>
            <w:pPr>
              <w:spacing w:after="0"/>
              <w:rPr>
                <w:sz w:val="1"/>
                <w:szCs w:val="1"/>
                <w:color w:val="auto"/>
              </w:rPr>
            </w:pPr>
          </w:p>
        </w:tc>
      </w:tr>
      <w:tr>
        <w:trPr>
          <w:trHeight w:val="243"/>
        </w:trPr>
        <w:tc>
          <w:tcPr>
            <w:tcW w:w="84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 included in operating expenses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3,197</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included in costs of sales for rental equipment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0" w:type="dxa"/>
            <w:vAlign w:val="bottom"/>
          </w:tcPr>
          <w:p>
            <w:pPr>
              <w:spacing w:after="0"/>
              <w:rPr>
                <w:sz w:val="1"/>
                <w:szCs w:val="1"/>
                <w:color w:val="auto"/>
              </w:rPr>
            </w:pPr>
          </w:p>
        </w:tc>
      </w:tr>
      <w:tr>
        <w:trPr>
          <w:trHeight w:val="243"/>
        </w:trPr>
        <w:tc>
          <w:tcPr>
            <w:tcW w:w="84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(4,415)</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receivables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0" w:type="dxa"/>
            <w:vAlign w:val="bottom"/>
          </w:tcPr>
          <w:p>
            <w:pPr>
              <w:spacing w:after="0"/>
              <w:rPr>
                <w:sz w:val="1"/>
                <w:szCs w:val="1"/>
                <w:color w:val="auto"/>
              </w:rPr>
            </w:pPr>
          </w:p>
        </w:tc>
      </w:tr>
      <w:tr>
        <w:trPr>
          <w:trHeight w:val="243"/>
        </w:trPr>
        <w:tc>
          <w:tcPr>
            <w:tcW w:w="84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Inventory</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(8,691)</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0" w:type="dxa"/>
            <w:vAlign w:val="bottom"/>
          </w:tcPr>
          <w:p>
            <w:pPr>
              <w:spacing w:after="0"/>
              <w:rPr>
                <w:sz w:val="1"/>
                <w:szCs w:val="1"/>
                <w:color w:val="auto"/>
              </w:rPr>
            </w:pPr>
          </w:p>
        </w:tc>
      </w:tr>
      <w:tr>
        <w:trPr>
          <w:trHeight w:val="243"/>
        </w:trPr>
        <w:tc>
          <w:tcPr>
            <w:tcW w:w="84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0" w:type="dxa"/>
            <w:vAlign w:val="bottom"/>
          </w:tcPr>
          <w:p>
            <w:pPr>
              <w:spacing w:after="0"/>
              <w:rPr>
                <w:sz w:val="1"/>
                <w:szCs w:val="1"/>
                <w:color w:val="auto"/>
              </w:rPr>
            </w:pPr>
          </w:p>
        </w:tc>
      </w:tr>
      <w:tr>
        <w:trPr>
          <w:trHeight w:val="243"/>
        </w:trPr>
        <w:tc>
          <w:tcPr>
            <w:tcW w:w="84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4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5,773</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(3,929)</w:t>
            </w: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7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4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Acquisition of business, net of cash acquired</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(35,855)</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(2,966)</w:t>
            </w:r>
          </w:p>
        </w:tc>
        <w:tc>
          <w:tcPr>
            <w:tcW w:w="0" w:type="dxa"/>
            <w:vAlign w:val="bottom"/>
          </w:tcPr>
          <w:p>
            <w:pPr>
              <w:spacing w:after="0"/>
              <w:rPr>
                <w:sz w:val="1"/>
                <w:szCs w:val="1"/>
                <w:color w:val="auto"/>
              </w:rPr>
            </w:pPr>
          </w:p>
        </w:tc>
      </w:tr>
      <w:tr>
        <w:trPr>
          <w:trHeight w:val="270"/>
        </w:trPr>
        <w:tc>
          <w:tcPr>
            <w:tcW w:w="84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(12,634)</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(7,198)</w:t>
            </w:r>
          </w:p>
        </w:tc>
        <w:tc>
          <w:tcPr>
            <w:tcW w:w="0" w:type="dxa"/>
            <w:vAlign w:val="bottom"/>
          </w:tcPr>
          <w:p>
            <w:pPr>
              <w:spacing w:after="0"/>
              <w:rPr>
                <w:sz w:val="1"/>
                <w:szCs w:val="1"/>
                <w:color w:val="auto"/>
              </w:rPr>
            </w:pPr>
          </w:p>
        </w:tc>
      </w:tr>
      <w:tr>
        <w:trPr>
          <w:trHeight w:val="237"/>
        </w:trPr>
        <w:tc>
          <w:tcPr>
            <w:tcW w:w="8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(48,489)</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(10,164)</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280" w:type="dxa"/>
            <w:vAlign w:val="bottom"/>
            <w:shd w:val="clear" w:color="auto" w:fill="CCEEFF"/>
          </w:tcPr>
          <w:p>
            <w:pPr>
              <w:spacing w:after="0"/>
              <w:rPr>
                <w:sz w:val="17"/>
                <w:szCs w:val="17"/>
                <w:color w:val="auto"/>
              </w:rPr>
            </w:pPr>
          </w:p>
        </w:tc>
        <w:tc>
          <w:tcPr>
            <w:tcW w:w="7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84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 of third-party debt issuance costs</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43"/>
        </w:trPr>
        <w:tc>
          <w:tcPr>
            <w:tcW w:w="8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Proceeds from long-term debt</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Repayment of long-term debt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0" w:type="dxa"/>
            <w:vAlign w:val="bottom"/>
          </w:tcPr>
          <w:p>
            <w:pPr>
              <w:spacing w:after="0"/>
              <w:rPr>
                <w:sz w:val="1"/>
                <w:szCs w:val="1"/>
                <w:color w:val="auto"/>
              </w:rPr>
            </w:pPr>
          </w:p>
        </w:tc>
      </w:tr>
      <w:tr>
        <w:trPr>
          <w:trHeight w:val="243"/>
        </w:trPr>
        <w:tc>
          <w:tcPr>
            <w:tcW w:w="8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Contingent consideration paid for acquisition</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exercise of common stock options</w:t>
            </w:r>
          </w:p>
        </w:tc>
        <w:tc>
          <w:tcPr>
            <w:tcW w:w="30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0" w:type="dxa"/>
            <w:vAlign w:val="bottom"/>
          </w:tcPr>
          <w:p>
            <w:pPr>
              <w:spacing w:after="0"/>
              <w:rPr>
                <w:sz w:val="1"/>
                <w:szCs w:val="1"/>
                <w:color w:val="auto"/>
              </w:rPr>
            </w:pPr>
          </w:p>
        </w:tc>
      </w:tr>
      <w:tr>
        <w:trPr>
          <w:trHeight w:val="270"/>
        </w:trPr>
        <w:tc>
          <w:tcPr>
            <w:tcW w:w="84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Repurchase of Series A Convertible Preferred Stock</w:t>
            </w: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(2,153)</w:t>
            </w:r>
          </w:p>
        </w:tc>
        <w:tc>
          <w:tcPr>
            <w:tcW w:w="12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4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21,267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06285"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ectPr>
          <w:pgSz w:w="11900" w:h="16838" w:orient="portrait"/>
          <w:cols w:equalWidth="0" w:num="1">
            <w:col w:w="11200"/>
          </w:cols>
          <w:pgMar w:left="320" w:top="108" w:right="379" w:bottom="632" w:gutter="0" w:footer="0" w:header="0"/>
        </w:sectPr>
      </w:pPr>
    </w:p>
    <w:p>
      <w:pPr>
        <w:spacing w:after="0" w:line="2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Cash and cash equivalents at 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06285" cy="1885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06285" cy="188595"/>
                    </a:xfrm>
                    <a:prstGeom prst="rect">
                      <a:avLst/>
                    </a:prstGeom>
                    <a:noFill/>
                  </pic:spPr>
                </pic:pic>
              </a:graphicData>
            </a:graphic>
          </wp:anchor>
        </w:drawing>
      </w:r>
    </w:p>
    <w:p>
      <w:pPr>
        <w:spacing w:after="0" w:line="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06285"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400" w:type="dxa"/>
            <w:vAlign w:val="bottom"/>
          </w:tcPr>
          <w:p>
            <w:pPr>
              <w:spacing w:after="0"/>
              <w:rPr>
                <w:sz w:val="20"/>
                <w:szCs w:val="20"/>
                <w:color w:val="auto"/>
              </w:rPr>
            </w:pPr>
          </w:p>
        </w:tc>
        <w:tc>
          <w:tcPr>
            <w:tcW w:w="92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(21,449)</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(13,050)</w:t>
            </w:r>
          </w:p>
        </w:tc>
      </w:tr>
      <w:tr>
        <w:trPr>
          <w:trHeight w:val="270"/>
        </w:trPr>
        <w:tc>
          <w:tcPr>
            <w:tcW w:w="400" w:type="dxa"/>
            <w:vAlign w:val="bottom"/>
          </w:tcPr>
          <w:p>
            <w:pPr>
              <w:spacing w:after="0"/>
              <w:rPr>
                <w:sz w:val="23"/>
                <w:szCs w:val="23"/>
                <w:color w:val="auto"/>
              </w:rPr>
            </w:pPr>
          </w:p>
        </w:tc>
        <w:tc>
          <w:tcPr>
            <w:tcW w:w="9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68,125</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6"/>
              </w:rPr>
              <w:t>88,136</w:t>
            </w:r>
          </w:p>
        </w:tc>
      </w:tr>
      <w:tr>
        <w:trPr>
          <w:trHeight w:val="270"/>
        </w:trPr>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46,676</w:t>
            </w:r>
          </w:p>
        </w:tc>
        <w:tc>
          <w:tcPr>
            <w:tcW w:w="120" w:type="dxa"/>
            <w:vAlign w:val="bottom"/>
          </w:tcPr>
          <w:p>
            <w:pPr>
              <w:spacing w:after="0"/>
              <w:rPr>
                <w:sz w:val="23"/>
                <w:szCs w:val="23"/>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6"/>
              </w:rPr>
              <w:t>75,086</w:t>
            </w:r>
          </w:p>
        </w:tc>
      </w:tr>
      <w:tr>
        <w:trPr>
          <w:trHeight w:val="27"/>
        </w:trPr>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
        </w:trPr>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ectPr>
          <w:pgSz w:w="11900" w:h="16838" w:orient="portrait"/>
          <w:cols w:equalWidth="0" w:num="2">
            <w:col w:w="7720" w:space="720"/>
            <w:col w:w="2760"/>
          </w:cols>
          <w:pgMar w:left="320" w:top="108" w:right="379" w:bottom="632"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i w:val="1"/>
          <w:iCs w:val="1"/>
          <w:color w:val="auto"/>
        </w:rPr>
        <w:t>Supplemental disclosures of cash flow information</w:t>
      </w:r>
      <w:r>
        <w:rPr>
          <w:rFonts w:ascii="Times New Roman" w:cs="Times New Roman" w:eastAsia="Times New Roman" w:hAnsi="Times New Roman"/>
          <w:sz w:val="18"/>
          <w:szCs w:val="18"/>
          <w:color w:val="auto"/>
        </w:rPr>
        <w:t>:</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paid in cash</w:t>
            </w:r>
          </w:p>
        </w:tc>
        <w:tc>
          <w:tcPr>
            <w:tcW w:w="22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1,869</w:t>
            </w:r>
          </w:p>
        </w:tc>
        <w:tc>
          <w:tcPr>
            <w:tcW w:w="6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w:t>
            </w:r>
          </w:p>
        </w:tc>
      </w:tr>
      <w:tr>
        <w:trPr>
          <w:trHeight w:val="27"/>
        </w:trPr>
        <w:tc>
          <w:tcPr>
            <w:tcW w:w="67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issued in business combination</w:t>
            </w:r>
          </w:p>
        </w:tc>
        <w:tc>
          <w:tcPr>
            <w:tcW w:w="222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3,942</w:t>
            </w:r>
          </w:p>
        </w:tc>
        <w:tc>
          <w:tcPr>
            <w:tcW w:w="62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Non-cash activity:</w:t>
            </w:r>
          </w:p>
        </w:tc>
        <w:tc>
          <w:tcPr>
            <w:tcW w:w="2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assets obtained in exchange for new operating lease liabilities</w:t>
            </w:r>
          </w:p>
        </w:tc>
        <w:tc>
          <w:tcPr>
            <w:tcW w:w="22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w:t>
            </w:r>
          </w:p>
        </w:tc>
      </w:tr>
    </w:tbl>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ectPr>
          <w:pgSz w:w="11900" w:h="16838" w:orient="portrait"/>
          <w:cols w:equalWidth="0" w:num="1">
            <w:col w:w="11200"/>
          </w:cols>
          <w:pgMar w:left="320" w:top="108" w:right="379" w:bottom="632" w:gutter="0" w:footer="0" w:header="0"/>
          <w:type w:val="continuous"/>
        </w:sect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 w:right="379" w:bottom="632"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Cantaloupe,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BUSINESS</w:t>
      </w:r>
    </w:p>
    <w:p>
      <w:pPr>
        <w:spacing w:after="0" w:line="25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Cantaloupe, Inc., is organized under the laws of the Commonwealth of Pennsylvania. We are a software and payments company that provides end-to-end technology solutions for self-service commerce. Cantaloupe is transforming the self-service industry by offering one integrated solution for payments processing, logistics, and back-office management. Our enterprise-wide platform is designed to increase consumer engagement and sales revenue through digital payments, digital advertising and customer loyalty programs, while providing retailers with control and visibility over their operations and inventory. As a result, customers ranging from vending machine companies to operators of micro-markets, car wash, electric vehicle charging stations, commercial laundry, kiosks, amusements and more, can run their businesses more proactively, predictably, and competitively.</w:t>
      </w:r>
    </w:p>
    <w:p>
      <w:pPr>
        <w:spacing w:after="0" w:line="20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On December 1, 2022, the Company acquired all of the equity interests of Three Square Market, Inc., a Wisconsin corporation, and Three Square Market Limited, a UK private limited company (collectively "32M") pursuant to an Equity Purchase Agreement. 32M is a leading provider of software and self-service kiosk-based point of sale and payment solutions that power the micro market industry.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COVID-19 Update</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While there has not been any resurgence of the COVID-19 virus or new strains or variants emerge that significantly impacted the Company, its employees, or its customers, we have experienced lingering effects during fiscal year 2023. We underwent elevated component and supply chain costs necessary for the production and distribution of our hardware products. Additionally, schools and other organizations have re-opened which has led to increased foot-traffic to distributed assets containing our electronic payment solutions, but we have not seen a full return to the office. Many companies have implemented a hybrid approach requiring employees to work in the office several days a week and allow work from home for the remaining days. Where applicable, we have incorporated judgments and estimates of the expected impact of COVID-19 in the preparation of the financial statements based on information</w:t>
      </w:r>
    </w:p>
    <w:p>
      <w:pPr>
        <w:spacing w:after="0" w:line="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currently available. We will continue to monitor the situation and follow any guidance from federal, state, and local public health authorities. Given the potential uncertainty of the situation, the Company cannot reasonably estimate the longer-term repercussions of COVID-19 on our financial condition, result of operations or cash flows.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Preparation</w:t>
      </w:r>
    </w:p>
    <w:p>
      <w:pPr>
        <w:spacing w:after="0" w:line="2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of the Company have been prepared in accordance with U.S. generally accepted accounting principles for interim financial information and with the instructions to Form 10-Q. Accordingly, they do not include all of the information and footnotes required by U.S. generally accepted accounting principles for complete financial statements and therefore should be read in conjunction with the Company’s June 30, 2022 Annual Report on Form 10-K.</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All intercompany transactions and balances have been eliminated in consolidation. In the opinion of management, all adjustments considered necessary for a fair statement of financial results for the interim period. Operating results for the three and nine months ended March 31, 2023 are not necessarily indicative of the results that may be expected for the full fiscal year ending June 30, 2023. Actual results could differ from estimates. The balance sheet at June 30, 2022 has been derived from the audited consolidated financial statements at that date, but does not include all disclosures required by accounting principles generally accepted in the United States of America.</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operates as one operating segment because its chief operating decision maker, who is the Chief Executive Officer, reviews its financial information on a consolidated basis for purposes of making decisions regarding allocating resources and assessing performance.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assessed the foreign exchange impact associated with the 32M U.K. operations, which utilized the British Pound as its functional currency, and concluded the foreign currency fluctuations were highly immaterial to our financial statements including Condensed Consolidated Balance Sheets, Condensed Consolidated Statements of Operations, Condensed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Consolidated Statements of Shareholders’ Equity, and Condensed Consolidated Statement of Cash Flows. The Company will continue to monitor and assess its exposures to foreign exchange fluctuations in future periods.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Lessor Classification</w:t>
      </w:r>
    </w:p>
    <w:p>
      <w:pPr>
        <w:spacing w:after="0" w:line="2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July 2021, the FASB issued ASU 2021-05, “</w:t>
      </w:r>
      <w:r>
        <w:rPr>
          <w:rFonts w:ascii="Times New Roman" w:cs="Times New Roman" w:eastAsia="Times New Roman" w:hAnsi="Times New Roman"/>
          <w:sz w:val="18"/>
          <w:szCs w:val="18"/>
          <w:i w:val="1"/>
          <w:iCs w:val="1"/>
          <w:color w:val="auto"/>
        </w:rPr>
        <w:t>Lessors – Certain Leases with Variable Lease Payments</w:t>
      </w:r>
      <w:r>
        <w:rPr>
          <w:rFonts w:ascii="Times New Roman" w:cs="Times New Roman" w:eastAsia="Times New Roman" w:hAnsi="Times New Roman"/>
          <w:sz w:val="18"/>
          <w:szCs w:val="18"/>
          <w:color w:val="auto"/>
        </w:rPr>
        <w:t>” which requires lessors to classify leases as operating leases if they have variable lease payments that do not depend on an index or rate and would have selling losses if they were classified as sales-type or direct financing leases. The Company adopted this pronouncement on July 1, 2022. The adoption of this accounting standard did not materially impact the Company’s condensed consolidated financial statements.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for Debt and Equity Instruments</w:t>
      </w:r>
    </w:p>
    <w:p>
      <w:pPr>
        <w:spacing w:after="0" w:line="23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 August 2020, the FASB issued ASU 2020-06, “</w:t>
      </w:r>
      <w:r>
        <w:rPr>
          <w:rFonts w:ascii="Times New Roman" w:cs="Times New Roman" w:eastAsia="Times New Roman" w:hAnsi="Times New Roman"/>
          <w:sz w:val="18"/>
          <w:szCs w:val="18"/>
          <w:i w:val="1"/>
          <w:iCs w:val="1"/>
          <w:color w:val="auto"/>
        </w:rPr>
        <w:t>Accounting for Convertible Instruments and Contracts in an Entity’s Own Equity</w:t>
      </w:r>
      <w:r>
        <w:rPr>
          <w:rFonts w:ascii="Times New Roman" w:cs="Times New Roman" w:eastAsia="Times New Roman" w:hAnsi="Times New Roman"/>
          <w:sz w:val="18"/>
          <w:szCs w:val="18"/>
          <w:color w:val="auto"/>
        </w:rPr>
        <w:t>” which simplifies accounting for convertible instruments and the derivatives scope exception for contracts in an entity's own equity and improves and amends the related earnings per share (EPS) guidance. The Company adopted this pronouncement on July 1, 2022. The adoption of this accounting standard did not materially impact the Company’s condensed consolidated financial statements.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LEASES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Lessee Accounting</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has operating leases for office space, warehouses, and office equipment, including those obtained through the 32M acquisition in December 2022. At March 31, 2023, the Company has the following balances recorded in the balance sheet related to its lease arrangements:</w:t>
      </w:r>
    </w:p>
    <w:p>
      <w:pPr>
        <w:sectPr>
          <w:pgSz w:w="11900" w:h="16838" w:orient="portrait"/>
          <w:cols w:equalWidth="0" w:num="1">
            <w:col w:w="11240"/>
          </w:cols>
          <w:pgMar w:left="320" w:top="121" w:right="339" w:bottom="1440" w:gutter="0" w:footer="0" w:header="0"/>
        </w:sectPr>
      </w:pPr>
    </w:p>
    <w:p>
      <w:pPr>
        <w:spacing w:after="0" w:line="304"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45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Sheet Classification</w:t>
            </w:r>
          </w:p>
        </w:tc>
      </w:tr>
      <w:tr>
        <w:trPr>
          <w:trHeight w:val="37"/>
        </w:trPr>
        <w:tc>
          <w:tcPr>
            <w:tcW w:w="23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560" w:type="dxa"/>
            <w:vAlign w:val="bottom"/>
            <w:tcBorders>
              <w:bottom w:val="single" w:sz="8" w:color="auto"/>
            </w:tcBorders>
          </w:tcPr>
          <w:p>
            <w:pPr>
              <w:spacing w:after="0"/>
              <w:rPr>
                <w:sz w:val="3"/>
                <w:szCs w:val="3"/>
                <w:color w:val="auto"/>
              </w:rPr>
            </w:pPr>
          </w:p>
        </w:tc>
      </w:tr>
      <w:tr>
        <w:trPr>
          <w:trHeight w:val="304"/>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r>
      <w:tr>
        <w:trPr>
          <w:trHeight w:val="500"/>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4560" w:type="dxa"/>
            <w:vAlign w:val="bottom"/>
          </w:tcPr>
          <w:p>
            <w:pPr>
              <w:spacing w:after="0"/>
              <w:rPr>
                <w:sz w:val="24"/>
                <w:szCs w:val="24"/>
                <w:color w:val="auto"/>
              </w:rPr>
            </w:pPr>
          </w:p>
        </w:tc>
      </w:tr>
      <w:tr>
        <w:trPr>
          <w:trHeight w:val="270"/>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r>
      <w:tr>
        <w:trPr>
          <w:trHeight w:val="270"/>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w:t>
            </w:r>
          </w:p>
        </w:tc>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r>
      <w:tr>
        <w:trPr>
          <w:trHeight w:val="310"/>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45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-1028065</wp:posOffset>
            </wp:positionV>
            <wp:extent cx="709803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98030" cy="17145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-685165</wp:posOffset>
            </wp:positionV>
            <wp:extent cx="709803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98030" cy="14605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-368300</wp:posOffset>
            </wp:positionV>
            <wp:extent cx="709803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98030" cy="17145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Components of lease cost are as follows:</w:t>
      </w:r>
    </w:p>
    <w:p>
      <w:pPr>
        <w:spacing w:after="0" w:line="20" w:lineRule="exact"/>
        <w:rPr>
          <w:sz w:val="20"/>
          <w:szCs w:val="20"/>
          <w:color w:val="auto"/>
        </w:rPr>
      </w:pPr>
      <w:r>
        <w:rPr>
          <w:sz w:val="20"/>
          <w:szCs w:val="20"/>
          <w:color w:val="auto"/>
        </w:rPr>
        <w:br w:type="column"/>
      </w:r>
    </w:p>
    <w:p>
      <w:pPr>
        <w:spacing w:after="0" w:line="2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240" w:type="dxa"/>
            <w:vAlign w:val="bottom"/>
          </w:tcPr>
          <w:p>
            <w:pPr>
              <w:spacing w:after="0"/>
              <w:rPr>
                <w:sz w:val="16"/>
                <w:szCs w:val="16"/>
                <w:color w:val="auto"/>
              </w:rPr>
            </w:pPr>
          </w:p>
        </w:tc>
        <w:tc>
          <w:tcPr>
            <w:tcW w:w="19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As of March 31, 2023</w:t>
            </w:r>
          </w:p>
        </w:tc>
        <w:tc>
          <w:tcPr>
            <w:tcW w:w="240" w:type="dxa"/>
            <w:vAlign w:val="bottom"/>
          </w:tcPr>
          <w:p>
            <w:pPr>
              <w:spacing w:after="0"/>
              <w:rPr>
                <w:sz w:val="16"/>
                <w:szCs w:val="16"/>
                <w:color w:val="auto"/>
              </w:rPr>
            </w:pPr>
          </w:p>
        </w:tc>
        <w:tc>
          <w:tcPr>
            <w:tcW w:w="172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As of June 30, 2022</w:t>
            </w:r>
          </w:p>
        </w:tc>
      </w:tr>
      <w:tr>
        <w:trPr>
          <w:trHeight w:val="23"/>
        </w:trPr>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77"/>
        </w:trPr>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2,799</w:t>
            </w:r>
          </w:p>
        </w:tc>
        <w:tc>
          <w:tcPr>
            <w:tcW w:w="10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2,370</w:t>
            </w:r>
          </w:p>
        </w:tc>
      </w:tr>
      <w:tr>
        <w:trPr>
          <w:trHeight w:val="770"/>
        </w:trPr>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w:t>
            </w:r>
          </w:p>
        </w:tc>
        <w:tc>
          <w:tcPr>
            <w:tcW w:w="10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w:t>
            </w:r>
          </w:p>
        </w:tc>
      </w:tr>
      <w:tr>
        <w:trPr>
          <w:trHeight w:val="270"/>
        </w:trPr>
        <w:tc>
          <w:tcPr>
            <w:tcW w:w="24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2,366</w:t>
            </w:r>
          </w:p>
        </w:tc>
      </w:tr>
      <w:tr>
        <w:trPr>
          <w:trHeight w:val="27"/>
        </w:trPr>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37"/>
        </w:trPr>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4,086</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3,904</w:t>
            </w:r>
          </w:p>
        </w:tc>
      </w:tr>
      <w:tr>
        <w:trPr>
          <w:trHeight w:val="27"/>
        </w:trPr>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1"/>
        </w:trPr>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712" w:lineRule="exact"/>
        <w:rPr>
          <w:sz w:val="20"/>
          <w:szCs w:val="20"/>
          <w:color w:val="auto"/>
        </w:rPr>
      </w:pPr>
    </w:p>
    <w:p>
      <w:pPr>
        <w:sectPr>
          <w:pgSz w:w="11900" w:h="16838" w:orient="portrait"/>
          <w:cols w:equalWidth="0" w:num="2">
            <w:col w:w="7020" w:space="100"/>
            <w:col w:w="4120"/>
          </w:cols>
          <w:pgMar w:left="320" w:top="121" w:right="339" w:bottom="1440" w:gutter="0" w:footer="0" w:header="0"/>
          <w:type w:val="continuous"/>
        </w:sectPr>
      </w:pPr>
    </w:p>
    <w:p>
      <w:pPr>
        <w:spacing w:after="0" w:line="2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p>
      <w:pPr>
        <w:spacing w:after="0" w:line="1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Operating lease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p>
      <w:pPr>
        <w:spacing w:after="0" w:line="1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Operating lease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Includes short-term lease and variable lease costs, which are not material.</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13335</wp:posOffset>
            </wp:positionV>
            <wp:extent cx="13284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28420" cy="8255"/>
                    </a:xfrm>
                    <a:prstGeom prst="rect">
                      <a:avLst/>
                    </a:prstGeom>
                    <a:noFill/>
                  </pic:spPr>
                </pic:pic>
              </a:graphicData>
            </a:graphic>
          </wp:anchor>
        </w:drawing>
      </w:r>
    </w:p>
    <w:p>
      <w:pPr>
        <w:spacing w:after="0" w:line="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691</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 March 31,</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13335</wp:posOffset>
            </wp:positionV>
            <wp:extent cx="13284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28420" cy="8255"/>
                    </a:xfrm>
                    <a:prstGeom prst="rect">
                      <a:avLst/>
                    </a:prstGeom>
                    <a:noFill/>
                  </pic:spPr>
                </pic:pic>
              </a:graphicData>
            </a:graphic>
          </wp:anchor>
        </w:drawing>
      </w:r>
    </w:p>
    <w:p>
      <w:pPr>
        <w:spacing w:after="0" w:line="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1,778</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jc w:val="center"/>
        <w:ind w:right="60"/>
        <w:spacing w:after="0" w:line="264" w:lineRule="auto"/>
        <w:rPr>
          <w:sz w:val="20"/>
          <w:szCs w:val="20"/>
          <w:color w:val="auto"/>
        </w:rPr>
      </w:pPr>
      <w:r>
        <w:rPr>
          <w:rFonts w:ascii="Times New Roman" w:cs="Times New Roman" w:eastAsia="Times New Roman" w:hAnsi="Times New Roman"/>
          <w:sz w:val="14"/>
          <w:szCs w:val="14"/>
          <w:b w:val="1"/>
          <w:bCs w:val="1"/>
          <w:color w:val="auto"/>
        </w:rPr>
        <w:t>Three months ended 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-2540</wp:posOffset>
            </wp:positionV>
            <wp:extent cx="13030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spacing w:after="0" w:line="24"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462</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left="40" w:right="60"/>
        <w:spacing w:after="0" w:line="264" w:lineRule="auto"/>
        <w:rPr>
          <w:sz w:val="20"/>
          <w:szCs w:val="20"/>
          <w:color w:val="auto"/>
        </w:rPr>
      </w:pPr>
      <w:r>
        <w:rPr>
          <w:rFonts w:ascii="Times New Roman" w:cs="Times New Roman" w:eastAsia="Times New Roman" w:hAnsi="Times New Roman"/>
          <w:sz w:val="14"/>
          <w:szCs w:val="14"/>
          <w:b w:val="1"/>
          <w:bCs w:val="1"/>
          <w:color w:val="auto"/>
        </w:rPr>
        <w:t>Nine months ended 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-2540</wp:posOffset>
            </wp:positionV>
            <wp:extent cx="13030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spacing w:after="0" w:line="2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1,347</w:t>
      </w:r>
    </w:p>
    <w:p>
      <w:pPr>
        <w:spacing w:after="0" w:line="510" w:lineRule="exact"/>
        <w:rPr>
          <w:sz w:val="20"/>
          <w:szCs w:val="20"/>
          <w:color w:val="auto"/>
        </w:rPr>
      </w:pPr>
    </w:p>
    <w:p>
      <w:pPr>
        <w:sectPr>
          <w:pgSz w:w="11900" w:h="16838" w:orient="portrait"/>
          <w:cols w:equalWidth="0" w:num="3">
            <w:col w:w="6360" w:space="720"/>
            <w:col w:w="1920" w:space="260"/>
            <w:col w:w="1980"/>
          </w:cols>
          <w:pgMar w:left="320" w:top="121" w:right="339" w:bottom="1440" w:gutter="0" w:footer="0" w:header="0"/>
          <w:type w:val="continuous"/>
        </w:sectPr>
      </w:pP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Supplemental cash flow information and non-cash activity related to our leases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20" w:type="dxa"/>
            <w:vAlign w:val="bottom"/>
          </w:tcPr>
          <w:p>
            <w:pPr>
              <w:spacing w:after="0"/>
              <w:rPr>
                <w:sz w:val="13"/>
                <w:szCs w:val="13"/>
                <w:color w:val="auto"/>
              </w:rPr>
            </w:pP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March 31,</w:t>
            </w:r>
          </w:p>
        </w:tc>
        <w:tc>
          <w:tcPr>
            <w:tcW w:w="140" w:type="dxa"/>
            <w:vAlign w:val="bottom"/>
          </w:tcPr>
          <w:p>
            <w:pPr>
              <w:spacing w:after="0"/>
              <w:rPr>
                <w:sz w:val="13"/>
                <w:szCs w:val="13"/>
                <w:color w:val="auto"/>
              </w:rPr>
            </w:pPr>
          </w:p>
        </w:tc>
        <w:tc>
          <w:tcPr>
            <w:tcW w:w="20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March 31,</w:t>
            </w:r>
          </w:p>
        </w:tc>
        <w:tc>
          <w:tcPr>
            <w:tcW w:w="0" w:type="dxa"/>
            <w:vAlign w:val="bottom"/>
          </w:tcPr>
          <w:p>
            <w:pPr>
              <w:spacing w:after="0"/>
              <w:rPr>
                <w:sz w:val="1"/>
                <w:szCs w:val="1"/>
                <w:color w:val="auto"/>
              </w:rPr>
            </w:pPr>
          </w:p>
        </w:tc>
      </w:tr>
      <w:tr>
        <w:trPr>
          <w:trHeight w:val="194"/>
        </w:trPr>
        <w:tc>
          <w:tcPr>
            <w:tcW w:w="678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8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12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Non-cash activity:</w:t>
            </w:r>
          </w:p>
        </w:tc>
        <w:tc>
          <w:tcPr>
            <w:tcW w:w="12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assets obtained in exchange for new operating lease liabilities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9"/>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Maturities of lease liabilities by fiscal year for our leases are as follows:</w:t>
            </w:r>
          </w:p>
        </w:tc>
        <w:tc>
          <w:tcPr>
            <w:tcW w:w="1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6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2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0" w:type="dxa"/>
            <w:vAlign w:val="bottom"/>
          </w:tcPr>
          <w:p>
            <w:pPr>
              <w:spacing w:after="0"/>
              <w:rPr>
                <w:sz w:val="1"/>
                <w:szCs w:val="1"/>
                <w:color w:val="auto"/>
              </w:rPr>
            </w:pPr>
          </w:p>
        </w:tc>
      </w:tr>
      <w:tr>
        <w:trPr>
          <w:trHeight w:val="195"/>
        </w:trPr>
        <w:tc>
          <w:tcPr>
            <w:tcW w:w="678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0" w:type="dxa"/>
            <w:vAlign w:val="bottom"/>
          </w:tcPr>
          <w:p>
            <w:pPr>
              <w:spacing w:after="0"/>
              <w:rPr>
                <w:sz w:val="1"/>
                <w:szCs w:val="1"/>
                <w:color w:val="auto"/>
              </w:rPr>
            </w:pPr>
          </w:p>
        </w:tc>
      </w:tr>
      <w:tr>
        <w:trPr>
          <w:trHeight w:val="228"/>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2023</w:t>
            </w:r>
          </w:p>
        </w:tc>
        <w:tc>
          <w:tcPr>
            <w:tcW w:w="12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120" w:type="dxa"/>
            <w:vAlign w:val="bottom"/>
            <w:tcBorders>
              <w:top w:val="single" w:sz="8" w:color="CCEEFF"/>
            </w:tcBorders>
            <w:shd w:val="clear" w:color="auto" w:fill="CCEEFF"/>
          </w:tcPr>
          <w:p>
            <w:pPr>
              <w:spacing w:after="0"/>
              <w:rPr>
                <w:sz w:val="19"/>
                <w:szCs w:val="19"/>
                <w:color w:val="auto"/>
              </w:rPr>
            </w:pPr>
          </w:p>
        </w:tc>
        <w:tc>
          <w:tcPr>
            <w:tcW w:w="20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4,612</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20" w:type="dxa"/>
            <w:vAlign w:val="bottom"/>
            <w:tcBorders>
              <w:bottom w:val="single" w:sz="8" w:color="CCEEFF"/>
            </w:tcBorders>
          </w:tcPr>
          <w:p>
            <w:pPr>
              <w:spacing w:after="0"/>
              <w:rPr>
                <w:sz w:val="19"/>
                <w:szCs w:val="19"/>
                <w:color w:val="auto"/>
              </w:rPr>
            </w:pPr>
          </w:p>
        </w:tc>
        <w:tc>
          <w:tcPr>
            <w:tcW w:w="20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(526)</w:t>
            </w:r>
          </w:p>
        </w:tc>
        <w:tc>
          <w:tcPr>
            <w:tcW w:w="0" w:type="dxa"/>
            <w:vAlign w:val="bottom"/>
          </w:tcPr>
          <w:p>
            <w:pPr>
              <w:spacing w:after="0"/>
              <w:rPr>
                <w:sz w:val="1"/>
                <w:szCs w:val="1"/>
                <w:color w:val="auto"/>
              </w:rPr>
            </w:pPr>
          </w:p>
        </w:tc>
      </w:tr>
      <w:tr>
        <w:trPr>
          <w:trHeight w:val="248"/>
        </w:trPr>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4,086</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2023, the Company extended an existing operating lease for an additional 70-months period. The lease extension will commence on October 1, 2023. As such, this was not included in the Operating lease right-of-use assets or liabilities on the Condensed Consolidated Balance Sheets for as of March 31, 2023.</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Lessor Accounting</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used for the operating lease rental program consisted of the following:</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40" w:type="dxa"/>
            <w:vAlign w:val="bottom"/>
          </w:tcPr>
          <w:p>
            <w:pPr>
              <w:spacing w:after="0"/>
              <w:rPr>
                <w:sz w:val="15"/>
                <w:szCs w:val="15"/>
                <w:color w:val="auto"/>
              </w:rPr>
            </w:pPr>
          </w:p>
        </w:tc>
        <w:tc>
          <w:tcPr>
            <w:tcW w:w="128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 w:type="dxa"/>
            <w:vAlign w:val="bottom"/>
          </w:tcPr>
          <w:p>
            <w:pPr>
              <w:spacing w:after="0"/>
              <w:rPr>
                <w:sz w:val="15"/>
                <w:szCs w:val="15"/>
                <w:color w:val="auto"/>
              </w:rPr>
            </w:pPr>
          </w:p>
        </w:tc>
      </w:tr>
      <w:tr>
        <w:trPr>
          <w:trHeight w:val="190"/>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20" w:type="dxa"/>
            <w:vAlign w:val="bottom"/>
          </w:tcPr>
          <w:p>
            <w:pPr>
              <w:spacing w:after="0"/>
              <w:rPr>
                <w:sz w:val="16"/>
                <w:szCs w:val="16"/>
                <w:color w:val="auto"/>
              </w:rPr>
            </w:pPr>
          </w:p>
        </w:tc>
        <w:tc>
          <w:tcPr>
            <w:tcW w:w="1340" w:type="dxa"/>
            <w:vAlign w:val="bottom"/>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80" w:type="dxa"/>
            <w:vAlign w:val="bottom"/>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6"/>
                <w:szCs w:val="16"/>
                <w:color w:val="auto"/>
              </w:rPr>
            </w:pPr>
          </w:p>
        </w:tc>
      </w:tr>
      <w:tr>
        <w:trPr>
          <w:trHeight w:val="37"/>
        </w:trPr>
        <w:tc>
          <w:tcPr>
            <w:tcW w:w="77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20" w:type="dxa"/>
            <w:vAlign w:val="bottom"/>
            <w:tcBorders>
              <w:bottom w:val="single" w:sz="8" w:color="D9D9D9"/>
            </w:tcBorders>
          </w:tcPr>
          <w:p>
            <w:pPr>
              <w:spacing w:after="0"/>
              <w:rPr>
                <w:sz w:val="3"/>
                <w:szCs w:val="3"/>
                <w:color w:val="auto"/>
              </w:rPr>
            </w:pPr>
          </w:p>
        </w:tc>
      </w:tr>
      <w:tr>
        <w:trPr>
          <w:trHeight w:val="264"/>
        </w:trPr>
        <w:tc>
          <w:tcPr>
            <w:tcW w:w="7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28,182</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D9D9D9"/>
            </w:tcBorders>
            <w:shd w:val="clear" w:color="auto" w:fill="CCEEFF"/>
          </w:tcPr>
          <w:p>
            <w:pPr>
              <w:spacing w:after="0"/>
              <w:rPr>
                <w:sz w:val="22"/>
                <w:szCs w:val="22"/>
                <w:color w:val="auto"/>
              </w:rPr>
            </w:pPr>
          </w:p>
        </w:tc>
        <w:tc>
          <w:tcPr>
            <w:tcW w:w="1280" w:type="dxa"/>
            <w:vAlign w:val="bottom"/>
            <w:tcBorders>
              <w:bottom w:val="single" w:sz="8" w:color="D9D9D9"/>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25,242</w:t>
            </w:r>
          </w:p>
        </w:tc>
        <w:tc>
          <w:tcPr>
            <w:tcW w:w="20" w:type="dxa"/>
            <w:vAlign w:val="bottom"/>
            <w:tcBorders>
              <w:bottom w:val="single" w:sz="8" w:color="D9D9D9"/>
            </w:tcBorders>
            <w:shd w:val="clear" w:color="auto" w:fill="D9D9D9"/>
          </w:tcPr>
          <w:p>
            <w:pPr>
              <w:spacing w:after="0"/>
              <w:rPr>
                <w:sz w:val="22"/>
                <w:szCs w:val="22"/>
                <w:color w:val="auto"/>
              </w:rPr>
            </w:pPr>
          </w:p>
        </w:tc>
      </w:tr>
      <w:tr>
        <w:trPr>
          <w:trHeight w:val="237"/>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3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(22,914)</w:t>
            </w:r>
          </w:p>
        </w:tc>
        <w:tc>
          <w:tcPr>
            <w:tcW w:w="20" w:type="dxa"/>
            <w:vAlign w:val="bottom"/>
          </w:tcPr>
          <w:p>
            <w:pPr>
              <w:spacing w:after="0"/>
              <w:rPr>
                <w:sz w:val="20"/>
                <w:szCs w:val="20"/>
                <w:color w:val="auto"/>
              </w:rPr>
            </w:pPr>
          </w:p>
        </w:tc>
      </w:tr>
      <w:tr>
        <w:trPr>
          <w:trHeight w:val="27"/>
        </w:trPr>
        <w:tc>
          <w:tcPr>
            <w:tcW w:w="7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88"/>
        </w:trPr>
        <w:tc>
          <w:tcPr>
            <w:tcW w:w="7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5,267</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2,328</w:t>
            </w:r>
          </w:p>
        </w:tc>
        <w:tc>
          <w:tcPr>
            <w:tcW w:w="20" w:type="dxa"/>
            <w:vAlign w:val="bottom"/>
          </w:tcPr>
          <w:p>
            <w:pPr>
              <w:spacing w:after="0"/>
              <w:rPr>
                <w:sz w:val="24"/>
                <w:szCs w:val="24"/>
                <w:color w:val="auto"/>
              </w:rPr>
            </w:pP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net investment in sales-type leases (carrying value of lease receivables) and the future minimum amounts to be collected on these lease receivables as of March 31, 2023 are disclosed within Note 6 - Finance Receivables.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REVENUES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similar operational characteristics, the Company's revenues are disaggregated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60" w:type="dxa"/>
            <w:vAlign w:val="bottom"/>
          </w:tcPr>
          <w:p>
            <w:pPr>
              <w:spacing w:after="0"/>
              <w:rPr>
                <w:sz w:val="16"/>
                <w:szCs w:val="16"/>
                <w:color w:val="auto"/>
              </w:rPr>
            </w:pPr>
          </w:p>
        </w:tc>
        <w:tc>
          <w:tcPr>
            <w:tcW w:w="27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60" w:type="dxa"/>
            <w:vAlign w:val="bottom"/>
            <w:gridSpan w:val="4"/>
          </w:tcPr>
          <w:p>
            <w:pPr>
              <w:jc w:val="center"/>
              <w:ind w:right="293"/>
              <w:spacing w:after="0"/>
              <w:rPr>
                <w:sz w:val="20"/>
                <w:szCs w:val="20"/>
                <w:color w:val="auto"/>
              </w:rPr>
            </w:pPr>
            <w:r>
              <w:rPr>
                <w:rFonts w:ascii="Times New Roman" w:cs="Times New Roman" w:eastAsia="Times New Roman" w:hAnsi="Times New Roman"/>
                <w:sz w:val="14"/>
                <w:szCs w:val="14"/>
                <w:b w:val="1"/>
                <w:bCs w:val="1"/>
                <w:color w:val="auto"/>
              </w:rPr>
              <w:t>Nine months ended March 31,</w:t>
            </w:r>
          </w:p>
        </w:tc>
        <w:tc>
          <w:tcPr>
            <w:tcW w:w="0" w:type="dxa"/>
            <w:vAlign w:val="bottom"/>
          </w:tcPr>
          <w:p>
            <w:pPr>
              <w:spacing w:after="0"/>
              <w:rPr>
                <w:sz w:val="1"/>
                <w:szCs w:val="1"/>
                <w:color w:val="auto"/>
              </w:rPr>
            </w:pPr>
          </w:p>
        </w:tc>
      </w:tr>
      <w:tr>
        <w:trPr>
          <w:trHeight w:val="23"/>
        </w:trPr>
        <w:tc>
          <w:tcPr>
            <w:tcW w:w="4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36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 fees</w:t>
            </w:r>
          </w:p>
        </w:tc>
        <w:tc>
          <w:tcPr>
            <w:tcW w:w="1020" w:type="dxa"/>
            <w:vAlign w:val="bottom"/>
            <w:shd w:val="clear" w:color="auto" w:fill="CCEEFF"/>
          </w:tcPr>
          <w:p>
            <w:pPr>
              <w:jc w:val="right"/>
              <w:ind w:right="817"/>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33,389</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95"/>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97,076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center"/>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80,704</w:t>
            </w:r>
          </w:p>
        </w:tc>
        <w:tc>
          <w:tcPr>
            <w:tcW w:w="0" w:type="dxa"/>
            <w:vAlign w:val="bottom"/>
          </w:tcPr>
          <w:p>
            <w:pPr>
              <w:spacing w:after="0"/>
              <w:rPr>
                <w:sz w:val="1"/>
                <w:szCs w:val="1"/>
                <w:color w:val="auto"/>
              </w:rPr>
            </w:pPr>
          </w:p>
        </w:tc>
      </w:tr>
      <w:tr>
        <w:trPr>
          <w:trHeight w:val="229"/>
        </w:trPr>
        <w:tc>
          <w:tcPr>
            <w:tcW w:w="4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Subscription fees</w:t>
            </w:r>
          </w:p>
        </w:tc>
        <w:tc>
          <w:tcPr>
            <w:tcW w:w="10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17,856</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14,634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50,176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43,252</w:t>
            </w:r>
          </w:p>
        </w:tc>
        <w:tc>
          <w:tcPr>
            <w:tcW w:w="0" w:type="dxa"/>
            <w:vAlign w:val="bottom"/>
          </w:tcPr>
          <w:p>
            <w:pPr>
              <w:spacing w:after="0"/>
              <w:rPr>
                <w:sz w:val="1"/>
                <w:szCs w:val="1"/>
                <w:color w:val="auto"/>
              </w:rPr>
            </w:pPr>
          </w:p>
        </w:tc>
      </w:tr>
      <w:tr>
        <w:trPr>
          <w:trHeight w:val="223"/>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 and transaction fees</w:t>
            </w:r>
          </w:p>
        </w:tc>
        <w:tc>
          <w:tcPr>
            <w:tcW w:w="1020" w:type="dxa"/>
            <w:vAlign w:val="bottom"/>
            <w:shd w:val="clear" w:color="auto" w:fill="CCEEFF"/>
          </w:tcPr>
          <w:p>
            <w:pPr>
              <w:jc w:val="right"/>
              <w:ind w:right="817"/>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51,245</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95"/>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42,143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147,252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center"/>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123,956</w:t>
            </w:r>
          </w:p>
        </w:tc>
        <w:tc>
          <w:tcPr>
            <w:tcW w:w="0" w:type="dxa"/>
            <w:vAlign w:val="bottom"/>
          </w:tcPr>
          <w:p>
            <w:pPr>
              <w:spacing w:after="0"/>
              <w:rPr>
                <w:sz w:val="1"/>
                <w:szCs w:val="1"/>
                <w:color w:val="auto"/>
              </w:rPr>
            </w:pPr>
          </w:p>
        </w:tc>
      </w:tr>
      <w:tr>
        <w:trPr>
          <w:trHeight w:val="229"/>
        </w:trPr>
        <w:tc>
          <w:tcPr>
            <w:tcW w:w="4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Equipment sales</w:t>
            </w:r>
          </w:p>
        </w:tc>
        <w:tc>
          <w:tcPr>
            <w:tcW w:w="10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9,111</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32,216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23,215</w:t>
            </w:r>
          </w:p>
        </w:tc>
        <w:tc>
          <w:tcPr>
            <w:tcW w:w="0" w:type="dxa"/>
            <w:vAlign w:val="bottom"/>
          </w:tcPr>
          <w:p>
            <w:pPr>
              <w:spacing w:after="0"/>
              <w:rPr>
                <w:sz w:val="1"/>
                <w:szCs w:val="1"/>
                <w:color w:val="auto"/>
              </w:rPr>
            </w:pPr>
          </w:p>
        </w:tc>
      </w:tr>
      <w:tr>
        <w:trPr>
          <w:trHeight w:val="248"/>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020" w:type="dxa"/>
            <w:vAlign w:val="bottom"/>
            <w:tcBorders>
              <w:bottom w:val="single" w:sz="8" w:color="auto"/>
            </w:tcBorders>
            <w:shd w:val="clear" w:color="auto" w:fill="CCEEFF"/>
          </w:tcPr>
          <w:p>
            <w:pPr>
              <w:jc w:val="right"/>
              <w:ind w:right="817"/>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60,356</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795"/>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179,468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center"/>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147,171</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60"/>
          </w:cols>
          <w:pgMar w:left="320" w:top="121"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Liabilities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contract liability (i.e., deferred revenue) balances are as follows: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Deferred revenue, beginning of the period</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Deferred revenue, end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2654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7" w:lineRule="exact"/>
        <w:rPr>
          <w:sz w:val="20"/>
          <w:szCs w:val="20"/>
          <w:color w:val="auto"/>
        </w:rPr>
      </w:pPr>
    </w:p>
    <w:p>
      <w:pPr>
        <w:ind w:left="20" w:right="40"/>
        <w:spacing w:after="0" w:line="234" w:lineRule="auto"/>
        <w:rPr>
          <w:sz w:val="20"/>
          <w:szCs w:val="20"/>
          <w:color w:val="auto"/>
        </w:rPr>
      </w:pPr>
      <w:r>
        <w:rPr>
          <w:rFonts w:ascii="Times New Roman" w:cs="Times New Roman" w:eastAsia="Times New Roman" w:hAnsi="Times New Roman"/>
          <w:sz w:val="18"/>
          <w:szCs w:val="18"/>
          <w:color w:val="auto"/>
        </w:rPr>
        <w:t>Revenue recognized in the period from amounts included in deferred revenue at the beginning of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76200</wp:posOffset>
            </wp:positionV>
            <wp:extent cx="708914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89140" cy="171450"/>
                    </a:xfrm>
                    <a:prstGeom prst="rect">
                      <a:avLst/>
                    </a:prstGeom>
                    <a:noFill/>
                  </pic:spPr>
                </pic:pic>
              </a:graphicData>
            </a:graphic>
          </wp:anchor>
        </w:drawing>
      </w:r>
    </w:p>
    <w:p>
      <w:pPr>
        <w:spacing w:after="0" w:line="1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Deferred revenue, beginning of the period</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Deferred revenue, end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17145</wp:posOffset>
            </wp:positionV>
            <wp:extent cx="7089140" cy="2654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89140" cy="265430"/>
                    </a:xfrm>
                    <a:prstGeom prst="rect">
                      <a:avLst/>
                    </a:prstGeom>
                    <a:noFill/>
                  </pic:spPr>
                </pic:pic>
              </a:graphicData>
            </a:graphic>
          </wp:anchor>
        </w:drawing>
      </w:r>
    </w:p>
    <w:p>
      <w:pPr>
        <w:spacing w:after="0" w:line="7" w:lineRule="exact"/>
        <w:rPr>
          <w:sz w:val="20"/>
          <w:szCs w:val="20"/>
          <w:color w:val="auto"/>
        </w:rPr>
      </w:pPr>
    </w:p>
    <w:p>
      <w:pPr>
        <w:ind w:left="60"/>
        <w:spacing w:after="0" w:line="245" w:lineRule="auto"/>
        <w:rPr>
          <w:sz w:val="20"/>
          <w:szCs w:val="20"/>
          <w:color w:val="auto"/>
        </w:rPr>
      </w:pPr>
      <w:r>
        <w:rPr>
          <w:rFonts w:ascii="Times New Roman" w:cs="Times New Roman" w:eastAsia="Times New Roman" w:hAnsi="Times New Roman"/>
          <w:sz w:val="18"/>
          <w:szCs w:val="18"/>
          <w:color w:val="auto"/>
        </w:rPr>
        <w:t>Revenue recognized in the period from amounts included in deferred revenue at the beginning of the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line="1" w:lineRule="exact"/>
        <w:rPr>
          <w:sz w:val="1"/>
          <w:szCs w:val="1"/>
          <w:color w:val="auto"/>
        </w:rPr>
      </w:pPr>
    </w:p>
    <w:tbl>
      <w:tblPr>
        <w:tblLayout w:type="fixed"/>
        <w:tblInd w:w="40" w:type="dxa"/>
        <w:tblCellMar>
          <w:top w:w="0" w:type="dxa"/>
          <w:left w:w="0" w:type="dxa"/>
          <w:bottom w:w="0" w:type="dxa"/>
          <w:right w:w="0" w:type="dxa"/>
        </w:tblCellMar>
      </w:tblPr>
      <w:tr>
        <w:trPr>
          <w:trHeight w:val="176"/>
        </w:trPr>
        <w:tc>
          <w:tcPr>
            <w:tcW w:w="18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March</w:t>
            </w: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0"/>
        </w:trPr>
        <w:tc>
          <w:tcPr>
            <w:tcW w:w="1780" w:type="dxa"/>
            <w:vAlign w:val="bottom"/>
          </w:tcPr>
          <w:p>
            <w:pPr>
              <w:jc w:val="right"/>
              <w:ind w:right="728"/>
              <w:spacing w:after="0"/>
              <w:rPr>
                <w:sz w:val="20"/>
                <w:szCs w:val="20"/>
                <w:color w:val="auto"/>
              </w:rPr>
            </w:pPr>
            <w:r>
              <w:rPr>
                <w:rFonts w:ascii="Times New Roman" w:cs="Times New Roman" w:eastAsia="Times New Roman" w:hAnsi="Times New Roman"/>
                <w:sz w:val="14"/>
                <w:szCs w:val="14"/>
                <w:b w:val="1"/>
                <w:bCs w:val="1"/>
                <w:color w:val="auto"/>
              </w:rPr>
              <w:t>31,</w:t>
            </w:r>
          </w:p>
        </w:tc>
        <w:tc>
          <w:tcPr>
            <w:tcW w:w="100" w:type="dxa"/>
            <w:vAlign w:val="bottom"/>
          </w:tcPr>
          <w:p>
            <w:pPr>
              <w:spacing w:after="0"/>
              <w:rPr>
                <w:sz w:val="16"/>
                <w:szCs w:val="16"/>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37"/>
        </w:trPr>
        <w:tc>
          <w:tcPr>
            <w:tcW w:w="17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r>
      <w:tr>
        <w:trPr>
          <w:trHeight w:val="186"/>
        </w:trPr>
        <w:tc>
          <w:tcPr>
            <w:tcW w:w="1780" w:type="dxa"/>
            <w:vAlign w:val="bottom"/>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37"/>
        </w:trPr>
        <w:tc>
          <w:tcPr>
            <w:tcW w:w="17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r>
    </w:tbl>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 w:type="dxa"/>
            <w:vAlign w:val="bottom"/>
          </w:tcPr>
          <w:p>
            <w:pPr>
              <w:jc w:val="right"/>
              <w:ind w:right="214"/>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w:t>
            </w:r>
          </w:p>
        </w:tc>
        <w:tc>
          <w:tcPr>
            <w:tcW w:w="80" w:type="dxa"/>
            <w:vAlign w:val="bottom"/>
          </w:tcPr>
          <w:p>
            <w:pPr>
              <w:spacing w:after="0"/>
              <w:rPr>
                <w:sz w:val="20"/>
                <w:szCs w:val="20"/>
                <w:color w:val="auto"/>
              </w:rPr>
            </w:pPr>
          </w:p>
        </w:tc>
        <w:tc>
          <w:tcPr>
            <w:tcW w:w="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1,745</w:t>
            </w:r>
          </w:p>
        </w:tc>
      </w:tr>
      <w:tr>
        <w:trPr>
          <w:trHeight w:val="270"/>
        </w:trPr>
        <w:tc>
          <w:tcPr>
            <w:tcW w:w="44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1,894</w:t>
            </w: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w:t>
            </w:r>
          </w:p>
        </w:tc>
      </w:tr>
      <w:tr>
        <w:trPr>
          <w:trHeight w:val="418"/>
        </w:trPr>
        <w:tc>
          <w:tcPr>
            <w:tcW w:w="440" w:type="dxa"/>
            <w:vAlign w:val="bottom"/>
          </w:tcPr>
          <w:p>
            <w:pPr>
              <w:jc w:val="right"/>
              <w:ind w:right="214"/>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80" w:type="dxa"/>
            <w:vAlign w:val="bottom"/>
          </w:tcPr>
          <w:p>
            <w:pPr>
              <w:spacing w:after="0"/>
              <w:rPr>
                <w:sz w:val="24"/>
                <w:szCs w:val="24"/>
                <w:color w:val="auto"/>
              </w:rPr>
            </w:pPr>
          </w:p>
        </w:tc>
        <w:tc>
          <w:tcPr>
            <w:tcW w:w="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623"/>
        </w:trPr>
        <w:tc>
          <w:tcPr>
            <w:tcW w:w="18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Nine months ended March</w:t>
            </w:r>
          </w:p>
        </w:tc>
        <w:tc>
          <w:tcPr>
            <w:tcW w:w="17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March</w:t>
            </w:r>
          </w:p>
        </w:tc>
      </w:tr>
      <w:tr>
        <w:trPr>
          <w:trHeight w:val="190"/>
        </w:trPr>
        <w:tc>
          <w:tcPr>
            <w:tcW w:w="440" w:type="dxa"/>
            <w:vAlign w:val="bottom"/>
          </w:tcPr>
          <w:p>
            <w:pPr>
              <w:spacing w:after="0"/>
              <w:rPr>
                <w:sz w:val="16"/>
                <w:szCs w:val="16"/>
                <w:color w:val="auto"/>
              </w:rPr>
            </w:pPr>
          </w:p>
        </w:tc>
        <w:tc>
          <w:tcPr>
            <w:tcW w:w="1360" w:type="dxa"/>
            <w:vAlign w:val="bottom"/>
          </w:tcPr>
          <w:p>
            <w:pPr>
              <w:jc w:val="right"/>
              <w:ind w:right="735"/>
              <w:spacing w:after="0"/>
              <w:rPr>
                <w:sz w:val="20"/>
                <w:szCs w:val="20"/>
                <w:color w:val="auto"/>
              </w:rPr>
            </w:pPr>
            <w:r>
              <w:rPr>
                <w:rFonts w:ascii="Times New Roman" w:cs="Times New Roman" w:eastAsia="Times New Roman" w:hAnsi="Times New Roman"/>
                <w:sz w:val="14"/>
                <w:szCs w:val="14"/>
                <w:b w:val="1"/>
                <w:bCs w:val="1"/>
                <w:color w:val="auto"/>
              </w:rPr>
              <w:t>31,</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31,</w:t>
            </w:r>
          </w:p>
        </w:tc>
      </w:tr>
      <w:tr>
        <w:trPr>
          <w:trHeight w:val="37"/>
        </w:trPr>
        <w:tc>
          <w:tcPr>
            <w:tcW w:w="4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186"/>
        </w:trPr>
        <w:tc>
          <w:tcPr>
            <w:tcW w:w="440" w:type="dxa"/>
            <w:vAlign w:val="bottom"/>
          </w:tcPr>
          <w:p>
            <w:pPr>
              <w:spacing w:after="0"/>
              <w:rPr>
                <w:sz w:val="16"/>
                <w:szCs w:val="16"/>
                <w:color w:val="auto"/>
              </w:rPr>
            </w:pPr>
          </w:p>
        </w:tc>
        <w:tc>
          <w:tcPr>
            <w:tcW w:w="1360" w:type="dxa"/>
            <w:vAlign w:val="bottom"/>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4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77"/>
        </w:trPr>
        <w:tc>
          <w:tcPr>
            <w:tcW w:w="440" w:type="dxa"/>
            <w:vAlign w:val="bottom"/>
          </w:tcPr>
          <w:p>
            <w:pPr>
              <w:jc w:val="right"/>
              <w:ind w:right="254"/>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1,893</w:t>
            </w:r>
          </w:p>
        </w:tc>
        <w:tc>
          <w:tcPr>
            <w:tcW w:w="80" w:type="dxa"/>
            <w:vAlign w:val="bottom"/>
          </w:tcPr>
          <w:p>
            <w:pPr>
              <w:spacing w:after="0"/>
              <w:rPr>
                <w:sz w:val="24"/>
                <w:szCs w:val="24"/>
                <w:color w:val="auto"/>
              </w:rPr>
            </w:pPr>
          </w:p>
        </w:tc>
        <w:tc>
          <w:tcPr>
            <w:tcW w:w="420" w:type="dxa"/>
            <w:vAlign w:val="bottom"/>
          </w:tcPr>
          <w:p>
            <w:pPr>
              <w:jc w:val="right"/>
              <w:ind w:right="234"/>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w:t>
            </w:r>
          </w:p>
        </w:tc>
      </w:tr>
      <w:tr>
        <w:trPr>
          <w:trHeight w:val="270"/>
        </w:trPr>
        <w:tc>
          <w:tcPr>
            <w:tcW w:w="44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1,894</w:t>
            </w: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w:t>
            </w:r>
          </w:p>
        </w:tc>
      </w:tr>
      <w:tr>
        <w:trPr>
          <w:trHeight w:val="418"/>
        </w:trPr>
        <w:tc>
          <w:tcPr>
            <w:tcW w:w="440" w:type="dxa"/>
            <w:vAlign w:val="bottom"/>
          </w:tcPr>
          <w:p>
            <w:pPr>
              <w:jc w:val="right"/>
              <w:ind w:right="254"/>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80" w:type="dxa"/>
            <w:vAlign w:val="bottom"/>
          </w:tcPr>
          <w:p>
            <w:pPr>
              <w:spacing w:after="0"/>
              <w:rPr>
                <w:sz w:val="24"/>
                <w:szCs w:val="24"/>
                <w:color w:val="auto"/>
              </w:rPr>
            </w:pPr>
          </w:p>
        </w:tc>
        <w:tc>
          <w:tcPr>
            <w:tcW w:w="420" w:type="dxa"/>
            <w:vAlign w:val="bottom"/>
          </w:tcPr>
          <w:p>
            <w:pPr>
              <w:jc w:val="right"/>
              <w:ind w:right="234"/>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r>
    </w:tbl>
    <w:p>
      <w:pPr>
        <w:spacing w:after="0" w:line="231" w:lineRule="exact"/>
        <w:rPr>
          <w:sz w:val="20"/>
          <w:szCs w:val="20"/>
          <w:color w:val="auto"/>
        </w:rPr>
      </w:pPr>
    </w:p>
    <w:p>
      <w:pPr>
        <w:sectPr>
          <w:pgSz w:w="11900" w:h="16838" w:orient="portrait"/>
          <w:cols w:equalWidth="0" w:num="2">
            <w:col w:w="7300" w:space="300"/>
            <w:col w:w="3640"/>
          </w:cols>
          <w:pgMar w:left="320" w:top="121" w:right="339" w:bottom="1440" w:gutter="0" w:footer="0" w:header="0"/>
        </w:sectPr>
      </w:pPr>
    </w:p>
    <w:p>
      <w:pPr>
        <w:spacing w:after="0" w:line="11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change in the contract liability balances period-over-period is primarily the result of timing difference between the Company’s satisfaction of a performance obligation and payment from the customer.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Costs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March 31, 2023, the Company had net capitalized costs to obtain contracts of $0.5 million included in Prepaid expenses and other current assets and $2.5 million included in Other noncurrent assets on the Condensed Consolidated Balance Sheet. At June 30, 2022, the Company had net capitalized costs to obtain contracts of $0.5 million included in Prepaid expenses and other current assets and $2.3 million included in Other noncurrent assets on the Condensed Consolidated Balance Sheet. None of these capitalized contract costs were impaired.</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March 31, 2023, amortization of capitalized contract costs was $0.2 million and $0.6 million respectively. During the three and nine months ended March 31, 2022, amortization of capitalized contract costs was $0.2 million and $0.5 million respectively.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Future Performance Obligations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will recognize revenue in future periods related to remaining performance obligations for certain open contracts. Generally, these contracts have terms of one year or less. The amount of revenue related to unsatisfied performance obligations in which the original duration of the contract is greater than one year is not significant.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ACQUISITION</w:t>
      </w:r>
    </w:p>
    <w:p>
      <w:pPr>
        <w:spacing w:after="0" w:line="256"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We completed the following acquisitions in fiscal year 2023 and 2022. Financial results of each transaction are included in our consolidated financial statements from the date of each acquisition.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Square Market</w:t>
      </w:r>
    </w:p>
    <w:p>
      <w:pPr>
        <w:spacing w:after="0" w:line="25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On December 1, 2022, the Company acquired all of the equity interests of Three Square Market, Inc., a Wisconsin corporation, and Three Square Market Limited, a UK private limited company (collectively "32M") pursuant to an Equity Purchase Agreement. 32M is a leading provider of software and self-service kiosk-based point of sale and payment solutions to the micro market industry and the acquisition expanded the Company's presence in that industry. In addition to new technology and services, due to 32M’s existing customer base, the acquisition expands the Company’s footprint into new global markets.</w:t>
      </w:r>
    </w:p>
    <w:p>
      <w:pPr>
        <w:spacing w:after="0" w:line="19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paid an aggregate consideration of approximately $40.7 million, which consisted of $36.8 million in cash and 1,240,920 shares of the Company's common stock (the "Stock Consideration") with an aggregate fair value of $3.9 million for</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acquisition of 32M. The aggregate cash consideration includes $0.5 million of cash paid into an escrow account for net working capital and other post-closing adjustments. Additionally, the Stock Consideration of 1,240,920 shares ("Escrowed Shares") referred to above were placed into an escrow account to resolve indemnification claims for breach of certain representations and warranties and will be released 50% on the first anniversary of the acquisition date and 50% on the second anniversary of the acquisition date, less any shares that may be returned to Company on account of any indemnity claims. The Escrowed Shares are considered to be issued and outstanding shares of the Company as of the acquisition date.</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funded the cash consideration of the acquisition by borrowing $25 million of debt from the JPMorgan Credit Facility and the remaining consideration utilizing existing cash on hand.</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The acquisition of 32M was accounted for as a business combination using the acquisition method of accounting and which includes the results of operations of the acquired business from the date of acquisition. The purchase price of the acquired company is allocated between tangible and intangible assets acquired and liabilities assumed from the acquired business based on their estimated fair values using primarily Level 3 inputs under ASC Topic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with the residual of the purchase price recorded as goodwill.</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fair value of the purchase price consideration consisted of the following:</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Closing cash consideration</w:t>
            </w:r>
          </w:p>
        </w:tc>
        <w:tc>
          <w:tcPr>
            <w:tcW w:w="680" w:type="dxa"/>
            <w:vAlign w:val="bottom"/>
            <w:tcBorders>
              <w:top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36,796</w:t>
            </w:r>
          </w:p>
        </w:tc>
      </w:tr>
      <w:tr>
        <w:trPr>
          <w:trHeight w:val="229"/>
        </w:trPr>
        <w:tc>
          <w:tcPr>
            <w:tcW w:w="9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Stock Consideration</w:t>
            </w:r>
          </w:p>
        </w:tc>
        <w:tc>
          <w:tcPr>
            <w:tcW w:w="6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3,942</w:t>
            </w:r>
          </w:p>
        </w:tc>
      </w:tr>
      <w:tr>
        <w:trPr>
          <w:trHeight w:val="223"/>
        </w:trPr>
        <w:tc>
          <w:tcPr>
            <w:tcW w:w="9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total consideration transferred</w:t>
            </w:r>
          </w:p>
        </w:tc>
        <w:tc>
          <w:tcPr>
            <w:tcW w:w="6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40,738</w:t>
            </w:r>
          </w:p>
        </w:tc>
      </w:tr>
    </w:tbl>
    <w:p>
      <w:pPr>
        <w:spacing w:after="0" w:line="31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During the three months ended March 31, 2023, the Company reassessed the opening balance of 32M's working capital accounts. We have updated the allocation amounts from the December 31, 2022 balance to account for $0.7 million of liabilities incurred prior to the acquisition but not previously recorded and immaterial adjustments to accounts receivables and other assets. The net impact of these adjustments resulted in an increase to goodwill. The adjustment to the purchase price had no impact on the Company's consolidated results of operations. The following table summarizes the adjusted fair value assigned to the assets acquired and liabilities assumed as of March 31, 2023.</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7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23"/>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0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w:t>
            </w:r>
          </w:p>
        </w:tc>
      </w:tr>
      <w:tr>
        <w:trPr>
          <w:trHeight w:val="230"/>
        </w:trPr>
        <w:tc>
          <w:tcPr>
            <w:tcW w:w="9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7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2,502</w:t>
            </w:r>
          </w:p>
        </w:tc>
      </w:tr>
      <w:tr>
        <w:trPr>
          <w:trHeight w:val="230"/>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7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w:t>
            </w:r>
          </w:p>
        </w:tc>
      </w:tr>
      <w:tr>
        <w:trPr>
          <w:trHeight w:val="229"/>
        </w:trPr>
        <w:tc>
          <w:tcPr>
            <w:tcW w:w="9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7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13,222</w:t>
            </w:r>
          </w:p>
        </w:tc>
      </w:tr>
      <w:tr>
        <w:trPr>
          <w:trHeight w:val="230"/>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7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r>
      <w:tr>
        <w:trPr>
          <w:trHeight w:val="223"/>
        </w:trPr>
        <w:tc>
          <w:tcPr>
            <w:tcW w:w="9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identifiable assets acquired</w:t>
            </w:r>
          </w:p>
        </w:tc>
        <w:tc>
          <w:tcPr>
            <w:tcW w:w="7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19,062</w:t>
            </w:r>
          </w:p>
        </w:tc>
      </w:tr>
      <w:tr>
        <w:trPr>
          <w:trHeight w:val="230"/>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7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w:t>
            </w:r>
          </w:p>
        </w:tc>
      </w:tr>
      <w:tr>
        <w:trPr>
          <w:trHeight w:val="230"/>
        </w:trPr>
        <w:tc>
          <w:tcPr>
            <w:tcW w:w="9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Tax liabilities</w:t>
            </w:r>
          </w:p>
        </w:tc>
        <w:tc>
          <w:tcPr>
            <w:tcW w:w="7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(1,983)</w:t>
            </w:r>
          </w:p>
        </w:tc>
      </w:tr>
      <w:tr>
        <w:trPr>
          <w:trHeight w:val="223"/>
        </w:trPr>
        <w:tc>
          <w:tcPr>
            <w:tcW w:w="9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7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(4,440)</w:t>
            </w:r>
          </w:p>
        </w:tc>
      </w:tr>
      <w:tr>
        <w:trPr>
          <w:trHeight w:val="230"/>
        </w:trPr>
        <w:tc>
          <w:tcPr>
            <w:tcW w:w="9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identifiable net assets</w:t>
            </w:r>
          </w:p>
        </w:tc>
        <w:tc>
          <w:tcPr>
            <w:tcW w:w="7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14,622</w:t>
            </w:r>
          </w:p>
        </w:tc>
      </w:tr>
      <w:tr>
        <w:trPr>
          <w:trHeight w:val="230"/>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7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26,116</w:t>
            </w:r>
          </w:p>
        </w:tc>
      </w:tr>
      <w:tr>
        <w:trPr>
          <w:trHeight w:val="223"/>
        </w:trPr>
        <w:tc>
          <w:tcPr>
            <w:tcW w:w="9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Fair value of total consideration transferred</w:t>
            </w:r>
          </w:p>
        </w:tc>
        <w:tc>
          <w:tcPr>
            <w:tcW w:w="7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40,738</w:t>
            </w:r>
          </w:p>
        </w:tc>
      </w:tr>
      <w:tr>
        <w:trPr>
          <w:trHeight w:val="20"/>
        </w:trPr>
        <w:tc>
          <w:tcPr>
            <w:tcW w:w="9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determined the fair value of the identifiable intangible assets acquired with the assistance of third-party valuation consultants. Amounts allocated to identifiable intangible assets included $7.4 million related to developed technology, $5.3 million related to customer relationships, and $0.5 million related to other intangible assets. The fair value of the acquired developed technology was determined using a multi-period excess earnings method. The fair value of the acquired customer relationships was determined using the with-and-without method which estimates the value using the cash flow impact in a scenario where the customer relationships are not in place. The recognized intangible assets will be amortized on a straight-line basis over the estimated useful lives of the respective assets.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Goodwill of $26.1 million arising from the acquisition includes the expected synergies between 32M and the Company and intangible assets that do not qualify for separate recognition at the time of acquisition. The goodwill, which is deductible for income tax purposes, was assigned to the Company’s only reporting unit.</w:t>
      </w:r>
    </w:p>
    <w:p>
      <w:pPr>
        <w:spacing w:after="0" w:line="1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above allocation of the purchase price is provisional and is still subject to change within the measurement period as the Company continues to work through valuation of the 32M intangible assets. The final allocation of the purchase price is expected to be completed as soon as practicable, but no later than one year from the date of the acquisition.</w:t>
      </w:r>
    </w:p>
    <w:p>
      <w:pPr>
        <w:spacing w:after="0" w:line="19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recognized $2.8 million of acquisition related costs that were expensed during the nine months ended March 31, 2023. These costs were recorded within Integration and acquisition expenses in the Condensed Consolidated Statements of Operations.</w:t>
      </w:r>
    </w:p>
    <w:p>
      <w:pPr>
        <w:spacing w:after="0" w:line="20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amount of 32M revenue included in the Company’s Condensed Consolidated Statement of Operations from the acquisition date through March 31, 2023 was $6.6 million. The amount of 32M earnings included in the Company’s Condensed Consolidated Statement of Operations from the acquisition date through March 31, 2023 was $0.4 million.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Supplemental disclosure of pro forma information</w:t>
      </w:r>
    </w:p>
    <w:p>
      <w:pPr>
        <w:spacing w:after="0" w:line="2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following table presents pro forma information as if the acquisition of 32M had occurred on July 1, 2021. The pro forma information presented combines the historical condensed consolidated results of operations of the Company and 32M after giving effect to the preliminary purchase accounting impact of the 32M acquisition related costs (including, but not limited to, amortization associated with the acquired intangible assets, interest expense associated with the Credit Facility to finance a portion of the purchase price, acquisition related costs) and the alignment of accounting policies. This supplemental pro forma information has been prepared for comparative purposes and does not purport to be indicative of what would have occurred had the acquisition been made on July 1, 2021, nor are they indicative of any future results. Furthermore, cost savings and other business synergies related to the acquisition are not reflected in the pro forma amounts.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40" w:type="dxa"/>
            <w:vAlign w:val="bottom"/>
            <w:tcBorders>
              <w:bottom w:val="single" w:sz="8" w:color="auto"/>
            </w:tcBorders>
            <w:gridSpan w:val="4"/>
          </w:tcPr>
          <w:p>
            <w:pPr>
              <w:ind w:left="70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6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9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 March 31,</w:t>
            </w:r>
          </w:p>
        </w:tc>
        <w:tc>
          <w:tcPr>
            <w:tcW w:w="700" w:type="dxa"/>
            <w:vAlign w:val="bottom"/>
            <w:tcBorders>
              <w:bottom w:val="single" w:sz="8" w:color="auto"/>
            </w:tcBorders>
          </w:tcPr>
          <w:p>
            <w:pPr>
              <w:spacing w:after="0"/>
              <w:rPr>
                <w:sz w:val="18"/>
                <w:szCs w:val="18"/>
                <w:color w:val="auto"/>
              </w:rPr>
            </w:pPr>
          </w:p>
        </w:tc>
      </w:tr>
      <w:tr>
        <w:trPr>
          <w:trHeight w:val="196"/>
        </w:trPr>
        <w:tc>
          <w:tcPr>
            <w:tcW w:w="3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00" w:type="dxa"/>
            <w:vAlign w:val="bottom"/>
          </w:tcPr>
          <w:p>
            <w:pPr>
              <w:ind w:left="7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700" w:type="dxa"/>
            <w:vAlign w:val="bottom"/>
          </w:tcPr>
          <w:p>
            <w:pPr>
              <w:spacing w:after="0"/>
              <w:rPr>
                <w:sz w:val="17"/>
                <w:szCs w:val="17"/>
                <w:color w:val="auto"/>
              </w:rPr>
            </w:pPr>
          </w:p>
        </w:tc>
      </w:tr>
      <w:tr>
        <w:trPr>
          <w:trHeight w:val="229"/>
        </w:trPr>
        <w:tc>
          <w:tcPr>
            <w:tcW w:w="38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60,356</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54,620</w:t>
            </w:r>
          </w:p>
        </w:tc>
        <w:tc>
          <w:tcPr>
            <w:tcW w:w="8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187,806</w:t>
            </w:r>
          </w:p>
        </w:tc>
        <w:tc>
          <w:tcPr>
            <w:tcW w:w="8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159,285</w:t>
            </w:r>
          </w:p>
        </w:tc>
      </w:tr>
      <w:tr>
        <w:trPr>
          <w:trHeight w:val="234"/>
        </w:trPr>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5,832</w:t>
            </w: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w:t>
            </w: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w:t>
            </w: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(3,981)</w:t>
            </w:r>
          </w:p>
        </w:tc>
      </w:tr>
    </w:tbl>
    <w:p>
      <w:pPr>
        <w:spacing w:after="0" w:line="30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supplemental pro forma for the nine months ended March 31, 2023 was adjusted to exclude $2.8 million of acquisition related costs. The supplemental pro forma for the nine months ended March 31, 2022 was adjusted to include $2.8 million of acquisition related costs, the components of which were previously described.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Yoke Payments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August 2021, we completed the acquisition of certain assets and liabilities of Delicious Nutritious LLC, doing business as Yoke Payments (“Yoke”), a micro market payments company. The acquisition of Yoke was accounted for as a business combination using the acquisition method of accounting which includes the results of operations of the acquired business from the date of acquisition. The purchase price of the acquired company is allocated between tangible and intangible assets acquired and liabilities assumed from the acquired business based on their estimated fair values using primarily Level 3 inputs under ASC Topic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with the residual of the purchase price recorded as goodwill.</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Through the acquisition, Yoke’s point of sale platform will now extend its offering to provide self-checkout while seamlessly integrating with Cantaloupe’s inventory management and payment processing platforms. We plan to differentiate ourselves by providing a single platform to manage consumer and operational aspects of micro markets, while also integrating multiple service providers for flexibility and ultimate ease to our customers.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consideration transferred for the acquisition includes payments of $3 million in cash at the close of the transaction and $1 million in deferred cash payment due on or before July 30, 2022 based on the achievement of certain sales growth targets for software licenses. On July 27, 2022, the Company made the cash payment of $1 million in accordance with the requirements of the purchase agreement.</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in connection with the acquisition, the Company will issue common stock to the former owners of Yoke based on the achievement of certain sales growth targets for software licenses through July 31, 2024 and continued employment as of the respective measurement dates. The accounting treatment for these awards in the context of the business combination is to</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recognize the awards as a post-combination expense and were not included in the purchase price. We will begin recognizing compensation expense for these awards over the requisite service period when it becomes probable that the performance condition would be satisfied pursuant to ASC 718. At each reporting date, we assess the probability of achieving the sales targets and fulfilling the performance condition. As of March 31, 2023, we determined that it is not probable that the performance condition would be satisfied and, accordingly, have not recognized compensation expense related to these awards for the nine months ended March 31, 2023.</w:t>
      </w:r>
    </w:p>
    <w:p>
      <w:pPr>
        <w:spacing w:after="0" w:line="210"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total consideration paid for Yoke, total net assets acquired, identifiable assets and goodwill recognized at the acquisition date:</w:t>
      </w:r>
    </w:p>
    <w:p>
      <w:pPr>
        <w:spacing w:after="0" w:line="225"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9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7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23"/>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Consideration</w:t>
            </w:r>
          </w:p>
        </w:tc>
        <w:tc>
          <w:tcPr>
            <w:tcW w:w="7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9"/>
        </w:trPr>
        <w:tc>
          <w:tcPr>
            <w:tcW w:w="9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w:t>
            </w:r>
          </w:p>
        </w:tc>
        <w:tc>
          <w:tcPr>
            <w:tcW w:w="7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2,966</w:t>
            </w:r>
          </w:p>
        </w:tc>
      </w:tr>
      <w:tr>
        <w:trPr>
          <w:trHeight w:val="229"/>
        </w:trPr>
        <w:tc>
          <w:tcPr>
            <w:tcW w:w="9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Contingent consideration arrangement</w:t>
            </w:r>
          </w:p>
        </w:tc>
        <w:tc>
          <w:tcPr>
            <w:tcW w:w="760" w:type="dxa"/>
            <w:vAlign w:val="bottom"/>
            <w:tcBorders>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3"/>
        </w:trPr>
        <w:tc>
          <w:tcPr>
            <w:tcW w:w="9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of total consideration transferred</w:t>
            </w:r>
          </w:p>
        </w:tc>
        <w:tc>
          <w:tcPr>
            <w:tcW w:w="7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3,966</w:t>
            </w:r>
          </w:p>
        </w:tc>
      </w:tr>
      <w:tr>
        <w:trPr>
          <w:trHeight w:val="250"/>
        </w:trPr>
        <w:tc>
          <w:tcPr>
            <w:tcW w:w="90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r>
      <w:tr>
        <w:trPr>
          <w:trHeight w:val="229"/>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Recognized amounts of identifiable assets</w:t>
            </w:r>
          </w:p>
        </w:tc>
        <w:tc>
          <w:tcPr>
            <w:tcW w:w="7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9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net assets acquired</w:t>
            </w:r>
          </w:p>
        </w:tc>
        <w:tc>
          <w:tcPr>
            <w:tcW w:w="7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9"/>
        </w:trPr>
        <w:tc>
          <w:tcPr>
            <w:tcW w:w="90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Identifiable intangible assets</w:t>
            </w:r>
          </w:p>
        </w:tc>
        <w:tc>
          <w:tcPr>
            <w:tcW w:w="7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1,235</w:t>
            </w:r>
          </w:p>
        </w:tc>
      </w:tr>
      <w:tr>
        <w:trPr>
          <w:trHeight w:val="223"/>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identifiable net assets</w:t>
            </w:r>
          </w:p>
        </w:tc>
        <w:tc>
          <w:tcPr>
            <w:tcW w:w="760" w:type="dxa"/>
            <w:vAlign w:val="bottom"/>
            <w:tcBorders>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w:t>
            </w:r>
          </w:p>
        </w:tc>
      </w:tr>
      <w:tr>
        <w:trPr>
          <w:trHeight w:val="250"/>
        </w:trPr>
        <w:tc>
          <w:tcPr>
            <w:tcW w:w="90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54"/>
        </w:trPr>
        <w:tc>
          <w:tcPr>
            <w:tcW w:w="9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760" w:type="dxa"/>
            <w:vAlign w:val="bottom"/>
            <w:tcBorders>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2,710</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Amounts allocated to identifiable intangible assets included $0.9 million related to developed technology, $0.3 million related to customer relationships, and $0.1 million related to other intangible assets. The fair value of the acquired developed technology was determined using a multi-period excess earnings method. The fair value of the acquired customer relationships was determined using the with-and-without method which estimates the value using the cash flow impact in a scenario where the customer relationships are not in place. The recognized intangible assets will be amortized on a straight-line basis over the estimated useful lives of the respective assets.</w:t>
      </w:r>
    </w:p>
    <w:p>
      <w:pPr>
        <w:spacing w:after="0" w:line="2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Goodwill of $2.7 million arising from the acquisition includes the expected synergies between Yoke and the Company and intangible assets that do not qualify for separate recognition at the time of acquisition. The goodwill, which is deductible for income tax purposes, was assigned to the Company’s only reporting unit.</w:t>
      </w:r>
    </w:p>
    <w:p>
      <w:pPr>
        <w:spacing w:after="0" w:line="19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above table represents the final allocation of the purchase price. The Company did not record any material adjustment during the 12 months measurement period after the acquisition.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FINANCE RECEIVABLES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finance receivables consist of financed devices under its QuickStart program. Predominately all of the Company’s finance receivables agreements are classified as non-cancellable sixty-month sales-type leases. As of March 31, 2023 and June 30, 2022, finance receivables consist of the following:</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60" w:type="dxa"/>
            <w:vAlign w:val="bottom"/>
          </w:tcPr>
          <w:p>
            <w:pPr>
              <w:spacing w:after="0"/>
              <w:rPr>
                <w:sz w:val="14"/>
                <w:szCs w:val="14"/>
                <w:color w:val="auto"/>
              </w:rPr>
            </w:pPr>
          </w:p>
        </w:tc>
        <w:tc>
          <w:tcPr>
            <w:tcW w:w="1060" w:type="dxa"/>
            <w:vAlign w:val="bottom"/>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204"/>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40" w:type="dxa"/>
            <w:vAlign w:val="bottom"/>
          </w:tcPr>
          <w:p>
            <w:pPr>
              <w:spacing w:after="0"/>
              <w:rPr>
                <w:sz w:val="17"/>
                <w:szCs w:val="17"/>
                <w:color w:val="auto"/>
              </w:rPr>
            </w:pPr>
          </w:p>
        </w:tc>
        <w:tc>
          <w:tcPr>
            <w:tcW w:w="108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8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43"/>
        </w:trPr>
        <w:tc>
          <w:tcPr>
            <w:tcW w:w="8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finance receivables, net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6,721</w:t>
            </w:r>
          </w:p>
        </w:tc>
      </w:tr>
      <w:tr>
        <w:trPr>
          <w:trHeight w:val="243"/>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Finance receivables due after one year, net</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14,727</w:t>
            </w:r>
          </w:p>
        </w:tc>
      </w:tr>
      <w:tr>
        <w:trPr>
          <w:trHeight w:val="27"/>
        </w:trPr>
        <w:tc>
          <w:tcPr>
            <w:tcW w:w="8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88"/>
        </w:trPr>
        <w:tc>
          <w:tcPr>
            <w:tcW w:w="8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finance receivables, net of allowance of $864 and $760, respectively</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21,347</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21,448</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collect lease payments from customers primarily as part of the flow of funds from our transaction processing service. Balances are considered past due if customers do not have sufficient transaction revenue to cover the monthly lease payment by the end of the monthly billing period. The Company routinely monitors customer payment performance and uses prior payment performance as a measure to assess the capability of the customer to repay contractual obligations of the lease agreements as scheduled. On an as-needed basis, qualitative information may be taken into consideration if new information arises related to the customer’s ability to repay the lease.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Credit risk for these receivables is continuously monitored by management and reflected within the allowance for finance receivables by aggregating leases with similar risk characteristics into pools that are collectively assessed. Because the Company’s lease contracts generally have similar terms, customer characteristics around transaction processing volume and sales were used to disaggregate the leases. Our key credit quality indicator is the amount of transaction revenue we process for each customer relative to their lease payment due, as we consider this customer characteristic to be the strongest predictor of the risk of customer default. Customers with low processing volume or with transaction sales that are insufficient to cover the lease payment are considered to be at a higher risk of customer default.</w:t>
      </w:r>
    </w:p>
    <w:p>
      <w:pPr>
        <w:spacing w:after="0" w:line="20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Customers are pooled based on their ratio of gross sales to required monthly lease obligations. We categorize outstanding receivables into two categories: high ratio customers (customers who have adequate transaction processing volumes sufficient to cover monthly fees) and low ratio customers (customers that do not consistently have adequate transaction processing volumes sufficient to cover monthly fees). Using these two categories, we performed an analysis of historical write-offs to calculate reserve percentages by aging buckets for each category of customer.</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2023, the gross lease receivable by current payment performance on a contractual basis and year of origination consisted of the following:</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Leases by Origination</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Up to 1 Year Ago</w:t>
            </w:r>
          </w:p>
        </w:tc>
        <w:tc>
          <w:tcPr>
            <w:tcW w:w="1260" w:type="dxa"/>
            <w:vAlign w:val="bottom"/>
            <w:gridSpan w:val="3"/>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Between 1 and 2</w:t>
            </w:r>
          </w:p>
        </w:tc>
        <w:tc>
          <w:tcPr>
            <w:tcW w:w="118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Between 2 and 3</w:t>
            </w:r>
          </w:p>
        </w:tc>
        <w:tc>
          <w:tcPr>
            <w:tcW w:w="100" w:type="dxa"/>
            <w:vAlign w:val="bottom"/>
          </w:tcPr>
          <w:p>
            <w:pPr>
              <w:spacing w:after="0"/>
              <w:rPr>
                <w:sz w:val="11"/>
                <w:szCs w:val="11"/>
                <w:color w:val="auto"/>
              </w:rPr>
            </w:pPr>
          </w:p>
        </w:tc>
        <w:tc>
          <w:tcPr>
            <w:tcW w:w="1260" w:type="dxa"/>
            <w:vAlign w:val="bottom"/>
            <w:gridSpan w:val="3"/>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Between 3 and 4</w:t>
            </w:r>
          </w:p>
        </w:tc>
        <w:tc>
          <w:tcPr>
            <w:tcW w:w="1260" w:type="dxa"/>
            <w:vAlign w:val="bottom"/>
            <w:gridSpan w:val="3"/>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Between 4 and 5</w:t>
            </w:r>
          </w:p>
        </w:tc>
        <w:tc>
          <w:tcPr>
            <w:tcW w:w="1280" w:type="dxa"/>
            <w:vAlign w:val="bottom"/>
            <w:gridSpan w:val="3"/>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More than 5 Years</w:t>
            </w:r>
          </w:p>
        </w:tc>
        <w:tc>
          <w:tcPr>
            <w:tcW w:w="260" w:type="dxa"/>
            <w:vAlign w:val="bottom"/>
          </w:tcPr>
          <w:p>
            <w:pPr>
              <w:spacing w:after="0"/>
              <w:rPr>
                <w:sz w:val="11"/>
                <w:szCs w:val="11"/>
                <w:color w:val="auto"/>
              </w:rPr>
            </w:pPr>
          </w:p>
        </w:tc>
        <w:tc>
          <w:tcPr>
            <w:tcW w:w="920" w:type="dxa"/>
            <w:vAlign w:val="bottom"/>
            <w:vMerge w:val="restart"/>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340" w:type="dxa"/>
            <w:vAlign w:val="bottom"/>
            <w:gridSpan w:val="2"/>
            <w:vMerge w:val="continue"/>
          </w:tcPr>
          <w:p>
            <w:pPr>
              <w:spacing w:after="0"/>
              <w:rPr>
                <w:sz w:val="17"/>
                <w:szCs w:val="17"/>
                <w:color w:val="auto"/>
              </w:rPr>
            </w:pPr>
          </w:p>
        </w:tc>
        <w:tc>
          <w:tcPr>
            <w:tcW w:w="1280" w:type="dxa"/>
            <w:vAlign w:val="bottom"/>
            <w:gridSpan w:val="3"/>
            <w:vMerge w:val="continue"/>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Years Ago</w:t>
            </w:r>
          </w:p>
        </w:tc>
        <w:tc>
          <w:tcPr>
            <w:tcW w:w="200" w:type="dxa"/>
            <w:vAlign w:val="bottom"/>
          </w:tcPr>
          <w:p>
            <w:pPr>
              <w:spacing w:after="0"/>
              <w:rPr>
                <w:sz w:val="17"/>
                <w:szCs w:val="17"/>
                <w:color w:val="auto"/>
              </w:rPr>
            </w:pPr>
          </w:p>
        </w:tc>
        <w:tc>
          <w:tcPr>
            <w:tcW w:w="98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Years Ago</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Years Ago</w:t>
            </w:r>
          </w:p>
        </w:tc>
        <w:tc>
          <w:tcPr>
            <w:tcW w:w="200" w:type="dxa"/>
            <w:vAlign w:val="bottom"/>
          </w:tcPr>
          <w:p>
            <w:pPr>
              <w:spacing w:after="0"/>
              <w:rPr>
                <w:sz w:val="17"/>
                <w:szCs w:val="17"/>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Years Ago</w:t>
            </w:r>
          </w:p>
        </w:tc>
        <w:tc>
          <w:tcPr>
            <w:tcW w:w="300" w:type="dxa"/>
            <w:vAlign w:val="bottom"/>
          </w:tcPr>
          <w:p>
            <w:pPr>
              <w:spacing w:after="0"/>
              <w:rPr>
                <w:sz w:val="17"/>
                <w:szCs w:val="17"/>
                <w:color w:val="auto"/>
              </w:rPr>
            </w:pP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Ago</w:t>
            </w:r>
          </w:p>
        </w:tc>
        <w:tc>
          <w:tcPr>
            <w:tcW w:w="26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19,970</w:t>
            </w:r>
          </w:p>
        </w:tc>
        <w:tc>
          <w:tcPr>
            <w:tcW w:w="0" w:type="dxa"/>
            <w:vAlign w:val="bottom"/>
          </w:tcPr>
          <w:p>
            <w:pPr>
              <w:spacing w:after="0"/>
              <w:rPr>
                <w:sz w:val="1"/>
                <w:szCs w:val="1"/>
                <w:color w:val="auto"/>
              </w:rPr>
            </w:pPr>
          </w:p>
        </w:tc>
      </w:tr>
      <w:tr>
        <w:trPr>
          <w:trHeight w:val="230"/>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30 days and under</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0" w:type="dxa"/>
            <w:vAlign w:val="bottom"/>
          </w:tcPr>
          <w:p>
            <w:pPr>
              <w:spacing w:after="0"/>
              <w:rPr>
                <w:sz w:val="1"/>
                <w:szCs w:val="1"/>
                <w:color w:val="auto"/>
              </w:rPr>
            </w:pPr>
          </w:p>
        </w:tc>
      </w:tr>
      <w:tr>
        <w:trPr>
          <w:trHeight w:val="229"/>
        </w:trPr>
        <w:tc>
          <w:tcPr>
            <w:tcW w:w="2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31-60 days</w:t>
            </w: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29"/>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61-90 days</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30"/>
        </w:trPr>
        <w:tc>
          <w:tcPr>
            <w:tcW w:w="2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Greater than 90 days</w:t>
            </w:r>
          </w:p>
        </w:tc>
        <w:tc>
          <w:tcPr>
            <w:tcW w:w="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w:t>
            </w:r>
          </w:p>
        </w:tc>
        <w:tc>
          <w:tcPr>
            <w:tcW w:w="0" w:type="dxa"/>
            <w:vAlign w:val="bottom"/>
          </w:tcPr>
          <w:p>
            <w:pPr>
              <w:spacing w:after="0"/>
              <w:rPr>
                <w:sz w:val="1"/>
                <w:szCs w:val="1"/>
                <w:color w:val="auto"/>
              </w:rPr>
            </w:pPr>
          </w:p>
        </w:tc>
      </w:tr>
      <w:tr>
        <w:trPr>
          <w:trHeight w:val="223"/>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finance receivables</w:t>
            </w:r>
          </w:p>
        </w:tc>
        <w:tc>
          <w:tcPr>
            <w:tcW w:w="40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2,521</w:t>
            </w:r>
          </w:p>
        </w:tc>
        <w:tc>
          <w:tcPr>
            <w:tcW w:w="80" w:type="dxa"/>
            <w:vAlign w:val="bottom"/>
          </w:tcPr>
          <w:p>
            <w:pPr>
              <w:spacing w:after="0"/>
              <w:rPr>
                <w:sz w:val="19"/>
                <w:szCs w:val="19"/>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22,211</w:t>
            </w:r>
          </w:p>
        </w:tc>
        <w:tc>
          <w:tcPr>
            <w:tcW w:w="0" w:type="dxa"/>
            <w:vAlign w:val="bottom"/>
          </w:tcPr>
          <w:p>
            <w:pPr>
              <w:spacing w:after="0"/>
              <w:rPr>
                <w:sz w:val="1"/>
                <w:szCs w:val="1"/>
                <w:color w:val="auto"/>
              </w:rPr>
            </w:pPr>
          </w:p>
        </w:tc>
      </w:tr>
      <w:tr>
        <w:trPr>
          <w:trHeight w:val="21"/>
        </w:trPr>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June 30, 2022, the gross lease receivable by current payment performance on a contractual basis and year of origination consisted of the following:</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Leases by Origination</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Up to 1 Year Ago</w:t>
            </w:r>
          </w:p>
        </w:tc>
        <w:tc>
          <w:tcPr>
            <w:tcW w:w="1260" w:type="dxa"/>
            <w:vAlign w:val="bottom"/>
            <w:gridSpan w:val="3"/>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Between 1 and 2</w:t>
            </w:r>
          </w:p>
        </w:tc>
        <w:tc>
          <w:tcPr>
            <w:tcW w:w="118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Between 2 and 3</w:t>
            </w:r>
          </w:p>
        </w:tc>
        <w:tc>
          <w:tcPr>
            <w:tcW w:w="100" w:type="dxa"/>
            <w:vAlign w:val="bottom"/>
          </w:tcPr>
          <w:p>
            <w:pPr>
              <w:spacing w:after="0"/>
              <w:rPr>
                <w:sz w:val="11"/>
                <w:szCs w:val="11"/>
                <w:color w:val="auto"/>
              </w:rPr>
            </w:pPr>
          </w:p>
        </w:tc>
        <w:tc>
          <w:tcPr>
            <w:tcW w:w="1260" w:type="dxa"/>
            <w:vAlign w:val="bottom"/>
            <w:gridSpan w:val="3"/>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Between 3 and 4</w:t>
            </w:r>
          </w:p>
        </w:tc>
        <w:tc>
          <w:tcPr>
            <w:tcW w:w="1260" w:type="dxa"/>
            <w:vAlign w:val="bottom"/>
            <w:gridSpan w:val="3"/>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Between 4 and 5</w:t>
            </w:r>
          </w:p>
        </w:tc>
        <w:tc>
          <w:tcPr>
            <w:tcW w:w="1280" w:type="dxa"/>
            <w:vAlign w:val="bottom"/>
            <w:gridSpan w:val="3"/>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More than 5 Years</w:t>
            </w:r>
          </w:p>
        </w:tc>
        <w:tc>
          <w:tcPr>
            <w:tcW w:w="260" w:type="dxa"/>
            <w:vAlign w:val="bottom"/>
          </w:tcPr>
          <w:p>
            <w:pPr>
              <w:spacing w:after="0"/>
              <w:rPr>
                <w:sz w:val="11"/>
                <w:szCs w:val="11"/>
                <w:color w:val="auto"/>
              </w:rPr>
            </w:pPr>
          </w:p>
        </w:tc>
        <w:tc>
          <w:tcPr>
            <w:tcW w:w="920" w:type="dxa"/>
            <w:vAlign w:val="bottom"/>
            <w:vMerge w:val="restart"/>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340" w:type="dxa"/>
            <w:vAlign w:val="bottom"/>
            <w:gridSpan w:val="2"/>
            <w:vMerge w:val="continue"/>
          </w:tcPr>
          <w:p>
            <w:pPr>
              <w:spacing w:after="0"/>
              <w:rPr>
                <w:sz w:val="17"/>
                <w:szCs w:val="17"/>
                <w:color w:val="auto"/>
              </w:rPr>
            </w:pPr>
          </w:p>
        </w:tc>
        <w:tc>
          <w:tcPr>
            <w:tcW w:w="1280" w:type="dxa"/>
            <w:vAlign w:val="bottom"/>
            <w:gridSpan w:val="3"/>
            <w:vMerge w:val="continue"/>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Years Ago</w:t>
            </w:r>
          </w:p>
        </w:tc>
        <w:tc>
          <w:tcPr>
            <w:tcW w:w="200" w:type="dxa"/>
            <w:vAlign w:val="bottom"/>
          </w:tcPr>
          <w:p>
            <w:pPr>
              <w:spacing w:after="0"/>
              <w:rPr>
                <w:sz w:val="17"/>
                <w:szCs w:val="17"/>
                <w:color w:val="auto"/>
              </w:rPr>
            </w:pPr>
          </w:p>
        </w:tc>
        <w:tc>
          <w:tcPr>
            <w:tcW w:w="98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Years Ago</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Years Ago</w:t>
            </w:r>
          </w:p>
        </w:tc>
        <w:tc>
          <w:tcPr>
            <w:tcW w:w="200" w:type="dxa"/>
            <w:vAlign w:val="bottom"/>
          </w:tcPr>
          <w:p>
            <w:pPr>
              <w:spacing w:after="0"/>
              <w:rPr>
                <w:sz w:val="17"/>
                <w:szCs w:val="17"/>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Years Ago</w:t>
            </w:r>
          </w:p>
        </w:tc>
        <w:tc>
          <w:tcPr>
            <w:tcW w:w="300" w:type="dxa"/>
            <w:vAlign w:val="bottom"/>
          </w:tcPr>
          <w:p>
            <w:pPr>
              <w:spacing w:after="0"/>
              <w:rPr>
                <w:sz w:val="17"/>
                <w:szCs w:val="17"/>
                <w:color w:val="auto"/>
              </w:rPr>
            </w:pP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Ago</w:t>
            </w:r>
          </w:p>
        </w:tc>
        <w:tc>
          <w:tcPr>
            <w:tcW w:w="26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2,807</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20,759</w:t>
            </w:r>
          </w:p>
        </w:tc>
        <w:tc>
          <w:tcPr>
            <w:tcW w:w="0" w:type="dxa"/>
            <w:vAlign w:val="bottom"/>
          </w:tcPr>
          <w:p>
            <w:pPr>
              <w:spacing w:after="0"/>
              <w:rPr>
                <w:sz w:val="1"/>
                <w:szCs w:val="1"/>
                <w:color w:val="auto"/>
              </w:rPr>
            </w:pPr>
          </w:p>
        </w:tc>
      </w:tr>
      <w:tr>
        <w:trPr>
          <w:trHeight w:val="229"/>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30 days and under</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30"/>
        </w:trPr>
        <w:tc>
          <w:tcPr>
            <w:tcW w:w="2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31-60 days</w:t>
            </w: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30"/>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61-90 days</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30"/>
        </w:trPr>
        <w:tc>
          <w:tcPr>
            <w:tcW w:w="2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Greater than 90 days</w:t>
            </w: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0" w:type="dxa"/>
            <w:vAlign w:val="bottom"/>
          </w:tcPr>
          <w:p>
            <w:pPr>
              <w:spacing w:after="0"/>
              <w:rPr>
                <w:sz w:val="1"/>
                <w:szCs w:val="1"/>
                <w:color w:val="auto"/>
              </w:rPr>
            </w:pPr>
          </w:p>
        </w:tc>
      </w:tr>
      <w:tr>
        <w:trPr>
          <w:trHeight w:val="223"/>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finance receivables</w:t>
            </w:r>
          </w:p>
        </w:tc>
        <w:tc>
          <w:tcPr>
            <w:tcW w:w="40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7,560</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5,141</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2,933</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2,985</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3,483</w:t>
            </w: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22,208</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2023, credit quality indicators by year of origination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Leases by Origination</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Up to 1 Year Ago</w:t>
            </w:r>
          </w:p>
        </w:tc>
        <w:tc>
          <w:tcPr>
            <w:tcW w:w="1260" w:type="dxa"/>
            <w:vAlign w:val="bottom"/>
            <w:gridSpan w:val="3"/>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Between 1 and 2</w:t>
            </w:r>
          </w:p>
        </w:tc>
        <w:tc>
          <w:tcPr>
            <w:tcW w:w="118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Between 2 and 3</w:t>
            </w:r>
          </w:p>
        </w:tc>
        <w:tc>
          <w:tcPr>
            <w:tcW w:w="100" w:type="dxa"/>
            <w:vAlign w:val="bottom"/>
          </w:tcPr>
          <w:p>
            <w:pPr>
              <w:spacing w:after="0"/>
              <w:rPr>
                <w:sz w:val="11"/>
                <w:szCs w:val="11"/>
                <w:color w:val="auto"/>
              </w:rPr>
            </w:pPr>
          </w:p>
        </w:tc>
        <w:tc>
          <w:tcPr>
            <w:tcW w:w="1260" w:type="dxa"/>
            <w:vAlign w:val="bottom"/>
            <w:gridSpan w:val="3"/>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Between 3 and 4</w:t>
            </w:r>
          </w:p>
        </w:tc>
        <w:tc>
          <w:tcPr>
            <w:tcW w:w="1260" w:type="dxa"/>
            <w:vAlign w:val="bottom"/>
            <w:gridSpan w:val="3"/>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Between 4 and 5</w:t>
            </w:r>
          </w:p>
        </w:tc>
        <w:tc>
          <w:tcPr>
            <w:tcW w:w="1280" w:type="dxa"/>
            <w:vAlign w:val="bottom"/>
            <w:gridSpan w:val="3"/>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More than 5 Years</w:t>
            </w:r>
          </w:p>
        </w:tc>
        <w:tc>
          <w:tcPr>
            <w:tcW w:w="260" w:type="dxa"/>
            <w:vAlign w:val="bottom"/>
          </w:tcPr>
          <w:p>
            <w:pPr>
              <w:spacing w:after="0"/>
              <w:rPr>
                <w:sz w:val="11"/>
                <w:szCs w:val="11"/>
                <w:color w:val="auto"/>
              </w:rPr>
            </w:pPr>
          </w:p>
        </w:tc>
        <w:tc>
          <w:tcPr>
            <w:tcW w:w="920" w:type="dxa"/>
            <w:vAlign w:val="bottom"/>
            <w:vMerge w:val="restart"/>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340" w:type="dxa"/>
            <w:vAlign w:val="bottom"/>
            <w:gridSpan w:val="2"/>
            <w:vMerge w:val="continue"/>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Years Ago</w:t>
            </w:r>
          </w:p>
        </w:tc>
        <w:tc>
          <w:tcPr>
            <w:tcW w:w="200" w:type="dxa"/>
            <w:vAlign w:val="bottom"/>
          </w:tcPr>
          <w:p>
            <w:pPr>
              <w:spacing w:after="0"/>
              <w:rPr>
                <w:sz w:val="16"/>
                <w:szCs w:val="16"/>
                <w:color w:val="auto"/>
              </w:rPr>
            </w:pPr>
          </w:p>
        </w:tc>
        <w:tc>
          <w:tcPr>
            <w:tcW w:w="98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Years Ago</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Years Ago</w:t>
            </w:r>
          </w:p>
        </w:tc>
        <w:tc>
          <w:tcPr>
            <w:tcW w:w="20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Years Ago</w:t>
            </w:r>
          </w:p>
        </w:tc>
        <w:tc>
          <w:tcPr>
            <w:tcW w:w="300" w:type="dxa"/>
            <w:vAlign w:val="bottom"/>
          </w:tcPr>
          <w:p>
            <w:pPr>
              <w:spacing w:after="0"/>
              <w:rPr>
                <w:sz w:val="16"/>
                <w:szCs w:val="16"/>
                <w:color w:val="auto"/>
              </w:rPr>
            </w:pP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Ago</w:t>
            </w:r>
          </w:p>
        </w:tc>
        <w:tc>
          <w:tcPr>
            <w:tcW w:w="2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High ratio customers</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20,143</w:t>
            </w:r>
          </w:p>
        </w:tc>
        <w:tc>
          <w:tcPr>
            <w:tcW w:w="0" w:type="dxa"/>
            <w:vAlign w:val="bottom"/>
          </w:tcPr>
          <w:p>
            <w:pPr>
              <w:spacing w:after="0"/>
              <w:rPr>
                <w:sz w:val="1"/>
                <w:szCs w:val="1"/>
                <w:color w:val="auto"/>
              </w:rPr>
            </w:pPr>
          </w:p>
        </w:tc>
      </w:tr>
      <w:tr>
        <w:trPr>
          <w:trHeight w:val="229"/>
        </w:trPr>
        <w:tc>
          <w:tcPr>
            <w:tcW w:w="23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Low ratio customers</w:t>
            </w: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2,068</w:t>
            </w:r>
          </w:p>
        </w:tc>
        <w:tc>
          <w:tcPr>
            <w:tcW w:w="0" w:type="dxa"/>
            <w:vAlign w:val="bottom"/>
          </w:tcPr>
          <w:p>
            <w:pPr>
              <w:spacing w:after="0"/>
              <w:rPr>
                <w:sz w:val="1"/>
                <w:szCs w:val="1"/>
                <w:color w:val="auto"/>
              </w:rPr>
            </w:pPr>
          </w:p>
        </w:tc>
      </w:tr>
      <w:tr>
        <w:trPr>
          <w:trHeight w:val="248"/>
        </w:trPr>
        <w:tc>
          <w:tcPr>
            <w:tcW w:w="23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finance receivables</w:t>
            </w:r>
          </w:p>
        </w:tc>
        <w:tc>
          <w:tcPr>
            <w:tcW w:w="40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2,521</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22,211</w:t>
            </w: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June 30, 2022, credit quality indicators by year of origination consisted of the following:</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Leases by Origination</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Up to 1 Year Ago</w:t>
            </w:r>
          </w:p>
        </w:tc>
        <w:tc>
          <w:tcPr>
            <w:tcW w:w="1260" w:type="dxa"/>
            <w:vAlign w:val="bottom"/>
            <w:gridSpan w:val="3"/>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Between 1 and 2</w:t>
            </w:r>
          </w:p>
        </w:tc>
        <w:tc>
          <w:tcPr>
            <w:tcW w:w="118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Between 2 and 3</w:t>
            </w:r>
          </w:p>
        </w:tc>
        <w:tc>
          <w:tcPr>
            <w:tcW w:w="100" w:type="dxa"/>
            <w:vAlign w:val="bottom"/>
          </w:tcPr>
          <w:p>
            <w:pPr>
              <w:spacing w:after="0"/>
              <w:rPr>
                <w:sz w:val="11"/>
                <w:szCs w:val="11"/>
                <w:color w:val="auto"/>
              </w:rPr>
            </w:pPr>
          </w:p>
        </w:tc>
        <w:tc>
          <w:tcPr>
            <w:tcW w:w="1260" w:type="dxa"/>
            <w:vAlign w:val="bottom"/>
            <w:gridSpan w:val="3"/>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Between 3 and 4</w:t>
            </w:r>
          </w:p>
        </w:tc>
        <w:tc>
          <w:tcPr>
            <w:tcW w:w="1260" w:type="dxa"/>
            <w:vAlign w:val="bottom"/>
            <w:gridSpan w:val="3"/>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Between 4 and 5</w:t>
            </w:r>
          </w:p>
        </w:tc>
        <w:tc>
          <w:tcPr>
            <w:tcW w:w="1280" w:type="dxa"/>
            <w:vAlign w:val="bottom"/>
            <w:gridSpan w:val="3"/>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More than 5 Years</w:t>
            </w:r>
          </w:p>
        </w:tc>
        <w:tc>
          <w:tcPr>
            <w:tcW w:w="260" w:type="dxa"/>
            <w:vAlign w:val="bottom"/>
          </w:tcPr>
          <w:p>
            <w:pPr>
              <w:spacing w:after="0"/>
              <w:rPr>
                <w:sz w:val="11"/>
                <w:szCs w:val="11"/>
                <w:color w:val="auto"/>
              </w:rPr>
            </w:pPr>
          </w:p>
        </w:tc>
        <w:tc>
          <w:tcPr>
            <w:tcW w:w="920" w:type="dxa"/>
            <w:vAlign w:val="bottom"/>
            <w:vMerge w:val="restart"/>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340" w:type="dxa"/>
            <w:vAlign w:val="bottom"/>
            <w:gridSpan w:val="2"/>
            <w:vMerge w:val="continue"/>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Years Ago</w:t>
            </w:r>
          </w:p>
        </w:tc>
        <w:tc>
          <w:tcPr>
            <w:tcW w:w="200" w:type="dxa"/>
            <w:vAlign w:val="bottom"/>
          </w:tcPr>
          <w:p>
            <w:pPr>
              <w:spacing w:after="0"/>
              <w:rPr>
                <w:sz w:val="16"/>
                <w:szCs w:val="16"/>
                <w:color w:val="auto"/>
              </w:rPr>
            </w:pPr>
          </w:p>
        </w:tc>
        <w:tc>
          <w:tcPr>
            <w:tcW w:w="98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Years Ago</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Years Ago</w:t>
            </w:r>
          </w:p>
        </w:tc>
        <w:tc>
          <w:tcPr>
            <w:tcW w:w="20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Years Ago</w:t>
            </w:r>
          </w:p>
        </w:tc>
        <w:tc>
          <w:tcPr>
            <w:tcW w:w="300" w:type="dxa"/>
            <w:vAlign w:val="bottom"/>
          </w:tcPr>
          <w:p>
            <w:pPr>
              <w:spacing w:after="0"/>
              <w:rPr>
                <w:sz w:val="16"/>
                <w:szCs w:val="16"/>
                <w:color w:val="auto"/>
              </w:rPr>
            </w:pP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Ago</w:t>
            </w:r>
          </w:p>
        </w:tc>
        <w:tc>
          <w:tcPr>
            <w:tcW w:w="2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High ratio customers</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20,714</w:t>
            </w:r>
          </w:p>
        </w:tc>
        <w:tc>
          <w:tcPr>
            <w:tcW w:w="0" w:type="dxa"/>
            <w:vAlign w:val="bottom"/>
          </w:tcPr>
          <w:p>
            <w:pPr>
              <w:spacing w:after="0"/>
              <w:rPr>
                <w:sz w:val="1"/>
                <w:szCs w:val="1"/>
                <w:color w:val="auto"/>
              </w:rPr>
            </w:pPr>
          </w:p>
        </w:tc>
      </w:tr>
      <w:tr>
        <w:trPr>
          <w:trHeight w:val="229"/>
        </w:trPr>
        <w:tc>
          <w:tcPr>
            <w:tcW w:w="23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Low ratio customers</w:t>
            </w: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0" w:type="dxa"/>
            <w:vAlign w:val="bottom"/>
          </w:tcPr>
          <w:p>
            <w:pPr>
              <w:spacing w:after="0"/>
              <w:rPr>
                <w:sz w:val="1"/>
                <w:szCs w:val="1"/>
                <w:color w:val="auto"/>
              </w:rPr>
            </w:pPr>
          </w:p>
        </w:tc>
      </w:tr>
      <w:tr>
        <w:trPr>
          <w:trHeight w:val="248"/>
        </w:trPr>
        <w:tc>
          <w:tcPr>
            <w:tcW w:w="23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finance receivables</w:t>
            </w:r>
          </w:p>
        </w:tc>
        <w:tc>
          <w:tcPr>
            <w:tcW w:w="40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3,483</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22,208</w:t>
            </w: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a rollforward of the allowance for finance receivables for the three and nine months ending March 31, 2023 and 2022:</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p>
      <w:pPr>
        <w:spacing w:after="0" w:line="1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Provision for expected losses</w:t>
      </w:r>
    </w:p>
    <w:p>
      <w:pPr>
        <w:spacing w:after="0" w:line="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Write-offs</w:t>
      </w:r>
    </w:p>
    <w:p>
      <w:pPr>
        <w:spacing w:after="0" w:line="1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end of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p>
      <w:pPr>
        <w:spacing w:after="0" w:line="20" w:lineRule="exact"/>
        <w:rPr>
          <w:sz w:val="20"/>
          <w:szCs w:val="20"/>
          <w:color w:val="auto"/>
        </w:rPr>
      </w:pPr>
      <w:r>
        <w:rPr>
          <w:sz w:val="20"/>
          <w:szCs w:val="20"/>
          <w:color w:val="auto"/>
        </w:rPr>
        <w:br w:type="column"/>
      </w:r>
    </w:p>
    <w:p>
      <w:pPr>
        <w:spacing w:after="0" w:line="266" w:lineRule="exact"/>
        <w:rPr>
          <w:sz w:val="20"/>
          <w:szCs w:val="20"/>
          <w:color w:val="auto"/>
        </w:rPr>
      </w:pPr>
    </w:p>
    <w:p>
      <w:pPr>
        <w:spacing w:after="0" w:line="1" w:lineRule="exact"/>
        <w:rPr>
          <w:sz w:val="1"/>
          <w:szCs w:val="1"/>
          <w:color w:val="auto"/>
        </w:rPr>
      </w:pPr>
    </w:p>
    <w:tbl>
      <w:tblPr>
        <w:tblLayout w:type="fixed"/>
        <w:tblInd w:w="140" w:type="dxa"/>
        <w:tblCellMar>
          <w:top w:w="0" w:type="dxa"/>
          <w:left w:w="0" w:type="dxa"/>
          <w:bottom w:w="0" w:type="dxa"/>
          <w:right w:w="0" w:type="dxa"/>
        </w:tblCellMar>
      </w:tblPr>
      <w:tr>
        <w:trPr>
          <w:trHeight w:val="176"/>
        </w:trPr>
        <w:tc>
          <w:tcPr>
            <w:tcW w:w="19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March</w:t>
            </w: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0"/>
        </w:trPr>
        <w:tc>
          <w:tcPr>
            <w:tcW w:w="1780" w:type="dxa"/>
            <w:vAlign w:val="bottom"/>
          </w:tcPr>
          <w:p>
            <w:pPr>
              <w:jc w:val="right"/>
              <w:ind w:right="728"/>
              <w:spacing w:after="0"/>
              <w:rPr>
                <w:sz w:val="20"/>
                <w:szCs w:val="20"/>
                <w:color w:val="auto"/>
              </w:rPr>
            </w:pPr>
            <w:r>
              <w:rPr>
                <w:rFonts w:ascii="Times New Roman" w:cs="Times New Roman" w:eastAsia="Times New Roman" w:hAnsi="Times New Roman"/>
                <w:sz w:val="14"/>
                <w:szCs w:val="14"/>
                <w:b w:val="1"/>
                <w:bCs w:val="1"/>
                <w:color w:val="auto"/>
              </w:rPr>
              <w:t>31,</w:t>
            </w:r>
          </w:p>
        </w:tc>
        <w:tc>
          <w:tcPr>
            <w:tcW w:w="120" w:type="dxa"/>
            <w:vAlign w:val="bottom"/>
          </w:tcPr>
          <w:p>
            <w:pPr>
              <w:spacing w:after="0"/>
              <w:rPr>
                <w:sz w:val="16"/>
                <w:szCs w:val="16"/>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37"/>
        </w:trPr>
        <w:tc>
          <w:tcPr>
            <w:tcW w:w="17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r>
      <w:tr>
        <w:trPr>
          <w:trHeight w:val="186"/>
        </w:trPr>
        <w:tc>
          <w:tcPr>
            <w:tcW w:w="1780" w:type="dxa"/>
            <w:vAlign w:val="bottom"/>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37"/>
        </w:trPr>
        <w:tc>
          <w:tcPr>
            <w:tcW w:w="17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-4744085</wp:posOffset>
            </wp:positionH>
            <wp:positionV relativeFrom="paragraph">
              <wp:posOffset>26035</wp:posOffset>
            </wp:positionV>
            <wp:extent cx="71323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9" w:lineRule="exact"/>
        <w:rPr>
          <w:sz w:val="20"/>
          <w:szCs w:val="20"/>
          <w:color w:val="auto"/>
        </w:rPr>
      </w:pPr>
    </w:p>
    <w:tbl>
      <w:tblPr>
        <w:tblLayout w:type="fixed"/>
        <w:tblInd w:w="140" w:type="dxa"/>
        <w:tblCellMar>
          <w:top w:w="0" w:type="dxa"/>
          <w:left w:w="0" w:type="dxa"/>
          <w:bottom w:w="0" w:type="dxa"/>
          <w:right w:w="0" w:type="dxa"/>
        </w:tblCellMar>
      </w:tblPr>
      <w:tr>
        <w:trPr>
          <w:trHeight w:val="234"/>
        </w:trPr>
        <w:tc>
          <w:tcPr>
            <w:tcW w:w="7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120" w:type="dxa"/>
            <w:vAlign w:val="bottom"/>
          </w:tcPr>
          <w:p>
            <w:pPr>
              <w:spacing w:after="0"/>
              <w:rPr>
                <w:sz w:val="20"/>
                <w:szCs w:val="20"/>
                <w:color w:val="auto"/>
              </w:rPr>
            </w:pPr>
          </w:p>
        </w:tc>
        <w:tc>
          <w:tcPr>
            <w:tcW w:w="6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w:t>
            </w:r>
          </w:p>
        </w:tc>
      </w:tr>
      <w:tr>
        <w:trPr>
          <w:trHeight w:val="270"/>
        </w:trPr>
        <w:tc>
          <w:tcPr>
            <w:tcW w:w="780" w:type="dxa"/>
            <w:vAlign w:val="bottom"/>
          </w:tcPr>
          <w:p>
            <w:pPr>
              <w:spacing w:after="0"/>
              <w:rPr>
                <w:sz w:val="23"/>
                <w:szCs w:val="23"/>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r>
      <w:tr>
        <w:trPr>
          <w:trHeight w:val="270"/>
        </w:trPr>
        <w:tc>
          <w:tcPr>
            <w:tcW w:w="780" w:type="dxa"/>
            <w:vAlign w:val="bottom"/>
          </w:tcPr>
          <w:p>
            <w:pPr>
              <w:spacing w:after="0"/>
              <w:rPr>
                <w:sz w:val="23"/>
                <w:szCs w:val="23"/>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7"/>
        </w:trPr>
        <w:tc>
          <w:tcPr>
            <w:tcW w:w="7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7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120" w:type="dxa"/>
            <w:vAlign w:val="bottom"/>
          </w:tcPr>
          <w:p>
            <w:pPr>
              <w:spacing w:after="0"/>
              <w:rPr>
                <w:sz w:val="20"/>
                <w:szCs w:val="20"/>
                <w:color w:val="auto"/>
              </w:rPr>
            </w:pPr>
          </w:p>
        </w:tc>
        <w:tc>
          <w:tcPr>
            <w:tcW w:w="6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w:t>
            </w:r>
          </w:p>
        </w:tc>
      </w:tr>
      <w:tr>
        <w:trPr>
          <w:trHeight w:val="27"/>
        </w:trPr>
        <w:tc>
          <w:tcPr>
            <w:tcW w:w="7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7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-4744085</wp:posOffset>
            </wp:positionH>
            <wp:positionV relativeFrom="paragraph">
              <wp:posOffset>-385445</wp:posOffset>
            </wp:positionV>
            <wp:extent cx="71323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Nine months ended March</w:t>
            </w:r>
          </w:p>
        </w:tc>
        <w:tc>
          <w:tcPr>
            <w:tcW w:w="17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March</w:t>
            </w:r>
          </w:p>
        </w:tc>
      </w:tr>
      <w:tr>
        <w:trPr>
          <w:trHeight w:val="190"/>
        </w:trPr>
        <w:tc>
          <w:tcPr>
            <w:tcW w:w="1780" w:type="dxa"/>
            <w:vAlign w:val="bottom"/>
          </w:tcPr>
          <w:p>
            <w:pPr>
              <w:jc w:val="right"/>
              <w:ind w:right="728"/>
              <w:spacing w:after="0"/>
              <w:rPr>
                <w:sz w:val="20"/>
                <w:szCs w:val="20"/>
                <w:color w:val="auto"/>
              </w:rPr>
            </w:pPr>
            <w:r>
              <w:rPr>
                <w:rFonts w:ascii="Times New Roman" w:cs="Times New Roman" w:eastAsia="Times New Roman" w:hAnsi="Times New Roman"/>
                <w:sz w:val="14"/>
                <w:szCs w:val="14"/>
                <w:b w:val="1"/>
                <w:bCs w:val="1"/>
                <w:color w:val="auto"/>
              </w:rPr>
              <w:t>31,</w:t>
            </w:r>
          </w:p>
        </w:tc>
        <w:tc>
          <w:tcPr>
            <w:tcW w:w="120" w:type="dxa"/>
            <w:vAlign w:val="bottom"/>
          </w:tcPr>
          <w:p>
            <w:pPr>
              <w:spacing w:after="0"/>
              <w:rPr>
                <w:sz w:val="16"/>
                <w:szCs w:val="16"/>
                <w:color w:val="auto"/>
              </w:rPr>
            </w:pPr>
          </w:p>
        </w:tc>
        <w:tc>
          <w:tcPr>
            <w:tcW w:w="1720" w:type="dxa"/>
            <w:vAlign w:val="bottom"/>
          </w:tcPr>
          <w:p>
            <w:pPr>
              <w:jc w:val="right"/>
              <w:ind w:right="688"/>
              <w:spacing w:after="0"/>
              <w:rPr>
                <w:sz w:val="20"/>
                <w:szCs w:val="20"/>
                <w:color w:val="auto"/>
              </w:rPr>
            </w:pPr>
            <w:r>
              <w:rPr>
                <w:rFonts w:ascii="Times New Roman" w:cs="Times New Roman" w:eastAsia="Times New Roman" w:hAnsi="Times New Roman"/>
                <w:sz w:val="14"/>
                <w:szCs w:val="14"/>
                <w:b w:val="1"/>
                <w:bCs w:val="1"/>
                <w:color w:val="auto"/>
              </w:rPr>
              <w:t>31,</w:t>
            </w:r>
          </w:p>
        </w:tc>
      </w:tr>
      <w:tr>
        <w:trPr>
          <w:trHeight w:val="50"/>
        </w:trPr>
        <w:tc>
          <w:tcPr>
            <w:tcW w:w="17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r>
      <w:tr>
        <w:trPr>
          <w:trHeight w:val="186"/>
        </w:trPr>
        <w:tc>
          <w:tcPr>
            <w:tcW w:w="1780" w:type="dxa"/>
            <w:vAlign w:val="bottom"/>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1720" w:type="dxa"/>
            <w:vAlign w:val="bottom"/>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17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r>
    </w:tbl>
    <w:p>
      <w:pPr>
        <w:spacing w:after="0" w:line="40" w:lineRule="exact"/>
        <w:rPr>
          <w:sz w:val="20"/>
          <w:szCs w:val="20"/>
          <w:color w:val="auto"/>
        </w:rPr>
      </w:pPr>
    </w:p>
    <w:p>
      <w:pPr>
        <w:sectPr>
          <w:pgSz w:w="11900" w:h="16838" w:orient="portrait"/>
          <w:cols w:equalWidth="0" w:num="2">
            <w:col w:w="6760" w:space="720"/>
            <w:col w:w="376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7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74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rPr>
              <w:t>760</w:t>
            </w:r>
          </w:p>
        </w:tc>
        <w:tc>
          <w:tcPr>
            <w:tcW w:w="12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w:t>
            </w:r>
          </w:p>
        </w:tc>
      </w:tr>
      <w:tr>
        <w:trPr>
          <w:trHeight w:val="270"/>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expected losses</w:t>
            </w:r>
          </w:p>
        </w:tc>
        <w:tc>
          <w:tcPr>
            <w:tcW w:w="740" w:type="dxa"/>
            <w:vAlign w:val="bottom"/>
          </w:tcPr>
          <w:p>
            <w:pPr>
              <w:spacing w:after="0"/>
              <w:rPr>
                <w:sz w:val="23"/>
                <w:szCs w:val="23"/>
                <w:color w:val="auto"/>
              </w:rPr>
            </w:pPr>
          </w:p>
        </w:tc>
        <w:tc>
          <w:tcPr>
            <w:tcW w:w="104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rPr>
              <w:t>392</w:t>
            </w: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r>
      <w:tr>
        <w:trPr>
          <w:trHeight w:val="27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Write-offs</w:t>
            </w:r>
          </w:p>
        </w:tc>
        <w:tc>
          <w:tcPr>
            <w:tcW w:w="7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center"/>
              <w:ind w:left="530"/>
              <w:spacing w:after="0"/>
              <w:rPr>
                <w:sz w:val="20"/>
                <w:szCs w:val="20"/>
                <w:color w:val="auto"/>
              </w:rPr>
            </w:pPr>
            <w:r>
              <w:rPr>
                <w:rFonts w:ascii="Times New Roman" w:cs="Times New Roman" w:eastAsia="Times New Roman" w:hAnsi="Times New Roman"/>
                <w:sz w:val="18"/>
                <w:szCs w:val="18"/>
                <w:color w:val="auto"/>
                <w:w w:val="97"/>
              </w:rPr>
              <w:t>(288)</w:t>
            </w:r>
          </w:p>
        </w:tc>
        <w:tc>
          <w:tcPr>
            <w:tcW w:w="120" w:type="dxa"/>
            <w:vAlign w:val="bottom"/>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r>
      <w:tr>
        <w:trPr>
          <w:trHeight w:val="264"/>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7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center"/>
              <w:ind w:left="550"/>
              <w:spacing w:after="0"/>
              <w:rPr>
                <w:sz w:val="20"/>
                <w:szCs w:val="20"/>
                <w:color w:val="auto"/>
              </w:rPr>
            </w:pPr>
            <w:r>
              <w:rPr>
                <w:rFonts w:ascii="Times New Roman" w:cs="Times New Roman" w:eastAsia="Times New Roman" w:hAnsi="Times New Roman"/>
                <w:sz w:val="18"/>
                <w:szCs w:val="18"/>
                <w:color w:val="auto"/>
              </w:rPr>
              <w:t>864</w:t>
            </w:r>
          </w:p>
        </w:tc>
        <w:tc>
          <w:tcPr>
            <w:tcW w:w="120" w:type="dxa"/>
            <w:vAlign w:val="bottom"/>
          </w:tcPr>
          <w:p>
            <w:pPr>
              <w:spacing w:after="0"/>
              <w:rPr>
                <w:sz w:val="22"/>
                <w:szCs w:val="22"/>
                <w:color w:val="auto"/>
              </w:rPr>
            </w:pPr>
          </w:p>
        </w:tc>
        <w:tc>
          <w:tcPr>
            <w:tcW w:w="6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1,149</w:t>
            </w:r>
          </w:p>
        </w:tc>
      </w:tr>
      <w:tr>
        <w:trPr>
          <w:trHeight w:val="20"/>
        </w:trPr>
        <w:tc>
          <w:tcPr>
            <w:tcW w:w="74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to be collected on our performing finance receivables due for each of the fiscal years are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67"/>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 (remaining 3 months)</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2,690</w:t>
            </w:r>
          </w:p>
        </w:tc>
      </w:tr>
      <w:tr>
        <w:trPr>
          <w:trHeight w:val="229"/>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7,570</w:t>
            </w:r>
          </w:p>
        </w:tc>
      </w:tr>
      <w:tr>
        <w:trPr>
          <w:trHeight w:val="230"/>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5,965</w:t>
            </w:r>
          </w:p>
        </w:tc>
      </w:tr>
      <w:tr>
        <w:trPr>
          <w:trHeight w:val="229"/>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4,546</w:t>
            </w:r>
          </w:p>
        </w:tc>
      </w:tr>
      <w:tr>
        <w:trPr>
          <w:trHeight w:val="230"/>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2,754</w:t>
            </w:r>
          </w:p>
        </w:tc>
      </w:tr>
      <w:tr>
        <w:trPr>
          <w:trHeight w:val="229"/>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w:t>
            </w:r>
          </w:p>
        </w:tc>
      </w:tr>
      <w:tr>
        <w:trPr>
          <w:trHeight w:val="223"/>
        </w:trPr>
        <w:tc>
          <w:tcPr>
            <w:tcW w:w="9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amounts to be collected</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24,318</w:t>
            </w:r>
          </w:p>
        </w:tc>
      </w:tr>
      <w:tr>
        <w:trPr>
          <w:trHeight w:val="230"/>
        </w:trPr>
        <w:tc>
          <w:tcPr>
            <w:tcW w:w="9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interest</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w:t>
            </w:r>
          </w:p>
        </w:tc>
      </w:tr>
      <w:tr>
        <w:trPr>
          <w:trHeight w:val="229"/>
        </w:trPr>
        <w:tc>
          <w:tcPr>
            <w:tcW w:w="99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Less: allowance for receivables</w:t>
            </w: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w:t>
            </w:r>
          </w:p>
        </w:tc>
      </w:tr>
      <w:tr>
        <w:trPr>
          <w:trHeight w:val="248"/>
        </w:trPr>
        <w:tc>
          <w:tcPr>
            <w:tcW w:w="99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finance receivables</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21,347</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ACCOUNTS RECEIVABLE</w:t>
      </w:r>
    </w:p>
    <w:p>
      <w:pPr>
        <w:spacing w:after="0" w:line="25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Accounts receivable primarily include amounts due to the Company for sales of equipment and subscription fees, settlement receivables for amounts due from third-party payment processors and receivables from contract manufacturers, net of the allowance for credit losses. Accounts receivable, net of the allowance for uncollectible accounts were $29.2 million as of March 31, 2023 and $37.7 million as of June 30, 2022. Accounts receivable from one contract manufacturer represented 16% of accounts receivable as of June 30, 2022. This contract manufacturer did not have a material balance as of March 31, 2023.</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Concentrations</w:t>
      </w:r>
    </w:p>
    <w:p>
      <w:pPr>
        <w:spacing w:after="0" w:line="24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Accounts receivable with the Company's largest customer represented 6% and 17% of accounts receivable, net of allowance as of March 31, 2023 and June 30, 2022 respectively.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credit losses</w:t>
      </w:r>
    </w:p>
    <w:p>
      <w:pPr>
        <w:spacing w:after="0" w:line="25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Company maintains an allowance for credit losses resulting from the inability of its customers to make required payments, including from a shortfall in the customer transaction fund flow from which the Company would normally collect amounts due. The allowance is calculated under an expected loss model. We estimate our allowance using an aging analysis of the receivables balances, primarily based on historical loss experience. Furthermore, current conditions are analyzed on a quarterly basis as we reassess whether our receivables continue to exhibit similar risk characteristics as the prior measurement date, and determine if the reserve calculation needs to be adjusted for new developments, such as a customer’s inability to meet its financial obligations. The Company writes off receivable balances against the allowance for credit losses when management determines the balance is uncollectible and the Company ceases collection efforts.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a rollforward of the allowance for credit losses for the three and nine months ending March 31, 2023 and 2022:</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4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40" w:type="dxa"/>
            <w:vAlign w:val="bottom"/>
            <w:gridSpan w:val="4"/>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384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49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3840" w:type="dxa"/>
            <w:vAlign w:val="bottom"/>
            <w:vMerge w:val="continue"/>
          </w:tcPr>
          <w:p>
            <w:pPr>
              <w:spacing w:after="0"/>
              <w:rPr>
                <w:sz w:val="18"/>
                <w:szCs w:val="18"/>
                <w:color w:val="auto"/>
              </w:rPr>
            </w:pPr>
          </w:p>
        </w:tc>
        <w:tc>
          <w:tcPr>
            <w:tcW w:w="4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7"/>
        </w:trPr>
        <w:tc>
          <w:tcPr>
            <w:tcW w:w="3840" w:type="dxa"/>
            <w:vAlign w:val="bottom"/>
            <w:tcBorders>
              <w:bottom w:val="single" w:sz="8" w:color="CCEEFF"/>
            </w:tcBorders>
          </w:tcPr>
          <w:p>
            <w:pPr>
              <w:spacing w:after="0"/>
              <w:rPr>
                <w:sz w:val="2"/>
                <w:szCs w:val="2"/>
                <w:color w:val="auto"/>
              </w:rPr>
            </w:pPr>
          </w:p>
        </w:tc>
        <w:tc>
          <w:tcPr>
            <w:tcW w:w="4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49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7,161</w:t>
            </w:r>
          </w:p>
        </w:tc>
        <w:tc>
          <w:tcPr>
            <w:tcW w:w="0" w:type="dxa"/>
            <w:vAlign w:val="bottom"/>
          </w:tcPr>
          <w:p>
            <w:pPr>
              <w:spacing w:after="0"/>
              <w:rPr>
                <w:sz w:val="1"/>
                <w:szCs w:val="1"/>
                <w:color w:val="auto"/>
              </w:rPr>
            </w:pPr>
          </w:p>
        </w:tc>
      </w:tr>
      <w:tr>
        <w:trPr>
          <w:trHeight w:val="234"/>
        </w:trPr>
        <w:tc>
          <w:tcPr>
            <w:tcW w:w="3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Provision for expected losses</w:t>
            </w:r>
          </w:p>
        </w:tc>
        <w:tc>
          <w:tcPr>
            <w:tcW w:w="4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0" w:type="dxa"/>
            <w:vAlign w:val="bottom"/>
          </w:tcPr>
          <w:p>
            <w:pPr>
              <w:spacing w:after="0"/>
              <w:rPr>
                <w:sz w:val="1"/>
                <w:szCs w:val="1"/>
                <w:color w:val="auto"/>
              </w:rPr>
            </w:pPr>
          </w:p>
        </w:tc>
      </w:tr>
      <w:tr>
        <w:trPr>
          <w:trHeight w:val="22"/>
        </w:trPr>
        <w:tc>
          <w:tcPr>
            <w:tcW w:w="384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3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Write-offs</w:t>
            </w:r>
          </w:p>
        </w:tc>
        <w:tc>
          <w:tcPr>
            <w:tcW w:w="49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0" w:type="dxa"/>
            <w:vAlign w:val="bottom"/>
          </w:tcPr>
          <w:p>
            <w:pPr>
              <w:spacing w:after="0"/>
              <w:rPr>
                <w:sz w:val="1"/>
                <w:szCs w:val="1"/>
                <w:color w:val="auto"/>
              </w:rPr>
            </w:pPr>
          </w:p>
        </w:tc>
      </w:tr>
      <w:tr>
        <w:trPr>
          <w:trHeight w:val="228"/>
        </w:trPr>
        <w:tc>
          <w:tcPr>
            <w:tcW w:w="3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end of period</w:t>
            </w:r>
          </w:p>
        </w:tc>
        <w:tc>
          <w:tcPr>
            <w:tcW w:w="498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10,418</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7,120</w:t>
            </w:r>
          </w:p>
        </w:tc>
        <w:tc>
          <w:tcPr>
            <w:tcW w:w="0" w:type="dxa"/>
            <w:vAlign w:val="bottom"/>
          </w:tcPr>
          <w:p>
            <w:pPr>
              <w:spacing w:after="0"/>
              <w:rPr>
                <w:sz w:val="1"/>
                <w:szCs w:val="1"/>
                <w:color w:val="auto"/>
              </w:rPr>
            </w:pPr>
          </w:p>
        </w:tc>
      </w:tr>
      <w:tr>
        <w:trPr>
          <w:trHeight w:val="22"/>
        </w:trPr>
        <w:tc>
          <w:tcPr>
            <w:tcW w:w="384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384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50"/>
        </w:trPr>
        <w:tc>
          <w:tcPr>
            <w:tcW w:w="384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40" w:type="dxa"/>
            <w:vAlign w:val="bottom"/>
            <w:gridSpan w:val="4"/>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Nine months ended March 31,</w:t>
            </w:r>
          </w:p>
        </w:tc>
        <w:tc>
          <w:tcPr>
            <w:tcW w:w="0" w:type="dxa"/>
            <w:vAlign w:val="bottom"/>
          </w:tcPr>
          <w:p>
            <w:pPr>
              <w:spacing w:after="0"/>
              <w:rPr>
                <w:sz w:val="1"/>
                <w:szCs w:val="1"/>
                <w:color w:val="auto"/>
              </w:rPr>
            </w:pPr>
          </w:p>
        </w:tc>
      </w:tr>
      <w:tr>
        <w:trPr>
          <w:trHeight w:val="24"/>
        </w:trPr>
        <w:tc>
          <w:tcPr>
            <w:tcW w:w="384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49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3840" w:type="dxa"/>
            <w:vAlign w:val="bottom"/>
            <w:vMerge w:val="continue"/>
          </w:tcPr>
          <w:p>
            <w:pPr>
              <w:spacing w:after="0"/>
              <w:rPr>
                <w:sz w:val="18"/>
                <w:szCs w:val="18"/>
                <w:color w:val="auto"/>
              </w:rPr>
            </w:pPr>
          </w:p>
        </w:tc>
        <w:tc>
          <w:tcPr>
            <w:tcW w:w="4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516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8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49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6,614</w:t>
            </w:r>
          </w:p>
        </w:tc>
        <w:tc>
          <w:tcPr>
            <w:tcW w:w="0" w:type="dxa"/>
            <w:vAlign w:val="bottom"/>
          </w:tcPr>
          <w:p>
            <w:pPr>
              <w:spacing w:after="0"/>
              <w:rPr>
                <w:sz w:val="1"/>
                <w:szCs w:val="1"/>
                <w:color w:val="auto"/>
              </w:rPr>
            </w:pPr>
          </w:p>
        </w:tc>
      </w:tr>
      <w:tr>
        <w:trPr>
          <w:trHeight w:val="234"/>
        </w:trPr>
        <w:tc>
          <w:tcPr>
            <w:tcW w:w="3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Provision for expected losses</w:t>
            </w:r>
          </w:p>
        </w:tc>
        <w:tc>
          <w:tcPr>
            <w:tcW w:w="4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2,094</w:t>
            </w:r>
          </w:p>
        </w:tc>
        <w:tc>
          <w:tcPr>
            <w:tcW w:w="0" w:type="dxa"/>
            <w:vAlign w:val="bottom"/>
          </w:tcPr>
          <w:p>
            <w:pPr>
              <w:spacing w:after="0"/>
              <w:rPr>
                <w:sz w:val="1"/>
                <w:szCs w:val="1"/>
                <w:color w:val="auto"/>
              </w:rPr>
            </w:pPr>
          </w:p>
        </w:tc>
      </w:tr>
      <w:tr>
        <w:trPr>
          <w:trHeight w:val="873"/>
        </w:trPr>
        <w:tc>
          <w:tcPr>
            <w:tcW w:w="3840" w:type="dxa"/>
            <w:vAlign w:val="bottom"/>
          </w:tcPr>
          <w:p>
            <w:pPr>
              <w:spacing w:after="0"/>
              <w:rPr>
                <w:sz w:val="24"/>
                <w:szCs w:val="24"/>
                <w:color w:val="auto"/>
              </w:rPr>
            </w:pPr>
          </w:p>
        </w:tc>
        <w:tc>
          <w:tcPr>
            <w:tcW w:w="4980" w:type="dxa"/>
            <w:vAlign w:val="bottom"/>
          </w:tcPr>
          <w:p>
            <w:pPr>
              <w:jc w:val="right"/>
              <w:ind w:right="3010"/>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40" w:type="dxa"/>
            <w:vAlign w:val="bottom"/>
            <w:tcBorders>
              <w:bottom w:val="single" w:sz="8" w:color="9A9A9A"/>
            </w:tcBorders>
          </w:tcPr>
          <w:p>
            <w:pPr>
              <w:spacing w:after="0"/>
              <w:rPr>
                <w:sz w:val="10"/>
                <w:szCs w:val="10"/>
                <w:color w:val="auto"/>
              </w:rPr>
            </w:pPr>
          </w:p>
        </w:tc>
        <w:tc>
          <w:tcPr>
            <w:tcW w:w="49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07"/>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601"/>
        </w:trPr>
        <w:tc>
          <w:tcPr>
            <w:tcW w:w="1280" w:type="dxa"/>
            <w:vAlign w:val="bottom"/>
            <w:tcBorders>
              <w:top w:val="single" w:sz="8" w:color="0000FF"/>
            </w:tcBorders>
          </w:tcPr>
          <w:p>
            <w:pPr>
              <w:spacing w:after="0"/>
              <w:rPr>
                <w:sz w:val="24"/>
                <w:szCs w:val="24"/>
                <w:color w:val="auto"/>
              </w:rPr>
            </w:pPr>
          </w:p>
        </w:tc>
        <w:tc>
          <w:tcPr>
            <w:tcW w:w="7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57"/>
        </w:trPr>
        <w:tc>
          <w:tcPr>
            <w:tcW w:w="88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Write-offs</w:t>
            </w:r>
          </w:p>
        </w:tc>
        <w:tc>
          <w:tcPr>
            <w:tcW w:w="3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w:t>
            </w:r>
          </w:p>
        </w:tc>
      </w:tr>
      <w:tr>
        <w:trPr>
          <w:trHeight w:val="228"/>
        </w:trPr>
        <w:tc>
          <w:tcPr>
            <w:tcW w:w="8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Balance, end of period</w:t>
            </w: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10,418</w:t>
            </w:r>
          </w:p>
        </w:tc>
        <w:tc>
          <w:tcPr>
            <w:tcW w:w="100" w:type="dxa"/>
            <w:vAlign w:val="bottom"/>
          </w:tcPr>
          <w:p>
            <w:pPr>
              <w:spacing w:after="0"/>
              <w:rPr>
                <w:sz w:val="19"/>
                <w:szCs w:val="19"/>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7,120</w:t>
            </w:r>
          </w:p>
        </w:tc>
      </w:tr>
      <w:tr>
        <w:trPr>
          <w:trHeight w:val="22"/>
        </w:trPr>
        <w:tc>
          <w:tcPr>
            <w:tcW w:w="128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1"/>
        </w:trPr>
        <w:tc>
          <w:tcPr>
            <w:tcW w:w="128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EARNINGS (LOSS) PER SHARE CALCULATION</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earnings (loss) per share is computed by dividing net earnings (loss) by the weighted average number of common shares outstanding during the period. Diluted earnings per share, applicable only to years ended with reported income, is computed by dividing net income by the weighted average number of common shares outstanding during the period plus the dilutive effect of outstanding stock options and restricted stock-based awards using the treasury stock method. The calculation of basic and diluted earnings (loss) per share is presented below:</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80" w:type="dxa"/>
            <w:vAlign w:val="bottom"/>
            <w:gridSpan w:val="4"/>
          </w:tcPr>
          <w:p>
            <w:pPr>
              <w:jc w:val="center"/>
              <w:ind w:right="21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0"/>
        </w:trPr>
        <w:tc>
          <w:tcPr>
            <w:tcW w:w="8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gridSpan w:val="3"/>
          </w:tcPr>
          <w:p>
            <w:pPr>
              <w:jc w:val="center"/>
              <w:ind w:left="61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8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 except per share data)</w:t>
            </w:r>
          </w:p>
        </w:tc>
        <w:tc>
          <w:tcPr>
            <w:tcW w:w="2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84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37"/>
        </w:trPr>
        <w:tc>
          <w:tcPr>
            <w:tcW w:w="8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4"/>
        </w:trPr>
        <w:tc>
          <w:tcPr>
            <w:tcW w:w="8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 for basic and diluted earnings (loss) per share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6,948</w:t>
            </w:r>
          </w:p>
        </w:tc>
        <w:tc>
          <w:tcPr>
            <w:tcW w:w="120" w:type="dxa"/>
            <w:vAlign w:val="bottom"/>
          </w:tcPr>
          <w:p>
            <w:pPr>
              <w:spacing w:after="0"/>
              <w:rPr>
                <w:sz w:val="23"/>
                <w:szCs w:val="23"/>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2,136</w:t>
            </w:r>
          </w:p>
        </w:tc>
        <w:tc>
          <w:tcPr>
            <w:tcW w:w="0" w:type="dxa"/>
            <w:vAlign w:val="bottom"/>
          </w:tcPr>
          <w:p>
            <w:pPr>
              <w:spacing w:after="0"/>
              <w:rPr>
                <w:sz w:val="1"/>
                <w:szCs w:val="1"/>
                <w:color w:val="auto"/>
              </w:rPr>
            </w:pPr>
          </w:p>
        </w:tc>
      </w:tr>
      <w:tr>
        <w:trPr>
          <w:trHeight w:val="270"/>
        </w:trPr>
        <w:tc>
          <w:tcPr>
            <w:tcW w:w="8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dividends</w:t>
            </w:r>
          </w:p>
        </w:tc>
        <w:tc>
          <w:tcPr>
            <w:tcW w:w="28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0" w:type="dxa"/>
            <w:vAlign w:val="bottom"/>
          </w:tcPr>
          <w:p>
            <w:pPr>
              <w:spacing w:after="0"/>
              <w:rPr>
                <w:sz w:val="1"/>
                <w:szCs w:val="1"/>
                <w:color w:val="auto"/>
              </w:rPr>
            </w:pPr>
          </w:p>
        </w:tc>
      </w:tr>
      <w:tr>
        <w:trPr>
          <w:trHeight w:val="264"/>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earnings applicable to common shareholders</w:t>
            </w: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6,659</w:t>
            </w: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1,802</w:t>
            </w:r>
          </w:p>
        </w:tc>
        <w:tc>
          <w:tcPr>
            <w:tcW w:w="0" w:type="dxa"/>
            <w:vAlign w:val="bottom"/>
          </w:tcPr>
          <w:p>
            <w:pPr>
              <w:spacing w:after="0"/>
              <w:rPr>
                <w:sz w:val="1"/>
                <w:szCs w:val="1"/>
                <w:color w:val="auto"/>
              </w:rPr>
            </w:pPr>
          </w:p>
        </w:tc>
      </w:tr>
      <w:tr>
        <w:trPr>
          <w:trHeight w:val="20"/>
        </w:trPr>
        <w:tc>
          <w:tcPr>
            <w:tcW w:w="8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Denominator for basic earnings (loss) per share </w:t>
            </w:r>
            <w:r>
              <w:rPr>
                <w:rFonts w:ascii="Times New Roman" w:cs="Times New Roman" w:eastAsia="Times New Roman" w:hAnsi="Times New Roman"/>
                <w:sz w:val="18"/>
                <w:szCs w:val="18"/>
                <w:color w:val="auto"/>
              </w:rPr>
              <w:t>- Weighted average shares outstanding</w:t>
            </w:r>
          </w:p>
        </w:tc>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72,491,373</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71,083,044</w:t>
            </w:r>
          </w:p>
        </w:tc>
        <w:tc>
          <w:tcPr>
            <w:tcW w:w="0" w:type="dxa"/>
            <w:vAlign w:val="bottom"/>
          </w:tcPr>
          <w:p>
            <w:pPr>
              <w:spacing w:after="0"/>
              <w:rPr>
                <w:sz w:val="1"/>
                <w:szCs w:val="1"/>
                <w:color w:val="auto"/>
              </w:rPr>
            </w:pPr>
          </w:p>
        </w:tc>
      </w:tr>
      <w:tr>
        <w:trPr>
          <w:trHeight w:val="270"/>
        </w:trPr>
        <w:tc>
          <w:tcPr>
            <w:tcW w:w="8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dilutive potential common shares</w:t>
            </w:r>
          </w:p>
        </w:tc>
        <w:tc>
          <w:tcPr>
            <w:tcW w:w="28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374,848</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403,674</w:t>
            </w:r>
          </w:p>
        </w:tc>
        <w:tc>
          <w:tcPr>
            <w:tcW w:w="0" w:type="dxa"/>
            <w:vAlign w:val="bottom"/>
          </w:tcPr>
          <w:p>
            <w:pPr>
              <w:spacing w:after="0"/>
              <w:rPr>
                <w:sz w:val="1"/>
                <w:szCs w:val="1"/>
                <w:color w:val="auto"/>
              </w:rPr>
            </w:pPr>
          </w:p>
        </w:tc>
      </w:tr>
      <w:tr>
        <w:trPr>
          <w:trHeight w:val="263"/>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Denominator for diluted loss per share </w:t>
            </w:r>
            <w:r>
              <w:rPr>
                <w:rFonts w:ascii="Times New Roman" w:cs="Times New Roman" w:eastAsia="Times New Roman" w:hAnsi="Times New Roman"/>
                <w:sz w:val="18"/>
                <w:szCs w:val="18"/>
                <w:color w:val="auto"/>
              </w:rPr>
              <w:t>- Adjusted weighted average shares outstanding</w:t>
            </w: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72,866,221</w:t>
            </w: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71,486,718</w:t>
            </w:r>
          </w:p>
        </w:tc>
        <w:tc>
          <w:tcPr>
            <w:tcW w:w="0" w:type="dxa"/>
            <w:vAlign w:val="bottom"/>
          </w:tcPr>
          <w:p>
            <w:pPr>
              <w:spacing w:after="0"/>
              <w:rPr>
                <w:sz w:val="1"/>
                <w:szCs w:val="1"/>
                <w:color w:val="auto"/>
              </w:rPr>
            </w:pPr>
          </w:p>
        </w:tc>
      </w:tr>
      <w:tr>
        <w:trPr>
          <w:trHeight w:val="20"/>
        </w:trPr>
        <w:tc>
          <w:tcPr>
            <w:tcW w:w="8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Basic and diluted earnings per share</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20" w:type="dxa"/>
            <w:vAlign w:val="bottom"/>
          </w:tcPr>
          <w:p>
            <w:pPr>
              <w:spacing w:after="0"/>
              <w:rPr>
                <w:sz w:val="23"/>
                <w:szCs w:val="23"/>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0"/>
        </w:trPr>
        <w:tc>
          <w:tcPr>
            <w:tcW w:w="8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5"/>
        </w:trPr>
        <w:tc>
          <w:tcPr>
            <w:tcW w:w="8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80" w:type="dxa"/>
            <w:vAlign w:val="bottom"/>
            <w:gridSpan w:val="4"/>
          </w:tcPr>
          <w:p>
            <w:pPr>
              <w:jc w:val="center"/>
              <w:ind w:right="192"/>
              <w:spacing w:after="0"/>
              <w:rPr>
                <w:sz w:val="20"/>
                <w:szCs w:val="20"/>
                <w:color w:val="auto"/>
              </w:rPr>
            </w:pPr>
            <w:r>
              <w:rPr>
                <w:rFonts w:ascii="Times New Roman" w:cs="Times New Roman" w:eastAsia="Times New Roman" w:hAnsi="Times New Roman"/>
                <w:sz w:val="14"/>
                <w:szCs w:val="14"/>
                <w:b w:val="1"/>
                <w:bCs w:val="1"/>
                <w:color w:val="auto"/>
              </w:rPr>
              <w:t>Nine months ended March 31,</w:t>
            </w:r>
          </w:p>
        </w:tc>
        <w:tc>
          <w:tcPr>
            <w:tcW w:w="0" w:type="dxa"/>
            <w:vAlign w:val="bottom"/>
          </w:tcPr>
          <w:p>
            <w:pPr>
              <w:spacing w:after="0"/>
              <w:rPr>
                <w:sz w:val="1"/>
                <w:szCs w:val="1"/>
                <w:color w:val="auto"/>
              </w:rPr>
            </w:pPr>
          </w:p>
        </w:tc>
      </w:tr>
      <w:tr>
        <w:trPr>
          <w:trHeight w:val="37"/>
        </w:trPr>
        <w:tc>
          <w:tcPr>
            <w:tcW w:w="8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 except per share data)</w:t>
            </w:r>
          </w:p>
        </w:tc>
        <w:tc>
          <w:tcPr>
            <w:tcW w:w="2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4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37"/>
        </w:trPr>
        <w:tc>
          <w:tcPr>
            <w:tcW w:w="8480" w:type="dxa"/>
            <w:vAlign w:val="bottom"/>
            <w:gridSpan w:val="2"/>
          </w:tcPr>
          <w:p>
            <w:pPr>
              <w:spacing w:after="0"/>
              <w:rPr>
                <w:sz w:val="3"/>
                <w:szCs w:val="3"/>
                <w:color w:val="auto"/>
              </w:rPr>
            </w:pPr>
          </w:p>
        </w:tc>
        <w:tc>
          <w:tcPr>
            <w:tcW w:w="2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4"/>
        </w:trPr>
        <w:tc>
          <w:tcPr>
            <w:tcW w:w="83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04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 for basic and diluted loss per share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earnings (loss)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(2,199)</w:t>
            </w:r>
          </w:p>
        </w:tc>
        <w:tc>
          <w:tcPr>
            <w:tcW w:w="120" w:type="dxa"/>
            <w:vAlign w:val="bottom"/>
          </w:tcPr>
          <w:p>
            <w:pPr>
              <w:spacing w:after="0"/>
              <w:rPr>
                <w:sz w:val="23"/>
                <w:szCs w:val="23"/>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0" w:type="dxa"/>
            <w:vAlign w:val="bottom"/>
          </w:tcPr>
          <w:p>
            <w:pPr>
              <w:spacing w:after="0"/>
              <w:rPr>
                <w:sz w:val="1"/>
                <w:szCs w:val="1"/>
                <w:color w:val="auto"/>
              </w:rPr>
            </w:pPr>
          </w:p>
        </w:tc>
      </w:tr>
      <w:tr>
        <w:trPr>
          <w:trHeight w:val="270"/>
        </w:trPr>
        <w:tc>
          <w:tcPr>
            <w:tcW w:w="8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dividends</w:t>
            </w:r>
          </w:p>
        </w:tc>
        <w:tc>
          <w:tcPr>
            <w:tcW w:w="28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0" w:type="dxa"/>
            <w:vAlign w:val="bottom"/>
          </w:tcPr>
          <w:p>
            <w:pPr>
              <w:spacing w:after="0"/>
              <w:rPr>
                <w:sz w:val="1"/>
                <w:szCs w:val="1"/>
                <w:color w:val="auto"/>
              </w:rPr>
            </w:pPr>
          </w:p>
        </w:tc>
      </w:tr>
      <w:tr>
        <w:trPr>
          <w:trHeight w:val="263"/>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earnings (loss) applicable to common shareholders</w:t>
            </w: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(2,822)</w:t>
            </w: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r>
        <w:trPr>
          <w:trHeight w:val="20"/>
        </w:trPr>
        <w:tc>
          <w:tcPr>
            <w:tcW w:w="8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Denominator for basic loss per share </w:t>
            </w:r>
            <w:r>
              <w:rPr>
                <w:rFonts w:ascii="Times New Roman" w:cs="Times New Roman" w:eastAsia="Times New Roman" w:hAnsi="Times New Roman"/>
                <w:sz w:val="18"/>
                <w:szCs w:val="18"/>
                <w:color w:val="auto"/>
              </w:rPr>
              <w:t>- Weighted average shares outstanding</w:t>
            </w:r>
          </w:p>
        </w:tc>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71,771,135</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71,076,022</w:t>
            </w:r>
          </w:p>
        </w:tc>
        <w:tc>
          <w:tcPr>
            <w:tcW w:w="0" w:type="dxa"/>
            <w:vAlign w:val="bottom"/>
          </w:tcPr>
          <w:p>
            <w:pPr>
              <w:spacing w:after="0"/>
              <w:rPr>
                <w:sz w:val="1"/>
                <w:szCs w:val="1"/>
                <w:color w:val="auto"/>
              </w:rPr>
            </w:pPr>
          </w:p>
        </w:tc>
      </w:tr>
      <w:tr>
        <w:trPr>
          <w:trHeight w:val="270"/>
        </w:trPr>
        <w:tc>
          <w:tcPr>
            <w:tcW w:w="8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dilutive potential common shares</w:t>
            </w:r>
          </w:p>
        </w:tc>
        <w:tc>
          <w:tcPr>
            <w:tcW w:w="28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Denominator for diluted loss per share </w:t>
            </w:r>
            <w:r>
              <w:rPr>
                <w:rFonts w:ascii="Times New Roman" w:cs="Times New Roman" w:eastAsia="Times New Roman" w:hAnsi="Times New Roman"/>
                <w:sz w:val="18"/>
                <w:szCs w:val="18"/>
                <w:color w:val="auto"/>
              </w:rPr>
              <w:t>- Adjusted weighted average shares outstanding</w:t>
            </w:r>
          </w:p>
        </w:tc>
        <w:tc>
          <w:tcPr>
            <w:tcW w:w="28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71,771,135</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71,076,022</w:t>
            </w:r>
          </w:p>
        </w:tc>
        <w:tc>
          <w:tcPr>
            <w:tcW w:w="0" w:type="dxa"/>
            <w:vAlign w:val="bottom"/>
          </w:tcPr>
          <w:p>
            <w:pPr>
              <w:spacing w:after="0"/>
              <w:rPr>
                <w:sz w:val="1"/>
                <w:szCs w:val="1"/>
                <w:color w:val="auto"/>
              </w:rPr>
            </w:pPr>
          </w:p>
        </w:tc>
      </w:tr>
      <w:tr>
        <w:trPr>
          <w:trHeight w:val="20"/>
        </w:trPr>
        <w:tc>
          <w:tcPr>
            <w:tcW w:w="8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Basic and diluted loss per share</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20" w:type="dxa"/>
            <w:vAlign w:val="bottom"/>
          </w:tcPr>
          <w:p>
            <w:pPr>
              <w:spacing w:after="0"/>
              <w:rPr>
                <w:sz w:val="23"/>
                <w:szCs w:val="23"/>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the three month ended March 31, 2023, approximately 4.5 million of anti-dilutive shares were excluded from the computation of diluted earnings per share. For the nine months ended March 31, 2023, approximately 4.9 million anti-dilutive shares were excluded from the calculation of diluted loss per share. Anti-dilutive shares excluded from the calculation of diluted loss per share were approximately 5 million for the three and nine months ended March 31, 2022.</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GOODWILL AND INTANGIBLES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 balances and goodwill consisted of the following:</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As of March 31, 2023</w:t>
            </w:r>
          </w:p>
        </w:tc>
        <w:tc>
          <w:tcPr>
            <w:tcW w:w="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128"/>
        </w:trPr>
        <w:tc>
          <w:tcPr>
            <w:tcW w:w="5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20" w:type="dxa"/>
            <w:vAlign w:val="bottom"/>
          </w:tcPr>
          <w:p>
            <w:pPr>
              <w:spacing w:after="0"/>
              <w:rPr>
                <w:sz w:val="11"/>
                <w:szCs w:val="11"/>
                <w:color w:val="auto"/>
              </w:rPr>
            </w:pPr>
          </w:p>
        </w:tc>
        <w:tc>
          <w:tcPr>
            <w:tcW w:w="12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1"/>
                <w:szCs w:val="11"/>
                <w:color w:val="auto"/>
              </w:rPr>
            </w:pPr>
          </w:p>
        </w:tc>
        <w:tc>
          <w:tcPr>
            <w:tcW w:w="142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360" w:type="dxa"/>
            <w:vAlign w:val="bottom"/>
          </w:tcPr>
          <w:p>
            <w:pPr>
              <w:spacing w:after="0"/>
              <w:rPr>
                <w:sz w:val="11"/>
                <w:szCs w:val="11"/>
                <w:color w:val="auto"/>
              </w:rPr>
            </w:pPr>
          </w:p>
        </w:tc>
        <w:tc>
          <w:tcPr>
            <w:tcW w:w="1060" w:type="dxa"/>
            <w:vAlign w:val="bottom"/>
            <w:vMerge w:val="restart"/>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520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6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229"/>
        </w:trPr>
        <w:tc>
          <w:tcPr>
            <w:tcW w:w="5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Brand and tradenames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2,226</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1 - 7 years</w:t>
            </w:r>
          </w:p>
        </w:tc>
        <w:tc>
          <w:tcPr>
            <w:tcW w:w="0" w:type="dxa"/>
            <w:vAlign w:val="bottom"/>
          </w:tcPr>
          <w:p>
            <w:pPr>
              <w:spacing w:after="0"/>
              <w:rPr>
                <w:sz w:val="1"/>
                <w:szCs w:val="1"/>
                <w:color w:val="auto"/>
              </w:rPr>
            </w:pPr>
          </w:p>
        </w:tc>
      </w:tr>
      <w:tr>
        <w:trPr>
          <w:trHeight w:val="229"/>
        </w:trPr>
        <w:tc>
          <w:tcPr>
            <w:tcW w:w="52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Developed technology</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8,589</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5 - 6 years</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Customer relationships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24,592</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18,379</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5 - 18 years</w:t>
            </w:r>
          </w:p>
        </w:tc>
        <w:tc>
          <w:tcPr>
            <w:tcW w:w="0" w:type="dxa"/>
            <w:vAlign w:val="bottom"/>
          </w:tcPr>
          <w:p>
            <w:pPr>
              <w:spacing w:after="0"/>
              <w:rPr>
                <w:sz w:val="1"/>
                <w:szCs w:val="1"/>
                <w:color w:val="auto"/>
              </w:rPr>
            </w:pPr>
          </w:p>
        </w:tc>
      </w:tr>
      <w:tr>
        <w:trPr>
          <w:trHeight w:val="223"/>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46,085</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(18,268)</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27,817</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92,772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92,772</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Indefinite</w:t>
            </w:r>
          </w:p>
        </w:tc>
        <w:tc>
          <w:tcPr>
            <w:tcW w:w="0" w:type="dxa"/>
            <w:vAlign w:val="bottom"/>
          </w:tcPr>
          <w:p>
            <w:pPr>
              <w:spacing w:after="0"/>
              <w:rPr>
                <w:sz w:val="1"/>
                <w:szCs w:val="1"/>
                <w:color w:val="auto"/>
              </w:rPr>
            </w:pPr>
          </w:p>
        </w:tc>
      </w:tr>
      <w:tr>
        <w:trPr>
          <w:trHeight w:val="287"/>
        </w:trPr>
        <w:tc>
          <w:tcPr>
            <w:tcW w:w="5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As of June 30, 2022</w:t>
            </w: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131"/>
        </w:trPr>
        <w:tc>
          <w:tcPr>
            <w:tcW w:w="5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20" w:type="dxa"/>
            <w:vAlign w:val="bottom"/>
          </w:tcPr>
          <w:p>
            <w:pPr>
              <w:spacing w:after="0"/>
              <w:rPr>
                <w:sz w:val="11"/>
                <w:szCs w:val="11"/>
                <w:color w:val="auto"/>
              </w:rPr>
            </w:pPr>
          </w:p>
        </w:tc>
        <w:tc>
          <w:tcPr>
            <w:tcW w:w="12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1"/>
                <w:szCs w:val="11"/>
                <w:color w:val="auto"/>
              </w:rPr>
            </w:pPr>
          </w:p>
        </w:tc>
        <w:tc>
          <w:tcPr>
            <w:tcW w:w="142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360" w:type="dxa"/>
            <w:vAlign w:val="bottom"/>
          </w:tcPr>
          <w:p>
            <w:pPr>
              <w:spacing w:after="0"/>
              <w:rPr>
                <w:sz w:val="11"/>
                <w:szCs w:val="11"/>
                <w:color w:val="auto"/>
              </w:rPr>
            </w:pPr>
          </w:p>
        </w:tc>
        <w:tc>
          <w:tcPr>
            <w:tcW w:w="1060" w:type="dxa"/>
            <w:vAlign w:val="bottom"/>
            <w:vMerge w:val="restart"/>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52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6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228"/>
        </w:trPr>
        <w:tc>
          <w:tcPr>
            <w:tcW w:w="5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Brand and tradenames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1 - 7 years</w:t>
            </w:r>
          </w:p>
        </w:tc>
        <w:tc>
          <w:tcPr>
            <w:tcW w:w="0" w:type="dxa"/>
            <w:vAlign w:val="bottom"/>
          </w:tcPr>
          <w:p>
            <w:pPr>
              <w:spacing w:after="0"/>
              <w:rPr>
                <w:sz w:val="1"/>
                <w:szCs w:val="1"/>
                <w:color w:val="auto"/>
              </w:rPr>
            </w:pPr>
          </w:p>
        </w:tc>
      </w:tr>
      <w:tr>
        <w:trPr>
          <w:trHeight w:val="230"/>
        </w:trPr>
        <w:tc>
          <w:tcPr>
            <w:tcW w:w="52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Developed technology</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3,058</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5 - 6 years</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Customer relationships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19,339</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14,317</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10 - 18 years</w:t>
            </w:r>
          </w:p>
        </w:tc>
        <w:tc>
          <w:tcPr>
            <w:tcW w:w="0" w:type="dxa"/>
            <w:vAlign w:val="bottom"/>
          </w:tcPr>
          <w:p>
            <w:pPr>
              <w:spacing w:after="0"/>
              <w:rPr>
                <w:sz w:val="1"/>
                <w:szCs w:val="1"/>
                <w:color w:val="auto"/>
              </w:rPr>
            </w:pPr>
          </w:p>
        </w:tc>
      </w:tr>
      <w:tr>
        <w:trPr>
          <w:trHeight w:val="223"/>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32,863</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17,947</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66,656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66,656</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Indefinite</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weighted-average remaining useful life of the finite-lived intangible assets was 16.6 years as of March 31, 2023, of which the weighted-average remaining useful life for the brand and trade names was 2.2 years, for the developed technology was 4.1 years, and for the customer relationships was 10.3 years.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During the three and nine months ended March 31, 2023, the Company recognized $1.7 million and $3.4 million, respectively, in amortization expense related to intangible assets. The Company recognized $26.1 million in goodwill and $13.2 million in newly acquired intangible assets in association with the 32M acquisition as referenced in </w:t>
      </w:r>
      <w:r>
        <w:rPr>
          <w:rFonts w:ascii="Times New Roman" w:cs="Times New Roman" w:eastAsia="Times New Roman" w:hAnsi="Times New Roman"/>
          <w:sz w:val="18"/>
          <w:szCs w:val="18"/>
          <w:i w:val="1"/>
          <w:iCs w:val="1"/>
          <w:color w:val="auto"/>
        </w:rPr>
        <w:t>Note 5 - Acquisition.</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During the three and nine months ended March 31, 2022, the Company recognized $0.8 million and $2.5 million, respectively, in amortization expense related to intangible assets. The Company recognized $2.7 million in goodwill and $1.2 million in newly acquired intangible assets in association with the Yoke acquisition as referenced in </w:t>
      </w:r>
      <w:r>
        <w:rPr>
          <w:rFonts w:ascii="Times New Roman" w:cs="Times New Roman" w:eastAsia="Times New Roman" w:hAnsi="Times New Roman"/>
          <w:sz w:val="18"/>
          <w:szCs w:val="18"/>
          <w:i w:val="1"/>
          <w:iCs w:val="1"/>
          <w:color w:val="auto"/>
        </w:rPr>
        <w:t>Note 5 - Acquisition</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performs an annual goodwill impairment test on April 1 and more frequently if events and circumstances indicate that the asset might be impaired. The Company has determined that there is a single reporting unit for purposes of testing goodwill for impairment. During the three and nine months ended March 31, 2023 and March 31, 2022, the Company did not recognize any impairment charges related to goodwill.</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DEBT AND OTHER FINANCING ARRANGEMENTS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debt and other financing arrangements as of March 31, 2023 and June 30, 2022 consisted of the following:</w:t>
      </w:r>
    </w:p>
    <w:p>
      <w:pPr>
        <w:spacing w:after="0" w:line="354" w:lineRule="exact"/>
        <w:rPr>
          <w:sz w:val="20"/>
          <w:szCs w:val="20"/>
          <w:color w:val="auto"/>
        </w:rPr>
      </w:pPr>
    </w:p>
    <w:tbl>
      <w:tblPr>
        <w:tblLayout w:type="fixed"/>
        <w:tblInd w:w="80" w:type="dxa"/>
        <w:tblCellMar>
          <w:top w:w="0" w:type="dxa"/>
          <w:left w:w="0" w:type="dxa"/>
          <w:bottom w:w="0" w:type="dxa"/>
          <w:right w:w="0" w:type="dxa"/>
        </w:tblCellMar>
      </w:tblPr>
      <w:tr>
        <w:trPr>
          <w:trHeight w:val="190"/>
        </w:trPr>
        <w:tc>
          <w:tcPr>
            <w:tcW w:w="7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280" w:type="dxa"/>
            <w:vAlign w:val="bottom"/>
          </w:tcPr>
          <w:p>
            <w:pPr>
              <w:spacing w:after="0"/>
              <w:rPr>
                <w:sz w:val="16"/>
                <w:szCs w:val="16"/>
                <w:color w:val="auto"/>
              </w:rPr>
            </w:pPr>
          </w:p>
        </w:tc>
        <w:tc>
          <w:tcPr>
            <w:tcW w:w="150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As of June 30,</w:t>
            </w:r>
          </w:p>
        </w:tc>
      </w:tr>
      <w:tr>
        <w:trPr>
          <w:trHeight w:val="203"/>
        </w:trPr>
        <w:tc>
          <w:tcPr>
            <w:tcW w:w="7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40" w:type="dxa"/>
            <w:vAlign w:val="bottom"/>
          </w:tcPr>
          <w:p>
            <w:pPr>
              <w:spacing w:after="0"/>
              <w:rPr>
                <w:sz w:val="17"/>
                <w:szCs w:val="17"/>
                <w:color w:val="auto"/>
              </w:rPr>
            </w:pPr>
          </w:p>
        </w:tc>
        <w:tc>
          <w:tcPr>
            <w:tcW w:w="1540" w:type="dxa"/>
            <w:vAlign w:val="bottom"/>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7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34"/>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30"/>
        </w:trPr>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JPMorgan Credit Facility*</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14,813</w:t>
            </w:r>
          </w:p>
        </w:tc>
      </w:tr>
      <w:tr>
        <w:trPr>
          <w:trHeight w:val="230"/>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obligations</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29"/>
        </w:trPr>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unamortized issuance costs and debt discount</w:t>
            </w:r>
          </w:p>
        </w:tc>
        <w:tc>
          <w:tcPr>
            <w:tcW w:w="2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r>
      <w:tr>
        <w:trPr>
          <w:trHeight w:val="223"/>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14,622</w:t>
            </w:r>
          </w:p>
        </w:tc>
      </w:tr>
      <w:tr>
        <w:trPr>
          <w:trHeight w:val="229"/>
        </w:trPr>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debt and other financing arrangements, current</w:t>
            </w:r>
          </w:p>
        </w:tc>
        <w:tc>
          <w:tcPr>
            <w:tcW w:w="2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w:t>
            </w:r>
          </w:p>
        </w:tc>
      </w:tr>
      <w:tr>
        <w:trPr>
          <w:trHeight w:val="223"/>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Debt and other financing arrangements, noncurrent</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38,314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13,930</w:t>
            </w:r>
          </w:p>
        </w:tc>
      </w:tr>
      <w:tr>
        <w:trPr>
          <w:trHeight w:val="20"/>
        </w:trPr>
        <w:tc>
          <w:tcPr>
            <w:tcW w:w="7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See discussion below on amendment to the JPMorgan Credit Facility.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of interest income (expense) presented on the Condensed Consolidated Statements of Operations are as follows: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140" w:type="dxa"/>
            <w:vAlign w:val="bottom"/>
            <w:gridSpan w:val="3"/>
          </w:tcPr>
          <w:p>
            <w:pPr>
              <w:jc w:val="center"/>
              <w:ind w:left="63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60" w:type="dxa"/>
            <w:vAlign w:val="bottom"/>
            <w:gridSpan w:val="3"/>
          </w:tcPr>
          <w:p>
            <w:pPr>
              <w:jc w:val="center"/>
              <w:ind w:left="559"/>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140" w:type="dxa"/>
            <w:vAlign w:val="bottom"/>
            <w:gridSpan w:val="3"/>
          </w:tcPr>
          <w:p>
            <w:pPr>
              <w:jc w:val="center"/>
              <w:ind w:left="61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60" w:type="dxa"/>
            <w:vAlign w:val="bottom"/>
            <w:gridSpan w:val="3"/>
          </w:tcPr>
          <w:p>
            <w:pPr>
              <w:jc w:val="center"/>
              <w:ind w:left="55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4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4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100" w:type="dxa"/>
            <w:vAlign w:val="bottom"/>
            <w:gridSpan w:val="2"/>
            <w:vMerge w:val="continue"/>
          </w:tcPr>
          <w:p>
            <w:pPr>
              <w:spacing w:after="0"/>
              <w:rPr>
                <w:sz w:val="16"/>
                <w:szCs w:val="16"/>
                <w:color w:val="auto"/>
              </w:rPr>
            </w:pPr>
          </w:p>
        </w:tc>
        <w:tc>
          <w:tcPr>
            <w:tcW w:w="420" w:type="dxa"/>
            <w:vAlign w:val="bottom"/>
          </w:tcPr>
          <w:p>
            <w:pPr>
              <w:spacing w:after="0"/>
              <w:rPr>
                <w:sz w:val="16"/>
                <w:szCs w:val="16"/>
                <w:color w:val="auto"/>
              </w:rPr>
            </w:pPr>
          </w:p>
        </w:tc>
        <w:tc>
          <w:tcPr>
            <w:tcW w:w="1380" w:type="dxa"/>
            <w:vAlign w:val="bottom"/>
          </w:tcPr>
          <w:p>
            <w:pPr>
              <w:jc w:val="right"/>
              <w:ind w:right="6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20" w:type="dxa"/>
            <w:vAlign w:val="bottom"/>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20" w:type="dxa"/>
            <w:vAlign w:val="bottom"/>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37"/>
        </w:trPr>
        <w:tc>
          <w:tcPr>
            <w:tcW w:w="4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JPMorgan Credit Facility*</w:t>
            </w:r>
          </w:p>
        </w:tc>
        <w:tc>
          <w:tcPr>
            <w:tcW w:w="42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w:t>
            </w:r>
          </w:p>
        </w:tc>
        <w:tc>
          <w:tcPr>
            <w:tcW w:w="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20" w:type="dxa"/>
            <w:vAlign w:val="bottom"/>
            <w:shd w:val="clear" w:color="auto" w:fill="CCEEFF"/>
          </w:tcPr>
          <w:p>
            <w:pPr>
              <w:jc w:val="center"/>
              <w:ind w:left="515"/>
              <w:spacing w:after="0"/>
              <w:rPr>
                <w:sz w:val="20"/>
                <w:szCs w:val="20"/>
                <w:color w:val="auto"/>
              </w:rPr>
            </w:pPr>
            <w:r>
              <w:rPr>
                <w:rFonts w:ascii="Times New Roman" w:cs="Times New Roman" w:eastAsia="Times New Roman" w:hAnsi="Times New Roman"/>
                <w:sz w:val="18"/>
                <w:szCs w:val="18"/>
                <w:color w:val="auto"/>
                <w:w w:val="96"/>
              </w:rPr>
              <w:t>679</w:t>
            </w:r>
          </w:p>
        </w:tc>
        <w:tc>
          <w:tcPr>
            <w:tcW w:w="0" w:type="dxa"/>
            <w:vAlign w:val="bottom"/>
          </w:tcPr>
          <w:p>
            <w:pPr>
              <w:spacing w:after="0"/>
              <w:rPr>
                <w:sz w:val="1"/>
                <w:szCs w:val="1"/>
                <w:color w:val="auto"/>
              </w:rPr>
            </w:pPr>
          </w:p>
        </w:tc>
      </w:tr>
      <w:tr>
        <w:trPr>
          <w:trHeight w:val="270"/>
        </w:trPr>
        <w:tc>
          <w:tcPr>
            <w:tcW w:w="41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interest income</w:t>
            </w:r>
          </w:p>
        </w:tc>
        <w:tc>
          <w:tcPr>
            <w:tcW w:w="4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100" w:type="dxa"/>
            <w:vAlign w:val="bottom"/>
            <w:tcBorders>
              <w:bottom w:val="single" w:sz="8" w:color="CCEEFF"/>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80" w:type="dxa"/>
            <w:vAlign w:val="bottom"/>
            <w:tcBorders>
              <w:bottom w:val="single" w:sz="8" w:color="CCEEFF"/>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center"/>
              <w:ind w:left="495"/>
              <w:spacing w:after="0"/>
              <w:rPr>
                <w:sz w:val="20"/>
                <w:szCs w:val="20"/>
                <w:color w:val="auto"/>
              </w:rPr>
            </w:pPr>
            <w:r>
              <w:rPr>
                <w:rFonts w:ascii="Times New Roman" w:cs="Times New Roman" w:eastAsia="Times New Roman" w:hAnsi="Times New Roman"/>
                <w:sz w:val="18"/>
                <w:szCs w:val="18"/>
                <w:color w:val="auto"/>
              </w:rPr>
              <w:t>(579)</w:t>
            </w:r>
          </w:p>
        </w:tc>
        <w:tc>
          <w:tcPr>
            <w:tcW w:w="0" w:type="dxa"/>
            <w:vAlign w:val="bottom"/>
          </w:tcPr>
          <w:p>
            <w:pPr>
              <w:spacing w:after="0"/>
              <w:rPr>
                <w:sz w:val="1"/>
                <w:szCs w:val="1"/>
                <w:color w:val="auto"/>
              </w:rPr>
            </w:pPr>
          </w:p>
        </w:tc>
      </w:tr>
      <w:tr>
        <w:trPr>
          <w:trHeight w:val="288"/>
        </w:trPr>
        <w:tc>
          <w:tcPr>
            <w:tcW w:w="4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interest (income) expense, net</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8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center"/>
              <w:ind w:left="515"/>
              <w:spacing w:after="0"/>
              <w:rPr>
                <w:sz w:val="20"/>
                <w:szCs w:val="20"/>
                <w:color w:val="auto"/>
              </w:rPr>
            </w:pPr>
            <w:r>
              <w:rPr>
                <w:rFonts w:ascii="Times New Roman" w:cs="Times New Roman" w:eastAsia="Times New Roman" w:hAnsi="Times New Roman"/>
                <w:sz w:val="18"/>
                <w:szCs w:val="18"/>
                <w:color w:val="auto"/>
                <w:w w:val="96"/>
              </w:rPr>
              <w:t>100</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JPMorgan Chase Bank Credit Agreement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JP Morgan Agreement dated August 14, 2020 and amendment dated March 2, 2021</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14, 2020, the Company repaid all amounts outstanding under the $30.0 million senior secured term loan facility (“2020 Antara Term Facility”) with Antara Capital Master Fund LP (“Antara”) and entered into a credit agreement (the "2021 JPMorgan Credit Agreement") with JPMorgan Chase Bank, N.A ("JPMorgan").</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2021 JPMorgan Credit Agreement provides for a $5 million secured revolving credit facility (the “2021 JPMorgan Revolving Facility”) and a $15 million secured term facility (the “2021 JPMorgan Secured Term Facility” and together with the 2021 JPMorgan Revolving Facility, as amended, the “2021 JPMorgan Credit Facility”), which included an uncommitted expansion feature that allowed the Company to increase the total revolving commitments and/or add new tranches of term loans in an aggregate amount not to exceed $5 million.</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2021 JPMorgan Credit Facility has a three year maturity, with interest determined, at the Company’s option, on a base rate of LIBOR or Prime Rate plus an applicable spread tied to the Company’s total leverage ratio and having ranges between 2.75% and 3.75% for Prime rate loans and between 3.75% and 4.75% for LIBOR rate loans. In the event of default, the interest rate may be increased by 2.00%. The 2021 JPMorgan Credit Facility carries a commitment fee of 0.50% per annum on the unused portion. From August 14, 2020 through March 2, 2021, the applicable interest rate was Prime Rate plus 3.75%. On March 2, 2021, the Company entered into an amendment (the “First Amendment”) to the 2021 JPMorgan Credit Facility lowering the interest rate charged to the Company. In conjunction with the First Amendment, the Company elected to convert its loans to a Eurodollar borrowing which is subject to a LIBOR based interest rate.</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obligations under the 2021 JPMorgan Credit Facility were secured by first priority security interests in substantially all of the assets of the Company. The 2021 JPMorgan Credit Agreement included customary representations, warranties and covenants, and acceleration, indemnity and events of default provisions, including a financial covenant requiring the Company to maintain an adjusted quick ratio of not less than 2.75 to 1.00 beginning January 1, 2021, and not less than 3.00 to 1.00 beginning April 1, 2021, and a financial covenant requiring the Company to maintain, as of the end of each of its fiscal quarters commencing with the fiscal quarter ended December 31, 2021, a total leverage ratio of not greater than 3.00 to 1.00.</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JP Morgan amended and restated Credit Agreement dated March 17, 2022</w:t>
      </w:r>
    </w:p>
    <w:p>
      <w:pPr>
        <w:spacing w:after="0" w:line="2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17, 2022, the Company entered into an amended and restated credit agreement with JPMorgan Chase Bank, N.A. which provided for a $15 million secured revolving credit facility (the “Amended Revolving Facility”) and a $25 million secured term facility (the “Amended Secured Term Facility” and together with the Amended Revolving Facility, the “Amended JPMorgan Credit Facility”), and fully replaced our previous 2021 JPMorgan Credit Facility. The Amended Secured Term Facility includes a $10 million increase from the 2021 JPMorgan Secured Term Facility which is available for a period of up to twelve months following the Closing Date.</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On December 1, 2022, the Company entered into a first amendment (the “2022 Amendment”) to its Amended and Restated Credit Agreement, dated as of March 17, 2022, which, among other things, amended the definition of the Company’s EBITDA under the Credit Agreement. On December 1, 2022, the Company borrowed an additional $25 million under the Amended JPMorgan Credit Facility to partially fund the cash consideration of the 32M acquisition as referenced in </w:t>
      </w:r>
      <w:r>
        <w:rPr>
          <w:rFonts w:ascii="Times New Roman" w:cs="Times New Roman" w:eastAsia="Times New Roman" w:hAnsi="Times New Roman"/>
          <w:sz w:val="18"/>
          <w:szCs w:val="18"/>
          <w:i w:val="1"/>
          <w:iCs w:val="1"/>
          <w:color w:val="auto"/>
        </w:rPr>
        <w:t>Note 5 - Acquisition</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Amended JPMorgan Credit Facility has a four year maturity. Interest on the Amended JPMorgan Credit Facility will be based, at the Company’s option, on a base rate or SOFR plus an applicable margin tied to the Company’s total leverage ratio and having ranges of between 2.50% and 3.00% for base rate loans and between 3.50% and 4.00% for SOFR loans; provided that until June 30, 2022 the applicable margin shall be 2.75% for base rate loans and 3.75% for SOFR loans. Subject to the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occurrence of a material acquisition and the Company’s total leverage ratio exceeding 3.00 to 1.00, the interest rate on the loans may increase by 0.25%. In an event of default, the interest rate may be increased by 2.00%. The Amended JPMorgan Credit Facility will also carry a commitment fee of 0.50% per annum on the unused portion. As of March 31, 2023, the applicable interest rate for the Amended JPMorgan Credit Facility is approximately 8.8%.</w:t>
      </w:r>
    </w:p>
    <w:p>
      <w:pPr>
        <w:spacing w:after="0" w:line="1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Amended JPMorgan Credit Facility includes customary representations, warranties and covenants, and acceleration, indemnity and events of default provisions, including, among other things, two financial covenants. One financial covenant requires the Company to maintain, at all times, a total leverage ratio of not more than 3.00 to 1.00 on the last day of any fiscal quarter. The other financial covenant is conditional on a material acquisition occurring: if a material acquisition occurs, the Company is required to maintain a total leverage ratio not greater than 4.00 to 1.00 for the next four fiscal quarters following the material acquisition.</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Amended Secured Term Facility was accounted for as a modification of the 2021 JPMorgan Secured Term Facility. The previously unamortized debt issuance costs remain capitalized, the new fees paid to the creditor were capitalized, and allocated third-party costs incurred allocated to the term facility were charged to expense. We have also evaluated that the borrowing capacity of the Amended Revolving Facility is greater than the borrowing capacity of the 2021 JPMorgan Revolving Facility. The previously unamortized debt issuance costs remain capitalized, the new fees paid to the creditor and allocated third-party costs were capitalized. The Company capitalized $0.3 million of issuance costs related to the Amended JPMorgan Credit Facility during the year-ended June 30, 2022. The Company was in compliance with its financial covenants for the Amended JPMorgan Credit Facility as of March 31, 2023.</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References to "JPMorgan Credit Facility" in the Condensed Consolidated Financial Statements and related notes, Management’s Discussion and Analysis of Financial Condition and Results of Operations and other parts of the Form 10-Q specifically refers to the 2021 JPMorgan Credit Facility prior to March 17, 2022 and to the Amended JPMorgan Credit Facility subsequent to and as of March 17, 2022.</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ACCRUED EXPENSES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consisted of the following as of March 31, 2023 and June 30, 2022:</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280" w:type="dxa"/>
            <w:vAlign w:val="bottom"/>
          </w:tcPr>
          <w:p>
            <w:pPr>
              <w:spacing w:after="0"/>
              <w:rPr>
                <w:sz w:val="16"/>
                <w:szCs w:val="16"/>
                <w:color w:val="auto"/>
              </w:rPr>
            </w:pPr>
          </w:p>
        </w:tc>
        <w:tc>
          <w:tcPr>
            <w:tcW w:w="146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As of June 30,</w:t>
            </w:r>
          </w:p>
        </w:tc>
      </w:tr>
      <w:tr>
        <w:trPr>
          <w:trHeight w:val="203"/>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40" w:type="dxa"/>
            <w:vAlign w:val="bottom"/>
          </w:tcPr>
          <w:p>
            <w:pPr>
              <w:spacing w:after="0"/>
              <w:rPr>
                <w:sz w:val="17"/>
                <w:szCs w:val="17"/>
                <w:color w:val="auto"/>
              </w:rPr>
            </w:pPr>
          </w:p>
        </w:tc>
        <w:tc>
          <w:tcPr>
            <w:tcW w:w="1500" w:type="dxa"/>
            <w:vAlign w:val="bottom"/>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7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42"/>
        </w:trPr>
        <w:tc>
          <w:tcPr>
            <w:tcW w:w="7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tcPr>
          <w:p>
            <w:pPr>
              <w:spacing w:after="0"/>
              <w:rPr>
                <w:sz w:val="12"/>
                <w:szCs w:val="12"/>
                <w:color w:val="auto"/>
              </w:rPr>
            </w:pPr>
          </w:p>
        </w:tc>
      </w:tr>
      <w:tr>
        <w:trPr>
          <w:trHeight w:val="230"/>
        </w:trPr>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tax reserve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14,694</w:t>
            </w:r>
          </w:p>
        </w:tc>
      </w:tr>
      <w:tr>
        <w:trPr>
          <w:trHeight w:val="229"/>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compensation and related sales commissions</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3,289</w:t>
            </w:r>
          </w:p>
        </w:tc>
      </w:tr>
      <w:tr>
        <w:trPr>
          <w:trHeight w:val="230"/>
        </w:trPr>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w:t>
            </w:r>
          </w:p>
        </w:tc>
      </w:tr>
      <w:tr>
        <w:trPr>
          <w:trHeight w:val="230"/>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4,200</w:t>
            </w:r>
          </w:p>
        </w:tc>
      </w:tr>
      <w:tr>
        <w:trPr>
          <w:trHeight w:val="230"/>
        </w:trPr>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taxes and filing fees payable</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w:t>
            </w:r>
          </w:p>
        </w:tc>
      </w:tr>
      <w:tr>
        <w:trPr>
          <w:trHeight w:val="229"/>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Contingent consideration arrangement for the Yoke acquisition*</w:t>
            </w:r>
          </w:p>
        </w:tc>
        <w:tc>
          <w:tcPr>
            <w:tcW w:w="24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w:t>
            </w:r>
          </w:p>
        </w:tc>
      </w:tr>
      <w:tr>
        <w:trPr>
          <w:trHeight w:val="230"/>
        </w:trPr>
        <w:tc>
          <w:tcPr>
            <w:tcW w:w="76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Consideration withheld in escrow for the 32M acquisition*</w:t>
            </w: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7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accrued expenses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28,154</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See</w:t>
      </w:r>
      <w:r>
        <w:rPr>
          <w:rFonts w:ascii="Times New Roman" w:cs="Times New Roman" w:eastAsia="Times New Roman" w:hAnsi="Times New Roman"/>
          <w:sz w:val="16"/>
          <w:szCs w:val="16"/>
          <w:i w:val="1"/>
          <w:iCs w:val="1"/>
          <w:color w:val="auto"/>
        </w:rPr>
        <w:t xml:space="preserve"> Note </w:t>
      </w:r>
      <w:r>
        <w:rPr>
          <w:rFonts w:ascii="Times New Roman" w:cs="Times New Roman" w:eastAsia="Times New Roman" w:hAnsi="Times New Roman"/>
          <w:sz w:val="17"/>
          <w:szCs w:val="17"/>
          <w:i w:val="1"/>
          <w:iCs w:val="1"/>
          <w:color w:val="auto"/>
        </w:rPr>
        <w:t>5</w:t>
      </w:r>
      <w:r>
        <w:rPr>
          <w:rFonts w:ascii="Times New Roman" w:cs="Times New Roman" w:eastAsia="Times New Roman" w:hAnsi="Times New Roman"/>
          <w:sz w:val="16"/>
          <w:szCs w:val="16"/>
          <w:i w:val="1"/>
          <w:iCs w:val="1"/>
          <w:color w:val="auto"/>
        </w:rPr>
        <w:t xml:space="preserve"> - Acquisition </w:t>
      </w:r>
      <w:r>
        <w:rPr>
          <w:rFonts w:ascii="Times New Roman" w:cs="Times New Roman" w:eastAsia="Times New Roman" w:hAnsi="Times New Roman"/>
          <w:sz w:val="16"/>
          <w:szCs w:val="16"/>
          <w:color w:val="auto"/>
        </w:rPr>
        <w:t>for description of the arrangement.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24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For the three months ended March 31, 2023, the Company recorded an income tax provision of $0.1 million. For the nine months ended March 31, 2023, the Company recorded an income tax provision of $0.1 million. As of March 31, 2023, the Company reviewed the existing deferred tax assets and continues to record a full valuation against its deferred tax assets. The income tax provision primarily relates to state income and franchise taxes and deferred taxes related to indefinite lived intangibles. As of March 31, 2023, the Company had a total unrecognized income tax benefit of $0.7 million. The provision is based upon actual loss before income taxes for the nine months ended March 31, 2023, as the use of an estimated annual effective income tax rate does not provide a reliable estimate of the income tax provision.</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For the three months ended March 31, 2022, the Company recorded an income tax provision of $0.04 million. For the nine months ended March 31, 2022, the Company recorded an income tax provision of $0.2 million. As of March 31, 2022, the Company reviewed the existing deferred tax assets and continues to record a full valuation against its deferred tax assets. The income tax provisions primarily relate to the Company's uncertain tax positions, as well as state income and franchise taxes. As of March 31, 2022, the Company had a total unrecognized income tax benefit of $0.5 million. The provision is based upon actual loss before income taxes for the nine months ended March 31, 2022, as the use of an estimated annual effective income tax rate does not provide a reliable estimate of the income tax provision.</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EQUITY</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estimates the grant date fair value of the stock options with service conditions (i.e., a condition that requires an employee to render services to the Company for a stated period of time to vest) it grants using a Black-Scholes valuation model. The Company’s assumption for expected volatility is based on its historical volatility data related to market trading of its own common stock. The Company uses the simplified method to determine expected term, as the Company does not have adequate historical exercise and forfeiture behavior on which to base the expected life assumption. The dividend yield assumption is based on dividends expected to be paid over the expected life of the stock option. The risk-free interest rate assumption is determined by using the U.S. Treasury rates of the same period as the expected option term of each stock option.</w:t>
      </w:r>
    </w:p>
    <w:p>
      <w:pPr>
        <w:spacing w:after="0" w:line="21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The fair value of options granted during the nine months ended March 31, 2023 and 2022 were determined using the following assumptions and includes only options with an established grant date under ASC 718:</w:t>
      </w:r>
    </w:p>
    <w:tbl>
      <w:tblPr>
        <w:tblLayout w:type="fixed"/>
        <w:tblInd w:w="0" w:type="dxa"/>
        <w:tblCellMar>
          <w:top w:w="0" w:type="dxa"/>
          <w:left w:w="0" w:type="dxa"/>
          <w:bottom w:w="0" w:type="dxa"/>
          <w:right w:w="0" w:type="dxa"/>
        </w:tblCellMar>
      </w:tblPr>
      <w:tr>
        <w:trPr>
          <w:trHeight w:val="190"/>
        </w:trPr>
        <w:tc>
          <w:tcPr>
            <w:tcW w:w="6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March 31,</w:t>
            </w:r>
          </w:p>
        </w:tc>
        <w:tc>
          <w:tcPr>
            <w:tcW w:w="1320" w:type="dxa"/>
            <w:vAlign w:val="bottom"/>
          </w:tcPr>
          <w:p>
            <w:pPr>
              <w:spacing w:after="0"/>
              <w:rPr>
                <w:sz w:val="16"/>
                <w:szCs w:val="16"/>
                <w:color w:val="auto"/>
              </w:rPr>
            </w:pPr>
          </w:p>
        </w:tc>
      </w:tr>
      <w:tr>
        <w:trPr>
          <w:trHeight w:val="23"/>
        </w:trPr>
        <w:tc>
          <w:tcPr>
            <w:tcW w:w="65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90"/>
        </w:trPr>
        <w:tc>
          <w:tcPr>
            <w:tcW w:w="65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9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83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6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 (percent)</w:t>
            </w:r>
          </w:p>
        </w:tc>
        <w:tc>
          <w:tcPr>
            <w:tcW w:w="5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 - 77.6%</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 - 73.6%</w:t>
            </w:r>
          </w:p>
        </w:tc>
      </w:tr>
      <w:tr>
        <w:trPr>
          <w:trHeight w:val="229"/>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expected life (years)</w:t>
            </w:r>
          </w:p>
        </w:tc>
        <w:tc>
          <w:tcPr>
            <w:tcW w:w="5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4.4 - 4.6</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29"/>
        </w:trPr>
        <w:tc>
          <w:tcPr>
            <w:tcW w:w="6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 (percent)</w:t>
            </w:r>
          </w:p>
        </w:tc>
        <w:tc>
          <w:tcPr>
            <w:tcW w:w="5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r>
      <w:tr>
        <w:trPr>
          <w:trHeight w:val="230"/>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Risk-free interest rate (percent)</w:t>
            </w:r>
          </w:p>
        </w:tc>
        <w:tc>
          <w:tcPr>
            <w:tcW w:w="5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- 4.1%</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- 1.2%</w:t>
            </w:r>
          </w:p>
        </w:tc>
      </w:tr>
      <w:tr>
        <w:trPr>
          <w:trHeight w:val="229"/>
        </w:trPr>
        <w:tc>
          <w:tcPr>
            <w:tcW w:w="6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options granted</w:t>
            </w:r>
          </w:p>
        </w:tc>
        <w:tc>
          <w:tcPr>
            <w:tcW w:w="56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1,720,000</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777,000</w:t>
            </w:r>
          </w:p>
        </w:tc>
      </w:tr>
      <w:tr>
        <w:trPr>
          <w:trHeight w:val="230"/>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exercise price</w:t>
            </w: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tcPr>
          <w:p>
            <w:pPr>
              <w:spacing w:after="0"/>
              <w:rPr>
                <w:sz w:val="19"/>
                <w:szCs w:val="19"/>
                <w:color w:val="auto"/>
              </w:rPr>
            </w:pPr>
          </w:p>
        </w:tc>
        <w:tc>
          <w:tcPr>
            <w:tcW w:w="82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9.28</w:t>
            </w:r>
          </w:p>
        </w:tc>
      </w:tr>
      <w:tr>
        <w:trPr>
          <w:trHeight w:val="229"/>
        </w:trPr>
        <w:tc>
          <w:tcPr>
            <w:tcW w:w="6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grant date fair value</w:t>
            </w: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5.34</w:t>
            </w: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Stock based compensation related to stock options with an established grant date for the three and nine months ended March 31, 2023 was $1.1 million and $2.7 million, respectively, and for the three and nine months ended March 31, 2022 was $0.9 million and $2.3 million, respectively.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based awards</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awarded stock options to certain executives which vest each year over a three to four year period. These stock options are subject to the achievement of performance goals to be established by the Company's Board for each fiscal year.</w:t>
      </w:r>
    </w:p>
    <w:p>
      <w:pPr>
        <w:spacing w:after="0" w:line="18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Compensation Committee of the Board of Directors has established the performance metrics as a price target for the trading price of the Company’s common stock in each applicable fiscal year. The price target is achieved if the average closing price of the common stock during any consecutive 30-trading-day period during the applicable fiscal year meets or exceeds: (i) $10.50 in the case of fiscal year 2021; (ii) $13.50 in the case of fiscal year 2022;</w:t>
      </w:r>
    </w:p>
    <w:p>
      <w:pPr>
        <w:spacing w:after="0" w:line="1" w:lineRule="exact"/>
        <w:rPr>
          <w:sz w:val="20"/>
          <w:szCs w:val="20"/>
          <w:color w:val="auto"/>
        </w:rPr>
      </w:pPr>
    </w:p>
    <w:p>
      <w:pPr>
        <w:jc w:val="both"/>
        <w:ind w:firstLine="8"/>
        <w:spacing w:after="0" w:line="252" w:lineRule="auto"/>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$16.50 in the case of fiscal year 2023; and (iv) $19.50 in the case of fiscal year 2024. If at least 80% of the performance goals for an applicable fiscal year are achieved, the Compensation Committee may determine that the portion of the option eligible to vest based on such fiscal year’s performance will vest on a prorated basis. In so determining, the Compensation Committee will consider the Company’s performance relative to its market competitors and any other considerations deemed relevant by the Compensation Committee. The Compensation Committee’s guideline is generally that for every percentage point the achieved price falls below the price target, the percentage of the performance options eligible to vest in respect of the applicable fiscal year should be reduced by 2%, but the Compensation Committee may vary this formula in its sole discretion.</w:t>
      </w:r>
    </w:p>
    <w:p>
      <w:pPr>
        <w:spacing w:after="0" w:line="2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For these performance based awards that provide discretion to the Compensation Committee, a mutual understanding of the key terms and conditions between the Company and the employees have not yet been met and a "Grant Date" as defined in </w:t>
      </w:r>
      <w:r>
        <w:rPr>
          <w:rFonts w:ascii="Times New Roman" w:cs="Times New Roman" w:eastAsia="Times New Roman" w:hAnsi="Times New Roman"/>
          <w:sz w:val="18"/>
          <w:szCs w:val="18"/>
          <w:i w:val="1"/>
          <w:iCs w:val="1"/>
          <w:color w:val="auto"/>
        </w:rPr>
        <w:t>ASC Topic 718 Compensation — Stock Compensation</w:t>
      </w:r>
      <w:r>
        <w:rPr>
          <w:rFonts w:ascii="Times New Roman" w:cs="Times New Roman" w:eastAsia="Times New Roman" w:hAnsi="Times New Roman"/>
          <w:sz w:val="18"/>
          <w:szCs w:val="18"/>
          <w:color w:val="auto"/>
        </w:rPr>
        <w:t>, has not been established. When the service period begins prior to the grant date, the Company begins recognizing compensation cost before there is a grant date. The Company estimates the award's fair value at each reporting period for these equity classified awards, until the grant date, utilizing a Monte Carlo simulation valuation model. We did not recognize any additional expenses during the three months ended March 31, 2023. The total benefit recognized for the nine months ended March 31, 2023 for these awards was $(1.1) million, as a result of reversing unvested grants for terminated executives during the period. The total expense recognized for the three and nine months ended March 31, 2022 for these awards was $0.1 million and $1.0 million, respectively.</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 AWARDS</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Two employees of Hudson Executive, a greater than 10% shareholder and a related party of the Company, entered into consulting agreements with the Company in August and September of 2020, respectively, under which the consultants provided financial and strategic analysis and advisory services to the Company's CEO through July 31, 2021. As consideration for the services, in March 2021 the consultants were granted a total of 80,000 restricted stock units. In September 2021, the Company extended these consulting agreements through July 31, 2022 and, in connection therewith, the consultants were granted an additional 20,000 restricted stock units. On February 2, 2022, the Board of Directors of the Company appointed one of the above mentioned employees of Hudson Executive as a director of the Company, effective immediately. In connection with the appointment to the Board, the consulting agreement for that individual was terminated, effective February 2, 2022. The total expense recognized for the three and nine months ended March 31, 2023 and 2022 for these consulting agreements was immaterial.</w:t>
      </w: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total expense recognized for common stock awards for the three and nine months ended March 31, 2023 was $0.3 million and $1.3 million, respectively, and for the three and nine months ended March 31, 2022 was $0.5 million and $1.3 million, respectively.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PREFERRED STOCK</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nine months ended March 31, 2023, the Company retired 59,281 shares of its Series A convertible preferred stock that it purchased for an aggregate amount of approximately $2.5 million.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repurchase transaction was primarily accounted for as an extinguishment of preferred stock and recorded as a decrease to the carrying value of the preferred stock in the amount of $0.5 million and common stock of $1.7 million for an aggregate amount of $2.2 million that was included within the Cash flows from financing activities in the Condensed Consolidated Statements of Cash Flows.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remaining $0.3 million was deemed to be an amount in excess of the fair value of the preferred stock and was recorded within Operating expenses in the Condensed Consolidated Statements of Operations and Cash flows from operating activities in the Condensed Consolidated Statements of Cash Flows.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COMMITMENTS AND CONTINGENCIES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 party to litigation and other proceedings that arise in the ordinary course of our business. These types of matters could result in fines, penalties, compensatory or treble damages or non-monetary sanctions or relief. In accordance with the accounting guidance for contingencies, we reserve for litigation claims and assessments asserted or threatened against us when a loss is probable and the amount of the loss can be reasonably estimated. We cannot predict the outcome of legal or other proceedings with certainty.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and Exchange Commission ("SEC") Inquiries and Settlement</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fiscal year 2019, the USA Technologies Audit Committee, with the assistance of independent legal and forensic accounting advisors, conducted an internal investigation of then-current and prior period matters relating to certain contractual arrangements, including the accounting treatment, financial reporting and internal controls related to such arrangements (the “2019 Investigation”). During the quarter, the Company entered into a preliminary settlement agreement with the SEC to resolve its investigation of these legacy matters. If approved by the SEC, the Company anticipates that this resolution will entail a financial payment no more than $1 million higher than the amount previously accrued. As of March 31, 2023, we fully reserved for the settlement. During the quarter, the Company received a $2.0 million insurance reimbursement for legal fees and expenses incurred in connection with the 2019 Investigation. The insurance reimbursement was recorded as a reduction of "Investigation, proxy and restatement expenses, net of insurance recoveries" on the Company's Condensed Consolidated Statement of Operations.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Company has entered into various operating lease obligations. See </w:t>
      </w:r>
      <w:r>
        <w:rPr>
          <w:rFonts w:ascii="Times New Roman" w:cs="Times New Roman" w:eastAsia="Times New Roman" w:hAnsi="Times New Roman"/>
          <w:sz w:val="18"/>
          <w:szCs w:val="18"/>
          <w:i w:val="1"/>
          <w:iCs w:val="1"/>
          <w:color w:val="auto"/>
        </w:rPr>
        <w:t>Note 3 - Leases</w:t>
      </w:r>
      <w:r>
        <w:rPr>
          <w:rFonts w:ascii="Times New Roman" w:cs="Times New Roman" w:eastAsia="Times New Roman" w:hAnsi="Times New Roman"/>
          <w:sz w:val="18"/>
          <w:szCs w:val="18"/>
          <w:color w:val="auto"/>
        </w:rPr>
        <w:t xml:space="preserve"> for additional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Commitments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2023, the Company had firm commitments to purchase inventory of approximately $7.4 million over the next year.</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RELATED PARTY TRANSACTIONS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member of our Board of Directors serves as a strategic advisor to a consulting firm that we utilize for payments analytics and advisory services. These services are utilized by the Company to reduce the cost of our interchange and other processing fees charged by payment processors and credit card networks. As consideration for the services, we pay the consulting firm a success fee based on the savings realized by the Company, and a recurring monthly subscription fee for the analytical services. The total expense recognized within Cost of subscription and transaction fees for the three and nine months ended March 31, 2023 for these arrangements was $0.1 million and $0.2 million, respectively. The total expense recognized within Cost of subscription and transaction fees for the three and nine months ended March 31, 2022 for these arrangements was $0.3 million and $1.1 million respectively.</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Note 13 - Equity</w:t>
      </w:r>
      <w:r>
        <w:rPr>
          <w:rFonts w:ascii="Times New Roman" w:cs="Times New Roman" w:eastAsia="Times New Roman" w:hAnsi="Times New Roman"/>
          <w:sz w:val="18"/>
          <w:szCs w:val="18"/>
          <w:color w:val="auto"/>
        </w:rPr>
        <w:t xml:space="preserve"> for information on transactions relating to Hudson Executive.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should be read in conjunction with the condensed consolidated financial statements and related notes included in this Form 10-Q.</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36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Form 10-Q contains certain forward-looking statements within the meaning of Section 21E of the Securities Exchange Act of 1934, as amended, regarding, among other things, the anticipated financial and operating results of Cantaloupe, Inc. (“Cantaloupe” or the “Company”). For this purpose, forward-looking statements are any statements contained herein that are not statements of historical fact and include, but are not limited to, those preceded by or that include the words, “estimate,” “could,” “should,” “would,” “likely,” “may,” “will,” “plan,” “intend,” “believes,” “expects,” “anticipates,” “projected,” or similar expressions. Those statements are subject to known and unknown risks, uncertainties and other factors that could cause the actual results to differ materially from those contemplated by the statements. The forward-looking information is based on various factors and was derived using numerous assumptions. Important factors that could cause the Company’s actual results to differ materially from those projected include, for example:</w:t>
      </w:r>
    </w:p>
    <w:p>
      <w:pPr>
        <w:spacing w:after="0" w:line="81" w:lineRule="exact"/>
        <w:rPr>
          <w:sz w:val="20"/>
          <w:szCs w:val="20"/>
          <w:color w:val="auto"/>
        </w:rPr>
      </w:pPr>
    </w:p>
    <w:p>
      <w:pPr>
        <w:ind w:left="500" w:hanging="330"/>
        <w:spacing w:after="0" w:line="282" w:lineRule="auto"/>
        <w:tabs>
          <w:tab w:leader="none" w:pos="4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market or business conditions unrelated to our operating performance, including inflation, rising interests rates, financial institution disruptions and public health emergencies such as COVID-19;</w:t>
      </w:r>
    </w:p>
    <w:p>
      <w:pPr>
        <w:spacing w:after="0" w:line="53"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with our competitors and increase market share;</w:t>
      </w:r>
    </w:p>
    <w:p>
      <w:pPr>
        <w:spacing w:after="0" w:line="138"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failure to comply with the financial covenants in the Amended JPMorgan Credit Facility (as defined below);</w:t>
      </w:r>
    </w:p>
    <w:p>
      <w:pPr>
        <w:spacing w:after="0" w:line="130" w:lineRule="exact"/>
        <w:rPr>
          <w:rFonts w:ascii="Arial" w:cs="Arial" w:eastAsia="Arial" w:hAnsi="Arial"/>
          <w:sz w:val="22"/>
          <w:szCs w:val="22"/>
          <w:color w:val="auto"/>
        </w:rPr>
      </w:pPr>
    </w:p>
    <w:p>
      <w:pPr>
        <w:ind w:left="500" w:hanging="330"/>
        <w:spacing w:after="0" w:line="234" w:lineRule="auto"/>
        <w:tabs>
          <w:tab w:leader="none" w:pos="495"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our ability to raise funds in the future through sales of securities or debt financing in order to sustain operations in the normal course of business or if an unexpected or unusual event were to occur;</w:t>
      </w:r>
    </w:p>
    <w:p>
      <w:pPr>
        <w:spacing w:after="0" w:line="113" w:lineRule="exact"/>
        <w:rPr>
          <w:rFonts w:ascii="Arial" w:cs="Arial" w:eastAsia="Arial" w:hAnsi="Arial"/>
          <w:sz w:val="22"/>
          <w:szCs w:val="22"/>
          <w:color w:val="auto"/>
        </w:rPr>
      </w:pPr>
    </w:p>
    <w:p>
      <w:pPr>
        <w:ind w:left="480" w:hanging="310"/>
        <w:spacing w:after="0"/>
        <w:tabs>
          <w:tab w:leader="none" w:pos="480"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disruptions in or inefficiencies to our supply chain and/or operations;</w:t>
      </w:r>
    </w:p>
    <w:p>
      <w:pPr>
        <w:spacing w:after="0" w:line="125" w:lineRule="exact"/>
        <w:rPr>
          <w:rFonts w:ascii="Arial" w:cs="Arial" w:eastAsia="Arial" w:hAnsi="Arial"/>
          <w:sz w:val="22"/>
          <w:szCs w:val="22"/>
          <w:color w:val="auto"/>
        </w:rPr>
      </w:pPr>
    </w:p>
    <w:p>
      <w:pPr>
        <w:ind w:left="480" w:hanging="310"/>
        <w:spacing w:after="0"/>
        <w:tabs>
          <w:tab w:leader="none" w:pos="480"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the risks related to the availability of, and cost inflation in, supply chain inputs, including labor, raw materials, packaging and transportation;</w:t>
      </w:r>
    </w:p>
    <w:p>
      <w:pPr>
        <w:spacing w:after="0" w:line="130" w:lineRule="exact"/>
        <w:rPr>
          <w:rFonts w:ascii="Arial" w:cs="Arial" w:eastAsia="Arial" w:hAnsi="Arial"/>
          <w:sz w:val="22"/>
          <w:szCs w:val="22"/>
          <w:color w:val="auto"/>
        </w:rPr>
      </w:pPr>
    </w:p>
    <w:p>
      <w:pPr>
        <w:ind w:left="500" w:hanging="330"/>
        <w:spacing w:after="0" w:line="234" w:lineRule="auto"/>
        <w:tabs>
          <w:tab w:leader="none" w:pos="495"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whether our current or future customers purchase, lease, rent or utilize ePort devices, Seed’s software solutions or our other products in the future at levels currently anticipated;</w:t>
      </w:r>
    </w:p>
    <w:p>
      <w:pPr>
        <w:spacing w:after="0" w:line="132" w:lineRule="exact"/>
        <w:rPr>
          <w:rFonts w:ascii="Arial" w:cs="Arial" w:eastAsia="Arial" w:hAnsi="Arial"/>
          <w:sz w:val="22"/>
          <w:szCs w:val="22"/>
          <w:color w:val="auto"/>
        </w:rPr>
      </w:pPr>
    </w:p>
    <w:p>
      <w:pPr>
        <w:ind w:left="500" w:hanging="330"/>
        <w:spacing w:after="0" w:line="234" w:lineRule="auto"/>
        <w:tabs>
          <w:tab w:leader="none" w:pos="495"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whether our customers continue to utilize the Company’s transaction processing and related services, as our customer agreements are generally cancellable by the customer on thirty to sixty days’ notice;</w:t>
      </w:r>
    </w:p>
    <w:p>
      <w:pPr>
        <w:spacing w:after="0" w:line="113" w:lineRule="exact"/>
        <w:rPr>
          <w:rFonts w:ascii="Arial" w:cs="Arial" w:eastAsia="Arial" w:hAnsi="Arial"/>
          <w:sz w:val="22"/>
          <w:szCs w:val="22"/>
          <w:color w:val="auto"/>
        </w:rPr>
      </w:pPr>
    </w:p>
    <w:p>
      <w:pPr>
        <w:ind w:left="480" w:hanging="310"/>
        <w:spacing w:after="0"/>
        <w:tabs>
          <w:tab w:leader="none" w:pos="480"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our ability to satisfy our trade obligations included in accounts payable and accrued expenses;</w:t>
      </w:r>
    </w:p>
    <w:p>
      <w:pPr>
        <w:spacing w:after="0" w:line="130" w:lineRule="exact"/>
        <w:rPr>
          <w:rFonts w:ascii="Arial" w:cs="Arial" w:eastAsia="Arial" w:hAnsi="Arial"/>
          <w:sz w:val="22"/>
          <w:szCs w:val="22"/>
          <w:color w:val="auto"/>
        </w:rPr>
      </w:pPr>
    </w:p>
    <w:p>
      <w:pPr>
        <w:ind w:left="500" w:hanging="330"/>
        <w:spacing w:after="0" w:line="244" w:lineRule="auto"/>
        <w:tabs>
          <w:tab w:leader="none" w:pos="495"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the incurrence by us of any unanticipated or unusual non-operating expenses, which may require us to divert our cash resources from achieving our business plan;</w:t>
      </w:r>
    </w:p>
    <w:p>
      <w:pPr>
        <w:spacing w:after="0" w:line="126" w:lineRule="exact"/>
        <w:rPr>
          <w:rFonts w:ascii="Arial" w:cs="Arial" w:eastAsia="Arial" w:hAnsi="Arial"/>
          <w:sz w:val="22"/>
          <w:szCs w:val="22"/>
          <w:color w:val="auto"/>
        </w:rPr>
      </w:pPr>
    </w:p>
    <w:p>
      <w:pPr>
        <w:ind w:left="500" w:hanging="330"/>
        <w:spacing w:after="0" w:line="234" w:lineRule="auto"/>
        <w:tabs>
          <w:tab w:leader="none" w:pos="495"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our ability to predict or estimate our future quarterly or annual revenue and expenses given the developing and unpredictable market for our products;</w:t>
      </w:r>
    </w:p>
    <w:p>
      <w:pPr>
        <w:spacing w:after="0" w:line="113" w:lineRule="exact"/>
        <w:rPr>
          <w:rFonts w:ascii="Arial" w:cs="Arial" w:eastAsia="Arial" w:hAnsi="Arial"/>
          <w:sz w:val="22"/>
          <w:szCs w:val="22"/>
          <w:color w:val="auto"/>
        </w:rPr>
      </w:pPr>
    </w:p>
    <w:p>
      <w:pPr>
        <w:ind w:left="480" w:hanging="310"/>
        <w:spacing w:after="0"/>
        <w:tabs>
          <w:tab w:leader="none" w:pos="480"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our ability to integrate acquired companies into our current products and services structure;</w:t>
      </w:r>
    </w:p>
    <w:p>
      <w:pPr>
        <w:spacing w:after="0" w:line="111" w:lineRule="exact"/>
        <w:rPr>
          <w:rFonts w:ascii="Arial" w:cs="Arial" w:eastAsia="Arial" w:hAnsi="Arial"/>
          <w:sz w:val="22"/>
          <w:szCs w:val="22"/>
          <w:color w:val="auto"/>
        </w:rPr>
      </w:pPr>
    </w:p>
    <w:p>
      <w:pPr>
        <w:ind w:left="480" w:hanging="310"/>
        <w:spacing w:after="0"/>
        <w:tabs>
          <w:tab w:leader="none" w:pos="480"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our ability to retain key customers from whom a significant portion of our revenue is derived;</w:t>
      </w:r>
    </w:p>
    <w:p>
      <w:pPr>
        <w:spacing w:after="0" w:line="111" w:lineRule="exact"/>
        <w:rPr>
          <w:rFonts w:ascii="Arial" w:cs="Arial" w:eastAsia="Arial" w:hAnsi="Arial"/>
          <w:sz w:val="22"/>
          <w:szCs w:val="22"/>
          <w:color w:val="auto"/>
        </w:rPr>
      </w:pPr>
    </w:p>
    <w:p>
      <w:pPr>
        <w:ind w:left="480" w:hanging="310"/>
        <w:spacing w:after="0"/>
        <w:tabs>
          <w:tab w:leader="none" w:pos="480"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the ability of a key customer to reduce or delay purchasing products from us;</w:t>
      </w:r>
    </w:p>
    <w:p>
      <w:pPr>
        <w:spacing w:after="0" w:line="111" w:lineRule="exact"/>
        <w:rPr>
          <w:rFonts w:ascii="Arial" w:cs="Arial" w:eastAsia="Arial" w:hAnsi="Arial"/>
          <w:sz w:val="22"/>
          <w:szCs w:val="22"/>
          <w:color w:val="auto"/>
        </w:rPr>
      </w:pPr>
    </w:p>
    <w:p>
      <w:pPr>
        <w:ind w:left="480" w:hanging="310"/>
        <w:spacing w:after="0"/>
        <w:tabs>
          <w:tab w:leader="none" w:pos="480"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our ability to obtain widespread commercial acceptance of our products and service offerings;</w:t>
      </w:r>
    </w:p>
    <w:p>
      <w:pPr>
        <w:spacing w:after="0" w:line="130" w:lineRule="exact"/>
        <w:rPr>
          <w:rFonts w:ascii="Arial" w:cs="Arial" w:eastAsia="Arial" w:hAnsi="Arial"/>
          <w:sz w:val="22"/>
          <w:szCs w:val="22"/>
          <w:color w:val="auto"/>
        </w:rPr>
      </w:pPr>
    </w:p>
    <w:p>
      <w:pPr>
        <w:ind w:left="500" w:hanging="330"/>
        <w:spacing w:after="0" w:line="244" w:lineRule="auto"/>
        <w:tabs>
          <w:tab w:leader="none" w:pos="495"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whether any patents issued to us will provide any competitive advantages or adequate protection for our products, or would be challenged, invalidated or circumvented by others;</w:t>
      </w:r>
    </w:p>
    <w:p>
      <w:pPr>
        <w:spacing w:after="0" w:line="107" w:lineRule="exact"/>
        <w:rPr>
          <w:rFonts w:ascii="Arial" w:cs="Arial" w:eastAsia="Arial" w:hAnsi="Arial"/>
          <w:sz w:val="22"/>
          <w:szCs w:val="22"/>
          <w:color w:val="auto"/>
        </w:rPr>
      </w:pPr>
    </w:p>
    <w:p>
      <w:pPr>
        <w:ind w:left="480" w:hanging="310"/>
        <w:spacing w:after="0"/>
        <w:tabs>
          <w:tab w:leader="none" w:pos="480"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our ability to operate without infringing the intellectual property rights of others;</w:t>
      </w:r>
    </w:p>
    <w:p>
      <w:pPr>
        <w:spacing w:after="0" w:line="111" w:lineRule="exact"/>
        <w:rPr>
          <w:rFonts w:ascii="Arial" w:cs="Arial" w:eastAsia="Arial" w:hAnsi="Arial"/>
          <w:sz w:val="22"/>
          <w:szCs w:val="22"/>
          <w:color w:val="auto"/>
        </w:rPr>
      </w:pPr>
    </w:p>
    <w:p>
      <w:pPr>
        <w:ind w:left="480" w:hanging="310"/>
        <w:spacing w:after="0"/>
        <w:tabs>
          <w:tab w:leader="none" w:pos="480"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the ability of our products and services to avoid disruptions to our systems or unauthorized hacking or credit card fraud;</w:t>
      </w:r>
    </w:p>
    <w:p>
      <w:pPr>
        <w:spacing w:after="0" w:line="111" w:lineRule="exact"/>
        <w:rPr>
          <w:rFonts w:ascii="Arial" w:cs="Arial" w:eastAsia="Arial" w:hAnsi="Arial"/>
          <w:sz w:val="22"/>
          <w:szCs w:val="22"/>
          <w:color w:val="auto"/>
        </w:rPr>
      </w:pPr>
    </w:p>
    <w:p>
      <w:pPr>
        <w:ind w:left="480" w:hanging="310"/>
        <w:spacing w:after="0"/>
        <w:tabs>
          <w:tab w:leader="none" w:pos="480"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geopolitical conflicts, such as the ongoing conflict between Russia and Ukraine;</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left="500" w:hanging="330"/>
        <w:spacing w:after="0" w:line="239" w:lineRule="auto"/>
        <w:tabs>
          <w:tab w:leader="none" w:pos="495"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whether we are able to fully remediate our material weaknesses in our internal controls over financial reporting or continue to experience material weaknesses in our internal controls over financial reporting in the future, and are not able to accurately or timely report our financial condition or results of operations;</w:t>
      </w:r>
    </w:p>
    <w:p>
      <w:pPr>
        <w:spacing w:after="0" w:line="132" w:lineRule="exact"/>
        <w:rPr>
          <w:rFonts w:ascii="Arial" w:cs="Arial" w:eastAsia="Arial" w:hAnsi="Arial"/>
          <w:sz w:val="22"/>
          <w:szCs w:val="22"/>
          <w:color w:val="auto"/>
        </w:rPr>
      </w:pPr>
    </w:p>
    <w:p>
      <w:pPr>
        <w:ind w:left="500" w:hanging="330"/>
        <w:spacing w:after="0" w:line="234" w:lineRule="auto"/>
        <w:tabs>
          <w:tab w:leader="none" w:pos="495"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the ability to remain in compliance with the continued listing standards of the Nasdaq Global Select Market (“Nasdaq”) and continue to remain as a member of the US Small-Cap Russell 2000®;</w:t>
      </w:r>
    </w:p>
    <w:p>
      <w:pPr>
        <w:spacing w:after="0" w:line="113" w:lineRule="exact"/>
        <w:rPr>
          <w:rFonts w:ascii="Arial" w:cs="Arial" w:eastAsia="Arial" w:hAnsi="Arial"/>
          <w:sz w:val="22"/>
          <w:szCs w:val="22"/>
          <w:color w:val="auto"/>
        </w:rPr>
      </w:pPr>
    </w:p>
    <w:p>
      <w:pPr>
        <w:ind w:left="480" w:hanging="310"/>
        <w:spacing w:after="0"/>
        <w:tabs>
          <w:tab w:leader="none" w:pos="480"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whether our suppliers would increase their prices, reduce their output or change their terms of sale;</w:t>
      </w:r>
    </w:p>
    <w:p>
      <w:pPr>
        <w:spacing w:after="0" w:line="103" w:lineRule="exact"/>
        <w:rPr>
          <w:rFonts w:ascii="Arial" w:cs="Arial" w:eastAsia="Arial" w:hAnsi="Arial"/>
          <w:sz w:val="22"/>
          <w:szCs w:val="22"/>
          <w:color w:val="auto"/>
        </w:rPr>
      </w:pPr>
    </w:p>
    <w:p>
      <w:pPr>
        <w:ind w:left="480" w:hanging="310"/>
        <w:spacing w:after="0"/>
        <w:tabs>
          <w:tab w:leader="none" w:pos="4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associated with cyber attacks and data breaches; and</w:t>
      </w:r>
    </w:p>
    <w:p>
      <w:pPr>
        <w:spacing w:after="0" w:line="117"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associated with the recently settled 2019 Investigation, which remains subject to the SEC’s issuance of its Final Order.</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Although we believe that the expectations reflected in the forward-looking statements are reasonable, we cannot guarantee future results, levels of activity, performance, or achievements. Actual results or business conditions may differ materially from those projected or suggested in forward-looking statements as a result of various factors including, but not limited to, those described above, or those discussed under Part I, Item 1A. “Risk Factors” of our Annual Report on Form 10-K for the fiscal year ended June 30, 2022 (“2022 Form 10-K”). We cannot assure you that we have identified all the factors that create uncertainties. Moreover, new risks emerge from time to time and it is not possible for our management to predict all risks, nor can we assess the impact of all risks on our business or the extent to which any risk, or combination of risks, may cause actual results to differ from those contained in any forward-looking statements. Readers should not place undue reliance on forward-looking statements.</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forward-looking statement made by us in this Form 10-Q speaks only as of the date of this Form 10-Q. Unless required by law, we undertake no obligation to publicly revise any forward-looking statement to reflect circumstances or events after the date of this Form 10-Q or to reflect the occurrence of unanticipated events.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THE COMPANY</w:t>
      </w:r>
    </w:p>
    <w:p>
      <w:pPr>
        <w:spacing w:after="0" w:line="25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Cantaloupe, Inc., is organized under the laws of the Commonwealth of Pennsylvania. We are a software and payments company that provides end-to-end technology solutions for self-service commerce. Cantaloupe is transforming the self-service industry by offering one integrated solution for payments processing, logistics, and back-office management. Our enterprise-wide platform is designed to increase consumer engagement and sales revenue through digital payments, digital advertising and customer loyalty programs, while providing retailers with control and visibility over their operations and inventory. As a result, customers ranging from vending machine companies to operators of micro-markets, car wash, electric vehicle charging stations, commercial laundry, kiosks, amusements and more, can run their businesses more proactively, predictably, and competitively.</w:t>
      </w:r>
    </w:p>
    <w:p>
      <w:pPr>
        <w:spacing w:after="0" w:line="22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December 1, 2022, the Company acquired all of the equity interests of Three Square Market, Inc., a Wisconsin corporation, and Three Square Market Limited, a UK private limited company (collectively "32M") pursuant to an Equity Purchase Agreement. 32M is a leading provider of software and self-service kiosk-based point of sale and payment solutions that power the micro market industry.</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fiscal year ends June 30. The Company generates revenues in multiple ways. During the three months ended March 31, 2023 and March 31, 2022, we derived approximately 85% and 84%, respectively, from subscription and transaction fees and 15% and 16%, respectively, from equipment sales. During the nine months ended March 31, 2023 and March 31, 2022, we derived approximately 82% and 84%, respectively, from subscription and transaction fees and 18% and 16%, respectively, from equipment sales.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Active Devices (as defined below) operating on the Company’s platform and using our services include those resulting from the sale or lease of our point of sale ("POS") electronic payment devices, telemetry devices or certified payment software or the servicing of similar third-party installed POS terminals or telemetry devices. Customers can obtain POS electronic payment devices from us in the following ways:</w:t>
      </w:r>
    </w:p>
    <w:p>
      <w:pPr>
        <w:spacing w:after="0" w:line="68"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Purchasing devices directly from the Company or one of its authorized resellers;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Financing devices under the Company’s QuickStart Program, which are non-cancellable sixty-month sales-type leases, through an unrelated equipment financing company, if available, or directly from the Company; and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Renting devices under the Company’s Cantaloupe One program, which are typically 36 months duration agreements.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3G Network discontinuation and upgrade cycle</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currently has a large customer base with over 1 million Active Devices connected to our platform which we have built over 30 years of being a key player in the unattended retail industry. The major telecommunication service providers in North America have been phasing out older generation cellular networks (2G and 3G networks) over the past year due to capacity and bandwidth limitations to make room for newer technologies that are faster, more reliable, provides a wider range of coverage, and overall enables a more responsive device. The phase out of these cellular networks was completed on December 31, 2022.</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upgrade in cellular networks has impacted a significant portion of our customer base and Active Devices and has required the Company to offer discounts to strategic customers especially during the fiscal year 2023 to ensure that our existing customer base is properly transitioned to the new platform. These discounts contributed to the decrease in our equipment sales margin in the first half of fiscal year 2023.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Though the 2G and 3G networks were phased out, we have small percentage of customers that were not able to replace all their old devices with 4G</w:t>
      </w:r>
    </w:p>
    <w:p>
      <w:pPr>
        <w:spacing w:after="0" w:line="5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devices prior to the old networks being decommissioned. Labor shortages and supply issues have been the primary drivers of the delay. Replacement 4G devices continued to come online during the quarter ended March 31, 2023, and we anticipate the majority of replacements to be completed by June 30, 2023.</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Developments during the Quarter</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Highlights of the Company for the fiscal quarter ended March 31, 2023 are below:</w:t>
      </w:r>
    </w:p>
    <w:p>
      <w:pPr>
        <w:spacing w:after="0" w:line="117" w:lineRule="exact"/>
        <w:rPr>
          <w:sz w:val="20"/>
          <w:szCs w:val="20"/>
          <w:color w:val="auto"/>
        </w:rPr>
      </w:pPr>
    </w:p>
    <w:p>
      <w:pPr>
        <w:ind w:left="6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of $60.4 million, an increase of 20.0% year over year. The increase was led by an eighth consecutive quarter of record transaction fees revenue;</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the acquisition of Three Square Market in December 2022, we have seen a successful acceleration in our micro market business where customers both existing and new are migrating their kiosks to the 32M platform;</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launched a pilot program for our Seed Driver mobile app, the latest iteration in Cantaloupe’s mobile technology features that streamline driver processes and make servicing locations easier and faster than ever before. The product was made available in April 2023; and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continued to see significant customer interest and growth in the newly launched Cantaloupe ONE Platform, a bundled subscription model, which provides operators the flexibility and predictability of a monthly, fixed subscription amount covering the hardware and service fees.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2023, we have approximately 250 employees in the United States and United Kingdom and offices in Malvern, Pennsylvania; Atlanta, Georgia; River Falls, Wisconsin; and Birmingham, United Kingdom.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Update</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While there has not been any resurgence of the COVID-19 virus or new strains or variants emerge that significantly impacted the Company, its employees, or its customers, we have experienced lingering effects during fiscal year 2023. We underwent elevated component and supply chain costs necessary for the production and distribution of our hardware products. Additionally, schools and other organizations have re-opened which has led to increased foot-traffic to distributed assets containing our electronic payment solutions, but we have not seen a full return to the office. Many companies have implemented a hybrid approach requiring employees to work in the office several days a week and allow work from home for the remaining days. Where applicable, we have incorporated judgments and estimates of the expected impact of COVID-19 in the preparation of the financial statements based on information</w:t>
      </w:r>
    </w:p>
    <w:p>
      <w:pPr>
        <w:spacing w:after="0" w:line="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currently available. We will continue to monitor the situation and follow any guidance from federal, state, and local public health authorities. Given the potential uncertainty of the situation, the Company cannot reasonably estimate the longer-term repercussions of COVID 19 on our financial condition, result of operations or cash flows.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QUARTERLY RESULTS OF OPERATIONS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discussion should be read in conjunction with the condensed consolidated financial statements and related notes included in this Form 10-Q.</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shows certain financial and non-financial data that management believes give readers insight into certain trends and relationships about the Company’s financial performance. We believe the metrics (Active Devices, Active Customers, Total Number of Transactions and Total Dollar Volume) are useful in allowing management and readers to evaluate our strategy of driving growth in devices and transactions.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Active Devices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Active Devices are devices that have communicated with us or have had a transaction in the last twelve months. Included in the number of Active Devices are devices that communicate through other devices that communicate or transact with us. A self-service retail location that utilizes an ePort cashless payment device as well as Seed management services constitutes only one device.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Active Customers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defines Active Customers as all customers with at least one active device.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Number of Transactions and Total Dollar Volume of Transactions</w:t>
      </w:r>
    </w:p>
    <w:p>
      <w:pPr>
        <w:spacing w:after="0" w:line="23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Transactions are defined as electronic payment transactions that are processed by our technology-enabled solutions. Management uses Total Number and Dollar Volume of transactions to evaluate the effectiveness of our new customer strategy and our ability to leverage existing customers and partners.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0" w:type="dxa"/>
            <w:vAlign w:val="bottom"/>
            <w:gridSpan w:val="4"/>
          </w:tcPr>
          <w:p>
            <w:pPr>
              <w:jc w:val="center"/>
              <w:ind w:left="434"/>
              <w:spacing w:after="0"/>
              <w:rPr>
                <w:sz w:val="20"/>
                <w:szCs w:val="20"/>
                <w:color w:val="auto"/>
              </w:rPr>
            </w:pPr>
            <w:r>
              <w:rPr>
                <w:rFonts w:ascii="Times New Roman" w:cs="Times New Roman" w:eastAsia="Times New Roman" w:hAnsi="Times New Roman"/>
                <w:sz w:val="14"/>
                <w:szCs w:val="14"/>
                <w:b w:val="1"/>
                <w:bCs w:val="1"/>
                <w:color w:val="auto"/>
              </w:rPr>
              <w:t>As of and for the three months ended</w:t>
            </w: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vMerge w:val="restart"/>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1400" w:type="dxa"/>
            <w:vAlign w:val="bottom"/>
            <w:gridSpan w:val="2"/>
            <w:vMerge w:val="restart"/>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40" w:type="dxa"/>
            <w:vAlign w:val="bottom"/>
          </w:tcPr>
          <w:p>
            <w:pPr>
              <w:spacing w:after="0"/>
              <w:rPr>
                <w:sz w:val="11"/>
                <w:szCs w:val="11"/>
                <w:color w:val="auto"/>
              </w:rPr>
            </w:pPr>
          </w:p>
        </w:tc>
        <w:tc>
          <w:tcPr>
            <w:tcW w:w="1180" w:type="dxa"/>
            <w:vAlign w:val="bottom"/>
          </w:tcPr>
          <w:p>
            <w:pPr>
              <w:jc w:val="center"/>
              <w:ind w:right="136"/>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460" w:type="dxa"/>
            <w:vAlign w:val="bottom"/>
          </w:tcPr>
          <w:p>
            <w:pPr>
              <w:spacing w:after="0"/>
              <w:rPr>
                <w:sz w:val="11"/>
                <w:szCs w:val="11"/>
                <w:color w:val="auto"/>
              </w:rPr>
            </w:pPr>
          </w:p>
        </w:tc>
        <w:tc>
          <w:tcPr>
            <w:tcW w:w="960" w:type="dxa"/>
            <w:vAlign w:val="bottom"/>
          </w:tcPr>
          <w:p>
            <w:pPr>
              <w:jc w:val="right"/>
              <w:ind w:right="356"/>
              <w:spacing w:after="0" w:line="131"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1"/>
                <w:szCs w:val="11"/>
                <w:color w:val="auto"/>
              </w:rPr>
            </w:pPr>
          </w:p>
        </w:tc>
        <w:tc>
          <w:tcPr>
            <w:tcW w:w="1100" w:type="dxa"/>
            <w:vAlign w:val="bottom"/>
            <w:vMerge w:val="restart"/>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0" w:type="dxa"/>
            <w:vAlign w:val="bottom"/>
          </w:tcPr>
          <w:p>
            <w:pPr>
              <w:spacing w:after="0"/>
              <w:rPr>
                <w:sz w:val="1"/>
                <w:szCs w:val="1"/>
                <w:color w:val="auto"/>
              </w:rPr>
            </w:pPr>
          </w:p>
        </w:tc>
      </w:tr>
      <w:tr>
        <w:trPr>
          <w:trHeight w:val="195"/>
        </w:trPr>
        <w:tc>
          <w:tcPr>
            <w:tcW w:w="42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40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4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Devices:</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Active Devices (thousands)</w:t>
            </w:r>
          </w:p>
        </w:tc>
        <w:tc>
          <w:tcPr>
            <w:tcW w:w="140" w:type="dxa"/>
            <w:vAlign w:val="bottom"/>
          </w:tcPr>
          <w:p>
            <w:pPr>
              <w:spacing w:after="0"/>
              <w:rPr>
                <w:sz w:val="23"/>
                <w:szCs w:val="23"/>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1,150</w:t>
            </w:r>
          </w:p>
        </w:tc>
        <w:tc>
          <w:tcPr>
            <w:tcW w:w="480" w:type="dxa"/>
            <w:vAlign w:val="bottom"/>
          </w:tcPr>
          <w:p>
            <w:pPr>
              <w:spacing w:after="0"/>
              <w:rPr>
                <w:sz w:val="23"/>
                <w:szCs w:val="23"/>
                <w:color w:val="auto"/>
              </w:rPr>
            </w:pP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1,150</w:t>
            </w:r>
          </w:p>
        </w:tc>
        <w:tc>
          <w:tcPr>
            <w:tcW w:w="240" w:type="dxa"/>
            <w:vAlign w:val="bottom"/>
          </w:tcPr>
          <w:p>
            <w:pPr>
              <w:spacing w:after="0"/>
              <w:rPr>
                <w:sz w:val="23"/>
                <w:szCs w:val="23"/>
                <w:color w:val="auto"/>
              </w:rPr>
            </w:pPr>
          </w:p>
        </w:tc>
        <w:tc>
          <w:tcPr>
            <w:tcW w:w="11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1,151</w:t>
            </w:r>
          </w:p>
        </w:tc>
        <w:tc>
          <w:tcPr>
            <w:tcW w:w="460" w:type="dxa"/>
            <w:vAlign w:val="bottom"/>
          </w:tcPr>
          <w:p>
            <w:pPr>
              <w:spacing w:after="0"/>
              <w:rPr>
                <w:sz w:val="23"/>
                <w:szCs w:val="23"/>
                <w:color w:val="auto"/>
              </w:rPr>
            </w:pPr>
          </w:p>
        </w:tc>
        <w:tc>
          <w:tcPr>
            <w:tcW w:w="9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1,137</w:t>
            </w:r>
          </w:p>
        </w:tc>
        <w:tc>
          <w:tcPr>
            <w:tcW w:w="2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Customers:</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Active Customers</w:t>
            </w:r>
          </w:p>
        </w:tc>
        <w:tc>
          <w:tcPr>
            <w:tcW w:w="1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27,598</w:t>
            </w:r>
          </w:p>
        </w:tc>
        <w:tc>
          <w:tcPr>
            <w:tcW w:w="48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26,335</w:t>
            </w:r>
          </w:p>
        </w:tc>
        <w:tc>
          <w:tcPr>
            <w:tcW w:w="24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25,019</w:t>
            </w:r>
          </w:p>
        </w:tc>
        <w:tc>
          <w:tcPr>
            <w:tcW w:w="4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23,991</w:t>
            </w:r>
          </w:p>
        </w:tc>
        <w:tc>
          <w:tcPr>
            <w:tcW w:w="20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22,818</w:t>
            </w:r>
          </w:p>
        </w:tc>
        <w:tc>
          <w:tcPr>
            <w:tcW w:w="0" w:type="dxa"/>
            <w:vAlign w:val="bottom"/>
          </w:tcPr>
          <w:p>
            <w:pPr>
              <w:spacing w:after="0"/>
              <w:rPr>
                <w:sz w:val="1"/>
                <w:szCs w:val="1"/>
                <w:color w:val="auto"/>
              </w:rPr>
            </w:pPr>
          </w:p>
        </w:tc>
      </w:tr>
      <w:tr>
        <w:trPr>
          <w:trHeight w:val="270"/>
        </w:trPr>
        <w:tc>
          <w:tcPr>
            <w:tcW w:w="4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Volumes:</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Number of Transactions (millions)</w:t>
            </w:r>
          </w:p>
        </w:tc>
        <w:tc>
          <w:tcPr>
            <w:tcW w:w="1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267.8</w:t>
            </w:r>
          </w:p>
        </w:tc>
        <w:tc>
          <w:tcPr>
            <w:tcW w:w="480" w:type="dxa"/>
            <w:vAlign w:val="bottom"/>
          </w:tcPr>
          <w:p>
            <w:pPr>
              <w:spacing w:after="0"/>
              <w:rPr>
                <w:sz w:val="23"/>
                <w:szCs w:val="23"/>
                <w:color w:val="auto"/>
              </w:rPr>
            </w:pP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273.7</w:t>
            </w:r>
          </w:p>
        </w:tc>
        <w:tc>
          <w:tcPr>
            <w:tcW w:w="240" w:type="dxa"/>
            <w:vAlign w:val="bottom"/>
          </w:tcPr>
          <w:p>
            <w:pPr>
              <w:spacing w:after="0"/>
              <w:rPr>
                <w:sz w:val="23"/>
                <w:szCs w:val="23"/>
                <w:color w:val="auto"/>
              </w:rPr>
            </w:pPr>
          </w:p>
        </w:tc>
        <w:tc>
          <w:tcPr>
            <w:tcW w:w="11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276.3</w:t>
            </w:r>
          </w:p>
        </w:tc>
        <w:tc>
          <w:tcPr>
            <w:tcW w:w="460" w:type="dxa"/>
            <w:vAlign w:val="bottom"/>
          </w:tcPr>
          <w:p>
            <w:pPr>
              <w:spacing w:after="0"/>
              <w:rPr>
                <w:sz w:val="23"/>
                <w:szCs w:val="23"/>
                <w:color w:val="auto"/>
              </w:rPr>
            </w:pPr>
          </w:p>
        </w:tc>
        <w:tc>
          <w:tcPr>
            <w:tcW w:w="9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274.6</w:t>
            </w:r>
          </w:p>
        </w:tc>
        <w:tc>
          <w:tcPr>
            <w:tcW w:w="2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258.6</w:t>
            </w: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Dollar Volume of Transactions (millions)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653.6</w:t>
            </w:r>
          </w:p>
        </w:tc>
        <w:tc>
          <w:tcPr>
            <w:tcW w:w="48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649.4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639.5</w:t>
            </w:r>
          </w:p>
        </w:tc>
        <w:tc>
          <w:tcPr>
            <w:tcW w:w="4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616.1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Highlights for the quarter ended March 31, 2023 include:</w:t>
      </w:r>
    </w:p>
    <w:p>
      <w:pPr>
        <w:spacing w:after="0" w:line="63" w:lineRule="exact"/>
        <w:rPr>
          <w:sz w:val="20"/>
          <w:szCs w:val="20"/>
          <w:color w:val="auto"/>
        </w:rPr>
      </w:pPr>
    </w:p>
    <w:p>
      <w:pPr>
        <w:ind w:left="660" w:hanging="328"/>
        <w:spacing w:after="0" w:line="261"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1.15 million Active Devices compared to the same quarter last year of 1.13 million, an increase of approximately 25 thousand Active Devices, or 2.2%;</w:t>
      </w: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27,598 Active Customers on our service compared to the same quarter last year of 22,818, an increase of 4,780 Active Customers, or 20.9%; and</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55" w:val="left"/>
        </w:tabs>
        <w:numPr>
          <w:ilvl w:val="0"/>
          <w:numId w:val="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$653.6 million in Total Dollar Volume of Transactions for the quarter ended March 31, 2023 compared to $562.0 million for the quarter ended March 31, 2022, an increase of $91.6 million, or 16.3%. See "Revenues and Gross Profit" in Management’s Discussion and Analysis of Financial Condition and Results of Operations below for additional information.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PERFORMANCE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our results of operations and significant changes in our financial performance for the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5657850" cy="62153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6215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2023 Compared to Three Months Ended March 31, 2022</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 and Gross Profit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2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540" w:type="dxa"/>
            <w:vAlign w:val="bottom"/>
            <w:vMerge w:val="restart"/>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3"/>
        </w:trPr>
        <w:tc>
          <w:tcPr>
            <w:tcW w:w="6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40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54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29"/>
        </w:trPr>
        <w:tc>
          <w:tcPr>
            <w:tcW w:w="6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Subscription and transaction fees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51,245</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42,143</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21.6 %</w:t>
            </w:r>
          </w:p>
        </w:tc>
        <w:tc>
          <w:tcPr>
            <w:tcW w:w="0" w:type="dxa"/>
            <w:vAlign w:val="bottom"/>
          </w:tcPr>
          <w:p>
            <w:pPr>
              <w:spacing w:after="0"/>
              <w:rPr>
                <w:sz w:val="1"/>
                <w:szCs w:val="1"/>
                <w:color w:val="auto"/>
              </w:rPr>
            </w:pPr>
          </w:p>
        </w:tc>
      </w:tr>
      <w:tr>
        <w:trPr>
          <w:trHeight w:val="230"/>
        </w:trPr>
        <w:tc>
          <w:tcPr>
            <w:tcW w:w="6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Equipment sales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9,111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8,157</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11.7 %</w:t>
            </w:r>
          </w:p>
        </w:tc>
        <w:tc>
          <w:tcPr>
            <w:tcW w:w="0" w:type="dxa"/>
            <w:vAlign w:val="bottom"/>
          </w:tcPr>
          <w:p>
            <w:pPr>
              <w:spacing w:after="0"/>
              <w:rPr>
                <w:sz w:val="1"/>
                <w:szCs w:val="1"/>
                <w:color w:val="auto"/>
              </w:rPr>
            </w:pPr>
          </w:p>
        </w:tc>
      </w:tr>
      <w:tr>
        <w:trPr>
          <w:trHeight w:val="223"/>
        </w:trPr>
        <w:tc>
          <w:tcPr>
            <w:tcW w:w="6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revenues</w:t>
            </w:r>
          </w:p>
        </w:tc>
        <w:tc>
          <w:tcPr>
            <w:tcW w:w="360" w:type="dxa"/>
            <w:vAlign w:val="bottom"/>
          </w:tcPr>
          <w:p>
            <w:pPr>
              <w:spacing w:after="0"/>
              <w:rPr>
                <w:sz w:val="19"/>
                <w:szCs w:val="19"/>
                <w:color w:val="auto"/>
              </w:rPr>
            </w:pPr>
          </w:p>
        </w:tc>
        <w:tc>
          <w:tcPr>
            <w:tcW w:w="11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60,356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50,300</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0" w:type="dxa"/>
            <w:vAlign w:val="bottom"/>
          </w:tcPr>
          <w:p>
            <w:pPr>
              <w:spacing w:after="0"/>
              <w:rPr>
                <w:sz w:val="1"/>
                <w:szCs w:val="1"/>
                <w:color w:val="auto"/>
              </w:rPr>
            </w:pPr>
          </w:p>
        </w:tc>
      </w:tr>
      <w:tr>
        <w:trPr>
          <w:trHeight w:val="257"/>
        </w:trPr>
        <w:tc>
          <w:tcPr>
            <w:tcW w:w="6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Costs of sales:</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subscription and transaction fees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29,577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25,291</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16.9 %</w:t>
            </w:r>
          </w:p>
        </w:tc>
        <w:tc>
          <w:tcPr>
            <w:tcW w:w="0" w:type="dxa"/>
            <w:vAlign w:val="bottom"/>
          </w:tcPr>
          <w:p>
            <w:pPr>
              <w:spacing w:after="0"/>
              <w:rPr>
                <w:sz w:val="1"/>
                <w:szCs w:val="1"/>
                <w:color w:val="auto"/>
              </w:rPr>
            </w:pPr>
          </w:p>
        </w:tc>
      </w:tr>
      <w:tr>
        <w:trPr>
          <w:trHeight w:val="229"/>
        </w:trPr>
        <w:tc>
          <w:tcPr>
            <w:tcW w:w="64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Cost of equipment sales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7,886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8,809</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23"/>
        </w:trPr>
        <w:tc>
          <w:tcPr>
            <w:tcW w:w="6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costs of sales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37,463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34,100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9.9 %</w:t>
            </w:r>
          </w:p>
        </w:tc>
        <w:tc>
          <w:tcPr>
            <w:tcW w:w="0" w:type="dxa"/>
            <w:vAlign w:val="bottom"/>
          </w:tcPr>
          <w:p>
            <w:pPr>
              <w:spacing w:after="0"/>
              <w:rPr>
                <w:sz w:val="1"/>
                <w:szCs w:val="1"/>
                <w:color w:val="auto"/>
              </w:rPr>
            </w:pPr>
          </w:p>
        </w:tc>
      </w:tr>
      <w:tr>
        <w:trPr>
          <w:trHeight w:val="257"/>
        </w:trPr>
        <w:tc>
          <w:tcPr>
            <w:tcW w:w="6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Subscription and transaction fees</w:t>
            </w:r>
          </w:p>
        </w:tc>
        <w:tc>
          <w:tcPr>
            <w:tcW w:w="360" w:type="dxa"/>
            <w:vAlign w:val="bottom"/>
          </w:tcPr>
          <w:p>
            <w:pPr>
              <w:spacing w:after="0"/>
              <w:rPr>
                <w:sz w:val="19"/>
                <w:szCs w:val="19"/>
                <w:color w:val="auto"/>
              </w:rPr>
            </w:pPr>
          </w:p>
        </w:tc>
        <w:tc>
          <w:tcPr>
            <w:tcW w:w="11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21,668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16,852</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28.6 %</w:t>
            </w:r>
          </w:p>
        </w:tc>
        <w:tc>
          <w:tcPr>
            <w:tcW w:w="0" w:type="dxa"/>
            <w:vAlign w:val="bottom"/>
          </w:tcPr>
          <w:p>
            <w:pPr>
              <w:spacing w:after="0"/>
              <w:rPr>
                <w:sz w:val="1"/>
                <w:szCs w:val="1"/>
                <w:color w:val="auto"/>
              </w:rPr>
            </w:pPr>
          </w:p>
        </w:tc>
      </w:tr>
      <w:tr>
        <w:trPr>
          <w:trHeight w:val="230"/>
        </w:trPr>
        <w:tc>
          <w:tcPr>
            <w:tcW w:w="6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Equipment sales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1,225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(652)</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287.9 %</w:t>
            </w:r>
          </w:p>
        </w:tc>
        <w:tc>
          <w:tcPr>
            <w:tcW w:w="0" w:type="dxa"/>
            <w:vAlign w:val="bottom"/>
          </w:tcPr>
          <w:p>
            <w:pPr>
              <w:spacing w:after="0"/>
              <w:rPr>
                <w:sz w:val="1"/>
                <w:szCs w:val="1"/>
                <w:color w:val="auto"/>
              </w:rPr>
            </w:pPr>
          </w:p>
        </w:tc>
      </w:tr>
      <w:tr>
        <w:trPr>
          <w:trHeight w:val="223"/>
        </w:trPr>
        <w:tc>
          <w:tcPr>
            <w:tcW w:w="6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gross profit</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22,893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16,200</w:t>
            </w: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41.3 %</w:t>
            </w:r>
          </w:p>
        </w:tc>
        <w:tc>
          <w:tcPr>
            <w:tcW w:w="0" w:type="dxa"/>
            <w:vAlign w:val="bottom"/>
          </w:tcPr>
          <w:p>
            <w:pPr>
              <w:spacing w:after="0"/>
              <w:rPr>
                <w:sz w:val="1"/>
                <w:szCs w:val="1"/>
                <w:color w:val="auto"/>
              </w:rPr>
            </w:pPr>
          </w:p>
        </w:tc>
      </w:tr>
      <w:tr>
        <w:trPr>
          <w:trHeight w:val="20"/>
        </w:trPr>
        <w:tc>
          <w:tcPr>
            <w:tcW w:w="6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29"/>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Subscription and transaction fees</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1640" w:type="dxa"/>
            <w:vAlign w:val="bottom"/>
            <w:shd w:val="clear" w:color="auto" w:fill="CCEEFF"/>
          </w:tcPr>
          <w:p>
            <w:pPr>
              <w:spacing w:after="0"/>
              <w:rPr>
                <w:sz w:val="19"/>
                <w:szCs w:val="19"/>
                <w:color w:val="auto"/>
              </w:rPr>
            </w:pPr>
          </w:p>
        </w:tc>
      </w:tr>
      <w:tr>
        <w:trPr>
          <w:trHeight w:val="230"/>
        </w:trPr>
        <w:tc>
          <w:tcPr>
            <w:tcW w:w="6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Equipment sales</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13.4 %</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640" w:type="dxa"/>
            <w:vAlign w:val="bottom"/>
            <w:tcBorders>
              <w:bottom w:val="single" w:sz="8" w:color="CCEEFF"/>
            </w:tcBorders>
          </w:tcPr>
          <w:p>
            <w:pPr>
              <w:spacing w:after="0"/>
              <w:rPr>
                <w:sz w:val="19"/>
                <w:szCs w:val="19"/>
                <w:color w:val="auto"/>
              </w:rPr>
            </w:pPr>
          </w:p>
        </w:tc>
      </w:tr>
      <w:tr>
        <w:trPr>
          <w:trHeight w:val="248"/>
        </w:trPr>
        <w:tc>
          <w:tcPr>
            <w:tcW w:w="64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gross margin</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37.9 %</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32.2 %</w:t>
            </w:r>
          </w:p>
        </w:tc>
        <w:tc>
          <w:tcPr>
            <w:tcW w:w="1640" w:type="dxa"/>
            <w:vAlign w:val="bottom"/>
            <w:tcBorders>
              <w:bottom w:val="single" w:sz="8" w:color="CCEEFF"/>
            </w:tcBorders>
            <w:shd w:val="clear" w:color="auto" w:fill="CCEEFF"/>
          </w:tcPr>
          <w:p>
            <w:pPr>
              <w:spacing w:after="0"/>
              <w:rPr>
                <w:sz w:val="21"/>
                <w:szCs w:val="2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r>
    </w:tbl>
    <w:p>
      <w:pPr>
        <w:spacing w:after="0" w:line="30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Revenues. </w:t>
      </w:r>
      <w:r>
        <w:rPr>
          <w:rFonts w:ascii="Times New Roman" w:cs="Times New Roman" w:eastAsia="Times New Roman" w:hAnsi="Times New Roman"/>
          <w:sz w:val="18"/>
          <w:szCs w:val="18"/>
          <w:color w:val="auto"/>
        </w:rPr>
        <w:t>Total revenues increased by $10.1 million for the three months ended March 31, 2023 compared to the same period in 2022. The increase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revenues is attributed to a $9.1 million and $1.0 million increase in subscription and transaction fees and equipment sales, respectively.</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increase in subscription and transaction fees was primarily driven by increased processing volumes including $3.2 million contributions from the 32M acquisition which was completed in December 2022, with an approximately 16.3% increase in total dollar volumes of transactions for the current fiscal year quarter relative to the prior year quarter. We continue to benefit as businesses, schools and other organizations across the country continue to maintain normal levels of operations and due to an increase in the average price per transaction and total number of transactions relative to the same period in the prior year. Our subscription fees have increased 22.0% for the three months ended March 31, 2023 compared to the same period in 2022 which is attributed to a continued focus of management to grow our recurring subscription services and the successful expansion of the Cantaloupe One program to our customer base.</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increase in equipment sales in the current fiscal year quarter was primarily driven by additional $2.0 million sales from the 32M acquisition. Our equipment margin improved during the current year quarter as our customers have completed upgrading their hardware devices from 3G to 4G network compatible devises as of December 31, 2022. In the prior year period, we offered strategic discounts to our existing customers to ensure their proper transitions into the new platform. (See 3G Network discontinuation and upgrade cycle section above).</w:t>
      </w:r>
    </w:p>
    <w:p>
      <w:pPr>
        <w:spacing w:after="0" w:line="2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Cost of sales. </w:t>
      </w:r>
      <w:r>
        <w:rPr>
          <w:rFonts w:ascii="Times New Roman" w:cs="Times New Roman" w:eastAsia="Times New Roman" w:hAnsi="Times New Roman"/>
          <w:sz w:val="18"/>
          <w:szCs w:val="18"/>
          <w:color w:val="auto"/>
        </w:rPr>
        <w:t>Cost of sales increased $3.4 million for the three months ended March 31, 2023 compared to the same period in 2022. The increase in cost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sales was primarily due to a $4.3 million increase in subscription and transaction costs, partially offset by a $0.9 million decrease in equipment costs. The increase in subscription and transaction costs was primarily driven by an increase in transaction processing fees corresponding with an increase in processing volumes including contributions from the 32M acquisition.</w:t>
      </w:r>
    </w:p>
    <w:p>
      <w:pPr>
        <w:spacing w:after="0" w:line="20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Gross margin. </w:t>
      </w:r>
      <w:r>
        <w:rPr>
          <w:rFonts w:ascii="Times New Roman" w:cs="Times New Roman" w:eastAsia="Times New Roman" w:hAnsi="Times New Roman"/>
          <w:sz w:val="18"/>
          <w:szCs w:val="18"/>
          <w:color w:val="auto"/>
        </w:rPr>
        <w:t>Total gross margin increased to 37.9% for the three months ended March 31, 2023 from 32.2% for the three months ended March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2022. The increase in gross margin was primarily a result of higher margins in both subscription and transaction fee and equipment sales after the 32M acquisition.</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4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580" w:type="dxa"/>
            <w:vAlign w:val="bottom"/>
            <w:vMerge w:val="restart"/>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3"/>
        </w:trPr>
        <w:tc>
          <w:tcPr>
            <w:tcW w:w="6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Category ($ in thousands)</w:t>
            </w: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660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58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28"/>
        </w:trPr>
        <w:tc>
          <w:tcPr>
            <w:tcW w:w="648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3,154</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62.8 %</w:t>
            </w:r>
          </w:p>
        </w:tc>
        <w:tc>
          <w:tcPr>
            <w:tcW w:w="0" w:type="dxa"/>
            <w:vAlign w:val="bottom"/>
          </w:tcPr>
          <w:p>
            <w:pPr>
              <w:spacing w:after="0"/>
              <w:rPr>
                <w:sz w:val="1"/>
                <w:szCs w:val="1"/>
                <w:color w:val="auto"/>
              </w:rPr>
            </w:pPr>
          </w:p>
        </w:tc>
      </w:tr>
      <w:tr>
        <w:trPr>
          <w:trHeight w:val="229"/>
        </w:trPr>
        <w:tc>
          <w:tcPr>
            <w:tcW w:w="6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Technology and product development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5,532</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29"/>
        </w:trPr>
        <w:tc>
          <w:tcPr>
            <w:tcW w:w="6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6,788</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0" w:type="dxa"/>
            <w:vAlign w:val="bottom"/>
          </w:tcPr>
          <w:p>
            <w:pPr>
              <w:spacing w:after="0"/>
              <w:rPr>
                <w:sz w:val="1"/>
                <w:szCs w:val="1"/>
                <w:color w:val="auto"/>
              </w:rPr>
            </w:pPr>
          </w:p>
        </w:tc>
      </w:tr>
      <w:tr>
        <w:trPr>
          <w:trHeight w:val="270"/>
        </w:trPr>
        <w:tc>
          <w:tcPr>
            <w:tcW w:w="6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Investigation, proxy solicitation and restatement expenses</w:t>
            </w:r>
          </w:p>
        </w:tc>
        <w:tc>
          <w:tcPr>
            <w:tcW w:w="3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30"/>
        </w:trPr>
        <w:tc>
          <w:tcPr>
            <w:tcW w:w="6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10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122.6 %</w:t>
            </w:r>
          </w:p>
        </w:tc>
        <w:tc>
          <w:tcPr>
            <w:tcW w:w="0" w:type="dxa"/>
            <w:vAlign w:val="bottom"/>
          </w:tcPr>
          <w:p>
            <w:pPr>
              <w:spacing w:after="0"/>
              <w:rPr>
                <w:sz w:val="1"/>
                <w:szCs w:val="1"/>
                <w:color w:val="auto"/>
              </w:rPr>
            </w:pPr>
          </w:p>
        </w:tc>
      </w:tr>
      <w:tr>
        <w:trPr>
          <w:trHeight w:val="223"/>
        </w:trPr>
        <w:tc>
          <w:tcPr>
            <w:tcW w:w="66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16,153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15,319</w:t>
            </w:r>
          </w:p>
        </w:tc>
        <w:tc>
          <w:tcPr>
            <w:tcW w:w="10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0" w:type="dxa"/>
            <w:vAlign w:val="bottom"/>
          </w:tcPr>
          <w:p>
            <w:pPr>
              <w:spacing w:after="0"/>
              <w:rPr>
                <w:sz w:val="1"/>
                <w:szCs w:val="1"/>
                <w:color w:val="auto"/>
              </w:rPr>
            </w:pPr>
          </w:p>
        </w:tc>
      </w:tr>
      <w:tr>
        <w:trPr>
          <w:trHeight w:val="21"/>
        </w:trPr>
        <w:tc>
          <w:tcPr>
            <w:tcW w:w="6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Total operating expenses. </w:t>
      </w:r>
      <w:r>
        <w:rPr>
          <w:rFonts w:ascii="Times New Roman" w:cs="Times New Roman" w:eastAsia="Times New Roman" w:hAnsi="Times New Roman"/>
          <w:sz w:val="18"/>
          <w:szCs w:val="18"/>
          <w:color w:val="auto"/>
        </w:rPr>
        <w:t>Operating expenses as a whole increased 5.4% for the three months ended March 31, 2023 compared to the same period in 2022.</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further details on individual categories below.</w:t>
      </w:r>
    </w:p>
    <w:p>
      <w:pPr>
        <w:spacing w:after="0" w:line="20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increased approximately $1.2 million for the three months ended March 31, 2023 compared to the same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in 2022 due to increased compensation costs as a result of higher sales and marketing employee headcount in the current quarter to support our expanding business and service offerings in the United States and internationally.</w:t>
      </w:r>
    </w:p>
    <w:p>
      <w:pPr>
        <w:spacing w:after="0" w:line="20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Technology and product development. </w:t>
      </w:r>
      <w:r>
        <w:rPr>
          <w:rFonts w:ascii="Times New Roman" w:cs="Times New Roman" w:eastAsia="Times New Roman" w:hAnsi="Times New Roman"/>
          <w:sz w:val="18"/>
          <w:szCs w:val="18"/>
          <w:color w:val="auto"/>
        </w:rPr>
        <w:t>Technology and product development expenses decreased by $0.9 million for the three months ended March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compared to the same period in 2022 primarily due to a $1.2 million decrease in compensation related expenses as a result of reduced headcount, partially offset by a $0.5 million increase in professional services related to various projects.</w:t>
      </w:r>
    </w:p>
    <w:p>
      <w:pPr>
        <w:spacing w:after="0" w:line="2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General and administrative expenses increased by $0.3 million for the three months ended March 31, 2023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same period in 2022 primarily due to a $0.8 million increase in compensation expense, a $0.5 million increase in professional services and $0.4 increase in rent and other occupancy expense. This was partially offset by a release of our sale tax accrual, which had a net decrease of $0.7 million in the current quarter and $0.8 million of bad debt expense in the prior year.</w:t>
      </w:r>
    </w:p>
    <w:p>
      <w:pPr>
        <w:spacing w:after="0" w:line="20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Investigation, proxy solicitation, and restatement expenses. </w:t>
      </w:r>
      <w:r>
        <w:rPr>
          <w:rFonts w:ascii="Times New Roman" w:cs="Times New Roman" w:eastAsia="Times New Roman" w:hAnsi="Times New Roman"/>
          <w:sz w:val="18"/>
          <w:szCs w:val="18"/>
          <w:color w:val="auto"/>
        </w:rPr>
        <w:t>During the quarter, the Company reached a preliminary settlement with the SEC to resolve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2019 Investigation. As a result of the settlement, we increased our accrual from $0.5 million to $1.5 million, resulting in $1.0 million of expense in the quarter. Additionally, we received a $2.0 million reimbursement from our directors and officers (D&amp;O) insurance policy for legal fees and expenses incurred in connection with the 2019 Investigation. The D&amp;O reimbursement proceeds was recorded as a reduction of "Investigation, proxy and restatement expenses" on the Company's Condensed Consolidated Statement of Operations for the three ended March 31, 2023.</w:t>
      </w:r>
    </w:p>
    <w:p>
      <w:pPr>
        <w:spacing w:after="0" w:line="18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and amortization expenses increased $1.3 million for the three months ended March 31, 2023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same period in 2022. The increase was primarily driven by the acquisition of 32M in December 2022.</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(Expense), Net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580" w:type="dxa"/>
            <w:vAlign w:val="bottom"/>
            <w:vMerge w:val="restart"/>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3"/>
        </w:trPr>
        <w:tc>
          <w:tcPr>
            <w:tcW w:w="6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6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58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29"/>
        </w:trPr>
        <w:tc>
          <w:tcPr>
            <w:tcW w:w="6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21.3 %</w:t>
            </w:r>
          </w:p>
        </w:tc>
        <w:tc>
          <w:tcPr>
            <w:tcW w:w="0" w:type="dxa"/>
            <w:vAlign w:val="bottom"/>
          </w:tcPr>
          <w:p>
            <w:pPr>
              <w:spacing w:after="0"/>
              <w:rPr>
                <w:sz w:val="1"/>
                <w:szCs w:val="1"/>
                <w:color w:val="auto"/>
              </w:rPr>
            </w:pPr>
          </w:p>
        </w:tc>
      </w:tr>
      <w:tr>
        <w:trPr>
          <w:trHeight w:val="229"/>
        </w:trPr>
        <w:tc>
          <w:tcPr>
            <w:tcW w:w="6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0" w:type="dxa"/>
            <w:vAlign w:val="bottom"/>
          </w:tcPr>
          <w:p>
            <w:pPr>
              <w:spacing w:after="0"/>
              <w:rPr>
                <w:sz w:val="1"/>
                <w:szCs w:val="1"/>
                <w:color w:val="auto"/>
              </w:rPr>
            </w:pPr>
          </w:p>
        </w:tc>
      </w:tr>
      <w:tr>
        <w:trPr>
          <w:trHeight w:val="230"/>
        </w:trPr>
        <w:tc>
          <w:tcPr>
            <w:tcW w:w="66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Other income (expense)</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85.7 %</w:t>
            </w:r>
          </w:p>
        </w:tc>
        <w:tc>
          <w:tcPr>
            <w:tcW w:w="0" w:type="dxa"/>
            <w:vAlign w:val="bottom"/>
          </w:tcPr>
          <w:p>
            <w:pPr>
              <w:spacing w:after="0"/>
              <w:rPr>
                <w:sz w:val="1"/>
                <w:szCs w:val="1"/>
                <w:color w:val="auto"/>
              </w:rPr>
            </w:pPr>
          </w:p>
        </w:tc>
      </w:tr>
      <w:tr>
        <w:trPr>
          <w:trHeight w:val="248"/>
        </w:trPr>
        <w:tc>
          <w:tcPr>
            <w:tcW w:w="6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0" w:type="dxa"/>
            <w:vAlign w:val="bottom"/>
          </w:tcPr>
          <w:p>
            <w:pPr>
              <w:spacing w:after="0"/>
              <w:rPr>
                <w:sz w:val="1"/>
                <w:szCs w:val="1"/>
                <w:color w:val="auto"/>
              </w:rPr>
            </w:pP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Other income (expense), net</w:t>
      </w:r>
      <w:r>
        <w:rPr>
          <w:rFonts w:ascii="Times New Roman" w:cs="Times New Roman" w:eastAsia="Times New Roman" w:hAnsi="Times New Roman"/>
          <w:sz w:val="18"/>
          <w:szCs w:val="18"/>
          <w:color w:val="auto"/>
        </w:rPr>
        <w:t>. Other income (expense), net decreased $1.0 million for the three months ended March 31, 2023 as compared to the same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in 2022. Our interest expense was higher during the current year quarter primarily driven by a higher outstanding debt balance, partially offset by a $0.9 million change in the interest component of the sales tax reserve. In</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prior year period, the reduction in interest expense was primarily due to a $0.9 million change in the interest component of the sales tax reserve.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Nine Months Ended March 31, 2023 Compared to Nine Months Ended March 31, 2022</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 and Gross Profit</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2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Nine months ended March 31,</w:t>
            </w:r>
          </w:p>
        </w:tc>
        <w:tc>
          <w:tcPr>
            <w:tcW w:w="1540" w:type="dxa"/>
            <w:vAlign w:val="bottom"/>
            <w:vMerge w:val="restart"/>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3"/>
        </w:trPr>
        <w:tc>
          <w:tcPr>
            <w:tcW w:w="6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640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54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28"/>
        </w:trPr>
        <w:tc>
          <w:tcPr>
            <w:tcW w:w="6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Subscription and transaction fees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147,252</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123,956</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18.8 %</w:t>
            </w:r>
          </w:p>
        </w:tc>
        <w:tc>
          <w:tcPr>
            <w:tcW w:w="0" w:type="dxa"/>
            <w:vAlign w:val="bottom"/>
          </w:tcPr>
          <w:p>
            <w:pPr>
              <w:spacing w:after="0"/>
              <w:rPr>
                <w:sz w:val="1"/>
                <w:szCs w:val="1"/>
                <w:color w:val="auto"/>
              </w:rPr>
            </w:pPr>
          </w:p>
        </w:tc>
      </w:tr>
      <w:tr>
        <w:trPr>
          <w:trHeight w:val="229"/>
        </w:trPr>
        <w:tc>
          <w:tcPr>
            <w:tcW w:w="6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Equipment sales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32,216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23,215</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38.8 %</w:t>
            </w:r>
          </w:p>
        </w:tc>
        <w:tc>
          <w:tcPr>
            <w:tcW w:w="0" w:type="dxa"/>
            <w:vAlign w:val="bottom"/>
          </w:tcPr>
          <w:p>
            <w:pPr>
              <w:spacing w:after="0"/>
              <w:rPr>
                <w:sz w:val="1"/>
                <w:szCs w:val="1"/>
                <w:color w:val="auto"/>
              </w:rPr>
            </w:pPr>
          </w:p>
        </w:tc>
      </w:tr>
      <w:tr>
        <w:trPr>
          <w:trHeight w:val="223"/>
        </w:trPr>
        <w:tc>
          <w:tcPr>
            <w:tcW w:w="6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revenues</w:t>
            </w:r>
          </w:p>
        </w:tc>
        <w:tc>
          <w:tcPr>
            <w:tcW w:w="360" w:type="dxa"/>
            <w:vAlign w:val="bottom"/>
          </w:tcPr>
          <w:p>
            <w:pPr>
              <w:spacing w:after="0"/>
              <w:rPr>
                <w:sz w:val="19"/>
                <w:szCs w:val="19"/>
                <w:color w:val="auto"/>
              </w:rPr>
            </w:pPr>
          </w:p>
        </w:tc>
        <w:tc>
          <w:tcPr>
            <w:tcW w:w="11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179,468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147,171</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21.9 %</w:t>
            </w:r>
          </w:p>
        </w:tc>
        <w:tc>
          <w:tcPr>
            <w:tcW w:w="0" w:type="dxa"/>
            <w:vAlign w:val="bottom"/>
          </w:tcPr>
          <w:p>
            <w:pPr>
              <w:spacing w:after="0"/>
              <w:rPr>
                <w:sz w:val="1"/>
                <w:szCs w:val="1"/>
                <w:color w:val="auto"/>
              </w:rPr>
            </w:pPr>
          </w:p>
        </w:tc>
      </w:tr>
      <w:tr>
        <w:trPr>
          <w:trHeight w:val="256"/>
        </w:trPr>
        <w:tc>
          <w:tcPr>
            <w:tcW w:w="6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Costs of sales:</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subscription and transaction fees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90,149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76,234</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18.3 %</w:t>
            </w:r>
          </w:p>
        </w:tc>
        <w:tc>
          <w:tcPr>
            <w:tcW w:w="0" w:type="dxa"/>
            <w:vAlign w:val="bottom"/>
          </w:tcPr>
          <w:p>
            <w:pPr>
              <w:spacing w:after="0"/>
              <w:rPr>
                <w:sz w:val="1"/>
                <w:szCs w:val="1"/>
                <w:color w:val="auto"/>
              </w:rPr>
            </w:pPr>
          </w:p>
        </w:tc>
      </w:tr>
      <w:tr>
        <w:trPr>
          <w:trHeight w:val="229"/>
        </w:trPr>
        <w:tc>
          <w:tcPr>
            <w:tcW w:w="64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Cost of equipment sales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33,823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23,871</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41.7 %</w:t>
            </w:r>
          </w:p>
        </w:tc>
        <w:tc>
          <w:tcPr>
            <w:tcW w:w="0" w:type="dxa"/>
            <w:vAlign w:val="bottom"/>
          </w:tcPr>
          <w:p>
            <w:pPr>
              <w:spacing w:after="0"/>
              <w:rPr>
                <w:sz w:val="1"/>
                <w:szCs w:val="1"/>
                <w:color w:val="auto"/>
              </w:rPr>
            </w:pPr>
          </w:p>
        </w:tc>
      </w:tr>
      <w:tr>
        <w:trPr>
          <w:trHeight w:val="223"/>
        </w:trPr>
        <w:tc>
          <w:tcPr>
            <w:tcW w:w="6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costs of sales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123,972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100,105</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23.8 %</w:t>
            </w:r>
          </w:p>
        </w:tc>
        <w:tc>
          <w:tcPr>
            <w:tcW w:w="0" w:type="dxa"/>
            <w:vAlign w:val="bottom"/>
          </w:tcPr>
          <w:p>
            <w:pPr>
              <w:spacing w:after="0"/>
              <w:rPr>
                <w:sz w:val="1"/>
                <w:szCs w:val="1"/>
                <w:color w:val="auto"/>
              </w:rPr>
            </w:pPr>
          </w:p>
        </w:tc>
      </w:tr>
      <w:tr>
        <w:trPr>
          <w:trHeight w:val="257"/>
        </w:trPr>
        <w:tc>
          <w:tcPr>
            <w:tcW w:w="6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Subscription and transaction fees</w:t>
            </w:r>
          </w:p>
        </w:tc>
        <w:tc>
          <w:tcPr>
            <w:tcW w:w="360" w:type="dxa"/>
            <w:vAlign w:val="bottom"/>
          </w:tcPr>
          <w:p>
            <w:pPr>
              <w:spacing w:after="0"/>
              <w:rPr>
                <w:sz w:val="19"/>
                <w:szCs w:val="19"/>
                <w:color w:val="auto"/>
              </w:rPr>
            </w:pPr>
          </w:p>
        </w:tc>
        <w:tc>
          <w:tcPr>
            <w:tcW w:w="11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57,103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47,722</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19.7 %</w:t>
            </w:r>
          </w:p>
        </w:tc>
        <w:tc>
          <w:tcPr>
            <w:tcW w:w="0" w:type="dxa"/>
            <w:vAlign w:val="bottom"/>
          </w:tcPr>
          <w:p>
            <w:pPr>
              <w:spacing w:after="0"/>
              <w:rPr>
                <w:sz w:val="1"/>
                <w:szCs w:val="1"/>
                <w:color w:val="auto"/>
              </w:rPr>
            </w:pPr>
          </w:p>
        </w:tc>
      </w:tr>
      <w:tr>
        <w:trPr>
          <w:trHeight w:val="229"/>
        </w:trPr>
        <w:tc>
          <w:tcPr>
            <w:tcW w:w="6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Equipment sales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(1,607)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(656)</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145.0 %</w:t>
            </w:r>
          </w:p>
        </w:tc>
        <w:tc>
          <w:tcPr>
            <w:tcW w:w="0" w:type="dxa"/>
            <w:vAlign w:val="bottom"/>
          </w:tcPr>
          <w:p>
            <w:pPr>
              <w:spacing w:after="0"/>
              <w:rPr>
                <w:sz w:val="1"/>
                <w:szCs w:val="1"/>
                <w:color w:val="auto"/>
              </w:rPr>
            </w:pPr>
          </w:p>
        </w:tc>
      </w:tr>
      <w:tr>
        <w:trPr>
          <w:trHeight w:val="223"/>
        </w:trPr>
        <w:tc>
          <w:tcPr>
            <w:tcW w:w="6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gross profit</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55,496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47,066</w:t>
            </w: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17.9 %</w:t>
            </w:r>
          </w:p>
        </w:tc>
        <w:tc>
          <w:tcPr>
            <w:tcW w:w="0" w:type="dxa"/>
            <w:vAlign w:val="bottom"/>
          </w:tcPr>
          <w:p>
            <w:pPr>
              <w:spacing w:after="0"/>
              <w:rPr>
                <w:sz w:val="1"/>
                <w:szCs w:val="1"/>
                <w:color w:val="auto"/>
              </w:rPr>
            </w:pPr>
          </w:p>
        </w:tc>
      </w:tr>
      <w:tr>
        <w:trPr>
          <w:trHeight w:val="20"/>
        </w:trPr>
        <w:tc>
          <w:tcPr>
            <w:tcW w:w="6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30"/>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Subscription and transaction fees</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38.5 %</w:t>
            </w:r>
          </w:p>
        </w:tc>
        <w:tc>
          <w:tcPr>
            <w:tcW w:w="1640" w:type="dxa"/>
            <w:vAlign w:val="bottom"/>
            <w:shd w:val="clear" w:color="auto" w:fill="CCEEFF"/>
          </w:tcPr>
          <w:p>
            <w:pPr>
              <w:spacing w:after="0"/>
              <w:rPr>
                <w:sz w:val="19"/>
                <w:szCs w:val="19"/>
                <w:color w:val="auto"/>
              </w:rPr>
            </w:pPr>
          </w:p>
        </w:tc>
      </w:tr>
      <w:tr>
        <w:trPr>
          <w:trHeight w:val="229"/>
        </w:trPr>
        <w:tc>
          <w:tcPr>
            <w:tcW w:w="6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Equipment sales</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640" w:type="dxa"/>
            <w:vAlign w:val="bottom"/>
            <w:tcBorders>
              <w:bottom w:val="single" w:sz="8" w:color="CCEEFF"/>
            </w:tcBorders>
          </w:tcPr>
          <w:p>
            <w:pPr>
              <w:spacing w:after="0"/>
              <w:rPr>
                <w:sz w:val="19"/>
                <w:szCs w:val="19"/>
                <w:color w:val="auto"/>
              </w:rPr>
            </w:pPr>
          </w:p>
        </w:tc>
      </w:tr>
      <w:tr>
        <w:trPr>
          <w:trHeight w:val="248"/>
        </w:trPr>
        <w:tc>
          <w:tcPr>
            <w:tcW w:w="64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gross margin</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30.9 %</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32.0 %</w:t>
            </w:r>
          </w:p>
        </w:tc>
        <w:tc>
          <w:tcPr>
            <w:tcW w:w="1640" w:type="dxa"/>
            <w:vAlign w:val="bottom"/>
            <w:tcBorders>
              <w:bottom w:val="single" w:sz="8" w:color="CCEEFF"/>
            </w:tcBorders>
            <w:shd w:val="clear" w:color="auto" w:fill="CCEEFF"/>
          </w:tcPr>
          <w:p>
            <w:pPr>
              <w:spacing w:after="0"/>
              <w:rPr>
                <w:sz w:val="21"/>
                <w:szCs w:val="2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r>
    </w:tbl>
    <w:p>
      <w:pPr>
        <w:spacing w:after="0" w:line="3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Revenues. </w:t>
      </w:r>
      <w:r>
        <w:rPr>
          <w:rFonts w:ascii="Times New Roman" w:cs="Times New Roman" w:eastAsia="Times New Roman" w:hAnsi="Times New Roman"/>
          <w:sz w:val="18"/>
          <w:szCs w:val="18"/>
          <w:color w:val="auto"/>
        </w:rPr>
        <w:t>Total revenues increased by $32.3 million for the nine months ended March 31, 2023 compared to the same period in 2022. The increase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revenues was attributed to a $23.3 million increase in subscription and transaction fees, and a $9.0 million increase in equipment sales.</w:t>
      </w:r>
    </w:p>
    <w:p>
      <w:pPr>
        <w:spacing w:after="0" w:line="18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increase in subscription and transaction fees was primarily driven by increased processing volumes, with an approximately 16% increase in total dollar volumes for the nine months ended March 31, 2023 compared to the same period in 2022. Our transaction fees increased $16.4 million, or 20.3% as we continue to benefit as businesses, schools and other organizations across the country continue to maintain normal levels of operations and due to an increase in the average price per transaction and total number of transactions relative to the same period in the prior year. Our subscription fees increased approximately $6.9 million, or 16% for the nine months ended March 31, 2023 compared to the same period in 2022 which was attributed to a continued focus of management to grow our recurring subscription services, the successful expansion of the Cantaloupe One program to our customer base, and the acquisition of 32M.</w:t>
      </w:r>
    </w:p>
    <w:p>
      <w:pPr>
        <w:spacing w:after="0" w:line="2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equipment sales relates to more equipment shipments in the current fiscal year compared to the same period last year driven primarily by continued upgrades by our customers from 3G to 4G network compatible devices which was substantially completed as of December 31, 2022. Additionally, the completion of our 32M acquisition in December 2022 contributed additional equipment sales for the nine months ended March 31, 2023.</w:t>
      </w:r>
    </w:p>
    <w:p>
      <w:pPr>
        <w:spacing w:after="0" w:line="20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i w:val="1"/>
          <w:iCs w:val="1"/>
          <w:color w:val="auto"/>
        </w:rPr>
        <w:t>Cost of sales</w:t>
      </w:r>
      <w:r>
        <w:rPr>
          <w:rFonts w:ascii="Times New Roman" w:cs="Times New Roman" w:eastAsia="Times New Roman" w:hAnsi="Times New Roman"/>
          <w:sz w:val="18"/>
          <w:szCs w:val="18"/>
          <w:color w:val="auto"/>
        </w:rPr>
        <w:t>. Cost of sales increased $23.9 million for the nine months ended March 31, 2023 compared to the same period in 2022. The increase in cost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sales was attributed to a $13.9 million and $10.0 million increase in subscription and transaction costs and equipment costs, respectively.</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increase in subscription and transaction costs was primarily driven by an increase in transaction processing fees corresponding with an increase in processing volumes and total dollar volume of transactions. The acquisition of 32M in December 2022 also contributed an approximately $1.6 million increase in our subscription and transaction costs for the nine months ended March 31, 2023.</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increase in cost of sales for equipment was primarily driven by increased equipment sales and increased cost experienced within our supply chain due to inflation and unfavorable prices paid to secure certain key component parts to meet production and delivery timelines caused by a greater than anticipated surge in the demand for our ePort hardware products. The increased demand in the first half of fiscal year 2023 was related to our customers upgrading their payment devices in anticipation of the 3G network discontinuation events described above (See 3G Network discontinuation and upgrade cycle section). We have taken steps to mitigate the impact of the materials shortages on our business, including increasing the amount of inventory we have on hand and negotiating fixed pricing with suppliers which has resulted in significant margin improvements in the second and third quarter of our fiscal year. Additionally, the acquisition of 32M in December 2022 contributed a $1.5 million increase in our equipment costs for the nine months ended March 31,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Gross margin. </w:t>
      </w:r>
      <w:r>
        <w:rPr>
          <w:rFonts w:ascii="Times New Roman" w:cs="Times New Roman" w:eastAsia="Times New Roman" w:hAnsi="Times New Roman"/>
          <w:sz w:val="18"/>
          <w:szCs w:val="18"/>
          <w:color w:val="auto"/>
        </w:rPr>
        <w:t>Total gross margin was relatively consistent for the nine months ended March 31, 2023 compared to the same period in 2022.</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Nine months ended March 31,</w:t>
            </w:r>
          </w:p>
        </w:tc>
        <w:tc>
          <w:tcPr>
            <w:tcW w:w="1580" w:type="dxa"/>
            <w:vAlign w:val="bottom"/>
            <w:vMerge w:val="restart"/>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3"/>
        </w:trPr>
        <w:tc>
          <w:tcPr>
            <w:tcW w:w="6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Category ($ in thousands)</w:t>
            </w: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66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58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28"/>
        </w:trPr>
        <w:tc>
          <w:tcPr>
            <w:tcW w:w="648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8,888</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6,021</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47.6 %</w:t>
            </w:r>
          </w:p>
        </w:tc>
        <w:tc>
          <w:tcPr>
            <w:tcW w:w="0" w:type="dxa"/>
            <w:vAlign w:val="bottom"/>
          </w:tcPr>
          <w:p>
            <w:pPr>
              <w:spacing w:after="0"/>
              <w:rPr>
                <w:sz w:val="1"/>
                <w:szCs w:val="1"/>
                <w:color w:val="auto"/>
              </w:rPr>
            </w:pPr>
          </w:p>
        </w:tc>
      </w:tr>
      <w:tr>
        <w:trPr>
          <w:trHeight w:val="230"/>
        </w:trPr>
        <w:tc>
          <w:tcPr>
            <w:tcW w:w="6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Technology and product development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16,701</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0" w:type="dxa"/>
            <w:vAlign w:val="bottom"/>
          </w:tcPr>
          <w:p>
            <w:pPr>
              <w:spacing w:after="0"/>
              <w:rPr>
                <w:sz w:val="1"/>
                <w:szCs w:val="1"/>
                <w:color w:val="auto"/>
              </w:rPr>
            </w:pPr>
          </w:p>
        </w:tc>
      </w:tr>
      <w:tr>
        <w:trPr>
          <w:trHeight w:val="229"/>
        </w:trPr>
        <w:tc>
          <w:tcPr>
            <w:tcW w:w="6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21,724</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15.9 %</w:t>
            </w:r>
          </w:p>
        </w:tc>
        <w:tc>
          <w:tcPr>
            <w:tcW w:w="0" w:type="dxa"/>
            <w:vAlign w:val="bottom"/>
          </w:tcPr>
          <w:p>
            <w:pPr>
              <w:spacing w:after="0"/>
              <w:rPr>
                <w:sz w:val="1"/>
                <w:szCs w:val="1"/>
                <w:color w:val="auto"/>
              </w:rPr>
            </w:pPr>
          </w:p>
        </w:tc>
      </w:tr>
      <w:tr>
        <w:trPr>
          <w:trHeight w:val="270"/>
        </w:trPr>
        <w:tc>
          <w:tcPr>
            <w:tcW w:w="6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Investigation, proxy solicitation and restatement expenses</w:t>
            </w: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70"/>
        </w:trPr>
        <w:tc>
          <w:tcPr>
            <w:tcW w:w="6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Integration and acquisition expenses</w:t>
            </w: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2,787</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29"/>
        </w:trPr>
        <w:tc>
          <w:tcPr>
            <w:tcW w:w="66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3,197</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57.3 %</w:t>
            </w:r>
          </w:p>
        </w:tc>
        <w:tc>
          <w:tcPr>
            <w:tcW w:w="0" w:type="dxa"/>
            <w:vAlign w:val="bottom"/>
          </w:tcPr>
          <w:p>
            <w:pPr>
              <w:spacing w:after="0"/>
              <w:rPr>
                <w:sz w:val="1"/>
                <w:szCs w:val="1"/>
                <w:color w:val="auto"/>
              </w:rPr>
            </w:pPr>
          </w:p>
        </w:tc>
      </w:tr>
      <w:tr>
        <w:trPr>
          <w:trHeight w:val="248"/>
        </w:trPr>
        <w:tc>
          <w:tcPr>
            <w:tcW w:w="66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58,187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47,643</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22.1 %</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Total operating expenses. </w:t>
      </w:r>
      <w:r>
        <w:rPr>
          <w:rFonts w:ascii="Times New Roman" w:cs="Times New Roman" w:eastAsia="Times New Roman" w:hAnsi="Times New Roman"/>
          <w:sz w:val="18"/>
          <w:szCs w:val="18"/>
          <w:color w:val="auto"/>
        </w:rPr>
        <w:t>Operating expenses increased approximately $10.5 million for the nine months ended March 31, 2023 compared to the same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in 2022. The increase was attributed to a $3.5 million increase in general and administrative expenses, a $2.9 million increase in sales and marketing expenses, a $2.8 million increase in integration and acquisition expenses, and a $1.8 million increase in depreciation and amortization. See further details on individual categories below.</w:t>
      </w:r>
    </w:p>
    <w:p>
      <w:pPr>
        <w:spacing w:after="0" w:line="18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increased approximately $2.9 million for the nine months ended March 31, 2023 compared to the same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in 2022 primarily due to higher sales and marketing employee headcount in the current year to support our expanding business and service offerings in the United States and internationally.</w:t>
      </w:r>
    </w:p>
    <w:p>
      <w:pPr>
        <w:spacing w:after="0" w:line="20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General and administrative expenses increased approximately $3.5 million for the nine months ended March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as compared to the same period in 2022. The increase in general and administrative expenses was primarily driven by a $1.4 million increase in personnel compensation cost as a result of our growing business, a $1.3 million increase in professional services fees relating to additional compliance costs incurred as a result of our delayed annual report filing.</w:t>
      </w:r>
    </w:p>
    <w:p>
      <w:pPr>
        <w:spacing w:after="0" w:line="22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Investigation, proxy solicitation, and restatement expenses</w:t>
      </w:r>
      <w:r>
        <w:rPr>
          <w:rFonts w:ascii="Times New Roman" w:cs="Times New Roman" w:eastAsia="Times New Roman" w:hAnsi="Times New Roman"/>
          <w:sz w:val="18"/>
          <w:szCs w:val="18"/>
          <w:color w:val="auto"/>
        </w:rPr>
        <w:t>. During the quarter, the Company reached a preliminary settlement with the SEC to resolve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2019 Investigation. As a result of the settlement, we increased our accrual from $0.5 million to $1.5 million, resulting in $1.0 million of expense in the quarter. Additionally, we received a $2.0 million reimbursement from our directors and officers (D&amp;O) insurance policy for legal fees and expenses incurred in connection with the 2019 Investigation. The D&amp;O reimbursement proceeds was recorded as a reduction of "Investigation, proxy and restatement expenses" on the Company's Condensed Consolidated Statement of Operations for the nine months ended March 31, 2023.</w:t>
      </w:r>
    </w:p>
    <w:p>
      <w:pPr>
        <w:spacing w:after="0" w:line="20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Integration and acquisition. </w:t>
      </w:r>
      <w:r>
        <w:rPr>
          <w:rFonts w:ascii="Times New Roman" w:cs="Times New Roman" w:eastAsia="Times New Roman" w:hAnsi="Times New Roman"/>
          <w:sz w:val="18"/>
          <w:szCs w:val="18"/>
          <w:color w:val="auto"/>
        </w:rPr>
        <w:t>On December 1, 2022, the Company acquired all of the equity interests of Three Square Market, Inc., a Wisconsin corporation,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Three Square Market Limited, a UK private limited company (collectively "32M") pursuant to an Equity Purchase Agreement. For the nine months ended March 31, 2023, the Company incurred professional services fees of $2.8 million from accounting, legal and investing banking advisors leading up to and for the successful completion of the 32M acquisition. The Company did not incur any material integration and acquisition expenses for the nine months ended March 31, 2022.</w:t>
      </w:r>
    </w:p>
    <w:p>
      <w:pPr>
        <w:spacing w:after="0" w:line="20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During the nine months ended March 31, 2023, the Company had an increase in depreciation and amortization costs of $1.8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compared to the same period in the prior year due to the acquisition of 32M in December 2022 and increased depreciation for our growing Internal-use software as various projects and initiatives get implemented. Our</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increase in internal-use software is attributable to management's focus on developing innovative technologies to further strengthen our network environment and platform.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0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Nine months ended March 31,</w:t>
            </w:r>
          </w:p>
        </w:tc>
        <w:tc>
          <w:tcPr>
            <w:tcW w:w="1580" w:type="dxa"/>
            <w:vAlign w:val="bottom"/>
            <w:vMerge w:val="restart"/>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3"/>
        </w:trPr>
        <w:tc>
          <w:tcPr>
            <w:tcW w:w="6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660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58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28"/>
        </w:trPr>
        <w:tc>
          <w:tcPr>
            <w:tcW w:w="6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1,985</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45.6 %</w:t>
            </w:r>
          </w:p>
        </w:tc>
        <w:tc>
          <w:tcPr>
            <w:tcW w:w="0" w:type="dxa"/>
            <w:vAlign w:val="bottom"/>
          </w:tcPr>
          <w:p>
            <w:pPr>
              <w:spacing w:after="0"/>
              <w:rPr>
                <w:sz w:val="1"/>
                <w:szCs w:val="1"/>
                <w:color w:val="auto"/>
              </w:rPr>
            </w:pPr>
          </w:p>
        </w:tc>
      </w:tr>
      <w:tr>
        <w:trPr>
          <w:trHeight w:val="229"/>
        </w:trPr>
        <w:tc>
          <w:tcPr>
            <w:tcW w:w="6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1,158.0 %</w:t>
            </w:r>
          </w:p>
        </w:tc>
        <w:tc>
          <w:tcPr>
            <w:tcW w:w="0" w:type="dxa"/>
            <w:vAlign w:val="bottom"/>
          </w:tcPr>
          <w:p>
            <w:pPr>
              <w:spacing w:after="0"/>
              <w:rPr>
                <w:sz w:val="1"/>
                <w:szCs w:val="1"/>
                <w:color w:val="auto"/>
              </w:rPr>
            </w:pPr>
          </w:p>
        </w:tc>
      </w:tr>
      <w:tr>
        <w:trPr>
          <w:trHeight w:val="230"/>
        </w:trPr>
        <w:tc>
          <w:tcPr>
            <w:tcW w:w="66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Other income (expense)</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34.9 %</w:t>
            </w:r>
          </w:p>
        </w:tc>
        <w:tc>
          <w:tcPr>
            <w:tcW w:w="0" w:type="dxa"/>
            <w:vAlign w:val="bottom"/>
          </w:tcPr>
          <w:p>
            <w:pPr>
              <w:spacing w:after="0"/>
              <w:rPr>
                <w:sz w:val="1"/>
                <w:szCs w:val="1"/>
                <w:color w:val="auto"/>
              </w:rPr>
            </w:pPr>
          </w:p>
        </w:tc>
      </w:tr>
      <w:tr>
        <w:trPr>
          <w:trHeight w:val="248"/>
        </w:trPr>
        <w:tc>
          <w:tcPr>
            <w:tcW w:w="6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income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0" w:type="dxa"/>
            <w:vAlign w:val="bottom"/>
          </w:tcPr>
          <w:p>
            <w:pPr>
              <w:spacing w:after="0"/>
              <w:rPr>
                <w:sz w:val="1"/>
                <w:szCs w:val="1"/>
                <w:color w:val="auto"/>
              </w:rPr>
            </w:pP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Other income (expense), net</w:t>
      </w:r>
      <w:r>
        <w:rPr>
          <w:rFonts w:ascii="Times New Roman" w:cs="Times New Roman" w:eastAsia="Times New Roman" w:hAnsi="Times New Roman"/>
          <w:sz w:val="18"/>
          <w:szCs w:val="18"/>
          <w:color w:val="auto"/>
        </w:rPr>
        <w:t>. Other income (expense), net decreased $0.6 million for the nine months ended March 31, 2023 as compared to the same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in 2022 primarily driven by an increase in interest expense of $1.2 million due to higher outstanding debt balance in the current year, partially offset by an increase in interest income of approximately $0.6 million and a $0.4 million change in interest component of the sales tax reserve. The interest expense in the prior year period was lower due to a $0.9 million change in the interest component of the sales tax reserve.</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 - Adjusted EBITDA</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Adjusted earnings before income taxes, depreciation, and amortization (“Adjusted EBITDA”) is a non-GAAP financial measure which is not required by or defined under GAAP. We use this non-GAAP financial measure for financial and operational decision-making purposes and as a means to evaluate period-to-period comparisons. We believe that this non-GAAP financial measure provides useful information about our operating results, enhances the overall understanding of past financial performance and future prospects and allows for greater transparency with respect to metrics used by our management in its financial and operational decision making. The presentation of this financial measure is not intended to be considered in isolation or as a substitute for the financial measures prepared and presented in accordance with GAAP, including our net income or net loss or net cash used in operating activities. Management recognizes that non-GAAP financial measures have limitations in that they do not reflect all of the items associated with our net income or net loss as determined in accordance with GAAP, and are not a substitute for or a measure of our profitability or net earnings. Adjusted EBITDA is presented because we believe it is useful to investors as a measure of comparative operating performance. Additionally, we utilize Adjusted EBITDA as a metric in our executive officer and management incentive compensation plans.</w:t>
      </w:r>
    </w:p>
    <w:p>
      <w:pPr>
        <w:spacing w:after="0" w:line="2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define Adjusted EBITDA as U.S. GAAP net loss before (i) interest income, (ii) interest expense on debt and reserves, (iii) income tax provision, (iv) depreciation, (v) amortization, (vi) stock-based compensation expense, (vii) fees and charges, net of reimbursement from insurance proceeds, that were incurred in connection with the 2019 Investigation and financial statement restatement activities as well as proxy solicitation costs that are not indicative of our core operations, (viii) certain other significant infrequent or unusual losses and gains that are not indicative of our core operations such as integration and acquisition expenses, and (ix) severance expenses that are non-recurring and are not indicative of our core operations.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reconciliation of U.S. GAAP net loss to Adjusted EBITDA:</w:t>
      </w:r>
    </w:p>
    <w:p>
      <w:pPr>
        <w:spacing w:after="0" w:line="4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4"/>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8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4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8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GAAP net income</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6,948</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w:t>
            </w:r>
          </w:p>
        </w:tc>
        <w:tc>
          <w:tcPr>
            <w:tcW w:w="0" w:type="dxa"/>
            <w:vAlign w:val="bottom"/>
          </w:tcPr>
          <w:p>
            <w:pPr>
              <w:spacing w:after="0"/>
              <w:rPr>
                <w:sz w:val="1"/>
                <w:szCs w:val="1"/>
                <w:color w:val="auto"/>
              </w:rPr>
            </w:pPr>
          </w:p>
        </w:tc>
      </w:tr>
      <w:tr>
        <w:trPr>
          <w:trHeight w:val="230"/>
        </w:trPr>
        <w:tc>
          <w:tcPr>
            <w:tcW w:w="8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Less: interest income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0" w:type="dxa"/>
            <w:vAlign w:val="bottom"/>
          </w:tcPr>
          <w:p>
            <w:pPr>
              <w:spacing w:after="0"/>
              <w:rPr>
                <w:sz w:val="1"/>
                <w:szCs w:val="1"/>
                <w:color w:val="auto"/>
              </w:rPr>
            </w:pPr>
          </w:p>
        </w:tc>
      </w:tr>
      <w:tr>
        <w:trPr>
          <w:trHeight w:val="229"/>
        </w:trPr>
        <w:tc>
          <w:tcPr>
            <w:tcW w:w="8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Plus: interest expense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0" w:type="dxa"/>
            <w:vAlign w:val="bottom"/>
          </w:tcPr>
          <w:p>
            <w:pPr>
              <w:spacing w:after="0"/>
              <w:rPr>
                <w:sz w:val="1"/>
                <w:szCs w:val="1"/>
                <w:color w:val="auto"/>
              </w:rPr>
            </w:pPr>
          </w:p>
        </w:tc>
      </w:tr>
      <w:tr>
        <w:trPr>
          <w:trHeight w:val="230"/>
        </w:trPr>
        <w:tc>
          <w:tcPr>
            <w:tcW w:w="8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Plus: income tax provision</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0"/>
        </w:trPr>
        <w:tc>
          <w:tcPr>
            <w:tcW w:w="8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Plus: depreciation expense included in costs of sales for rentals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Plus: depreciation and amortization expense in operating expenses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0" w:type="dxa"/>
            <w:vAlign w:val="bottom"/>
          </w:tcPr>
          <w:p>
            <w:pPr>
              <w:spacing w:after="0"/>
              <w:rPr>
                <w:sz w:val="1"/>
                <w:szCs w:val="1"/>
                <w:color w:val="auto"/>
              </w:rPr>
            </w:pPr>
          </w:p>
        </w:tc>
      </w:tr>
      <w:tr>
        <w:trPr>
          <w:trHeight w:val="223"/>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w:t>
            </w:r>
          </w:p>
        </w:tc>
        <w:tc>
          <w:tcPr>
            <w:tcW w:w="0" w:type="dxa"/>
            <w:vAlign w:val="bottom"/>
          </w:tcPr>
          <w:p>
            <w:pPr>
              <w:spacing w:after="0"/>
              <w:rPr>
                <w:sz w:val="1"/>
                <w:szCs w:val="1"/>
                <w:color w:val="auto"/>
              </w:rPr>
            </w:pPr>
          </w:p>
        </w:tc>
      </w:tr>
      <w:tr>
        <w:trPr>
          <w:trHeight w:val="230"/>
        </w:trPr>
        <w:tc>
          <w:tcPr>
            <w:tcW w:w="824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Plus: stock-based compensation </w:t>
            </w:r>
            <w:r>
              <w:rPr>
                <w:rFonts w:ascii="Times New Roman" w:cs="Times New Roman" w:eastAsia="Times New Roman" w:hAnsi="Times New Roman"/>
                <w:sz w:val="23"/>
                <w:szCs w:val="23"/>
                <w:color w:val="auto"/>
                <w:vertAlign w:val="superscript"/>
              </w:rPr>
              <w:t>(a)</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w:t>
            </w:r>
          </w:p>
        </w:tc>
        <w:tc>
          <w:tcPr>
            <w:tcW w:w="0" w:type="dxa"/>
            <w:vAlign w:val="bottom"/>
          </w:tcPr>
          <w:p>
            <w:pPr>
              <w:spacing w:after="0"/>
              <w:rPr>
                <w:sz w:val="1"/>
                <w:szCs w:val="1"/>
                <w:color w:val="auto"/>
              </w:rPr>
            </w:pPr>
          </w:p>
        </w:tc>
      </w:tr>
      <w:tr>
        <w:trPr>
          <w:trHeight w:val="230"/>
        </w:trPr>
        <w:tc>
          <w:tcPr>
            <w:tcW w:w="824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Plus: investigation, proxy solicitation and restatement expenses </w:t>
            </w:r>
            <w:r>
              <w:rPr>
                <w:rFonts w:ascii="Times New Roman" w:cs="Times New Roman" w:eastAsia="Times New Roman" w:hAnsi="Times New Roman"/>
                <w:sz w:val="23"/>
                <w:szCs w:val="23"/>
                <w:color w:val="auto"/>
                <w:vertAlign w:val="superscript"/>
              </w:rPr>
              <w:t>(b)</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gridSpan w:val="2"/>
          </w:tcPr>
          <w:p>
            <w:pPr>
              <w:ind w:left="160"/>
              <w:spacing w:after="0" w:line="230" w:lineRule="exact"/>
              <w:rPr>
                <w:sz w:val="20"/>
                <w:szCs w:val="20"/>
                <w:color w:val="auto"/>
              </w:rPr>
            </w:pPr>
            <w:r>
              <w:rPr>
                <w:rFonts w:ascii="Times New Roman" w:cs="Times New Roman" w:eastAsia="Times New Roman" w:hAnsi="Times New Roman"/>
                <w:sz w:val="18"/>
                <w:szCs w:val="18"/>
                <w:color w:val="auto"/>
              </w:rPr>
              <w:t xml:space="preserve">Plus: severance expenses </w:t>
            </w:r>
            <w:r>
              <w:rPr>
                <w:rFonts w:ascii="Times New Roman" w:cs="Times New Roman" w:eastAsia="Times New Roman" w:hAnsi="Times New Roman"/>
                <w:sz w:val="23"/>
                <w:szCs w:val="23"/>
                <w:color w:val="auto"/>
                <w:vertAlign w:val="superscript"/>
              </w:rPr>
              <w:t>(c)</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EBITDA</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w:t>
            </w:r>
          </w:p>
        </w:tc>
        <w:tc>
          <w:tcPr>
            <w:tcW w:w="0" w:type="dxa"/>
            <w:vAlign w:val="bottom"/>
          </w:tcPr>
          <w:p>
            <w:pPr>
              <w:spacing w:after="0"/>
              <w:rPr>
                <w:sz w:val="1"/>
                <w:szCs w:val="1"/>
                <w:color w:val="auto"/>
              </w:rPr>
            </w:pPr>
          </w:p>
        </w:tc>
      </w:tr>
      <w:tr>
        <w:trPr>
          <w:trHeight w:val="223"/>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10,071</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3,651</w:t>
            </w:r>
          </w:p>
        </w:tc>
        <w:tc>
          <w:tcPr>
            <w:tcW w:w="0" w:type="dxa"/>
            <w:vAlign w:val="bottom"/>
          </w:tcPr>
          <w:p>
            <w:pPr>
              <w:spacing w:after="0"/>
              <w:rPr>
                <w:sz w:val="1"/>
                <w:szCs w:val="1"/>
                <w:color w:val="auto"/>
              </w:rPr>
            </w:pPr>
          </w:p>
        </w:tc>
      </w:tr>
      <w:tr>
        <w:trPr>
          <w:trHeight w:val="20"/>
        </w:trPr>
        <w:tc>
          <w:tcPr>
            <w:tcW w:w="8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620" w:hanging="288"/>
        <w:spacing w:after="0"/>
        <w:tabs>
          <w:tab w:leader="none" w:pos="6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an adjustment to EBITDA, we have excluded stock-based compensation, as it does not reflect our cash-based operations.</w:t>
      </w:r>
    </w:p>
    <w:p>
      <w:pPr>
        <w:spacing w:after="0" w:line="17" w:lineRule="exact"/>
        <w:rPr>
          <w:rFonts w:ascii="Times New Roman" w:cs="Times New Roman" w:eastAsia="Times New Roman" w:hAnsi="Times New Roman"/>
          <w:sz w:val="14"/>
          <w:szCs w:val="14"/>
          <w:color w:val="auto"/>
        </w:rPr>
      </w:pPr>
    </w:p>
    <w:p>
      <w:pPr>
        <w:jc w:val="both"/>
        <w:ind w:left="660" w:hanging="328"/>
        <w:spacing w:after="0" w:line="260" w:lineRule="auto"/>
        <w:tabs>
          <w:tab w:leader="none" w:pos="649"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an adjustment to EBITDA, we have excluded the costs and corresponding reimbursements related to the 2019 Investigation, because we believe that they represent charges that are not related to our core operations. During the three months ended March 31, 2023, we incurred costs of $1.0 million relating to the settlement of the 2019 Investigation, but received a $2.0 million D&amp;O insurance reimbursement for legal fees and expenses incurred in connection with the 2019 Investigation. Accordingly, Adjusted EBITDA contains a $1.0 million negative adjustment.</w:t>
      </w:r>
    </w:p>
    <w:p>
      <w:pPr>
        <w:spacing w:after="0" w:line="1"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an adjustment to EBITDA, we have excluded expenses incurred in connection with a one-time, non-recurring severance charges related to work force reduction.</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7" w:lineRule="exact"/>
        <w:rPr>
          <w:sz w:val="20"/>
          <w:szCs w:val="20"/>
          <w:color w:val="auto"/>
        </w:rPr>
      </w:pPr>
    </w:p>
    <w:tbl>
      <w:tblPr>
        <w:tblLayout w:type="fixed"/>
        <w:tblInd w:w="180" w:type="dxa"/>
        <w:tblCellMar>
          <w:top w:w="0" w:type="dxa"/>
          <w:left w:w="0" w:type="dxa"/>
          <w:bottom w:w="0" w:type="dxa"/>
          <w:right w:w="0" w:type="dxa"/>
        </w:tblCellMar>
      </w:tblPr>
      <w:tr>
        <w:trPr>
          <w:trHeight w:val="190"/>
        </w:trPr>
        <w:tc>
          <w:tcPr>
            <w:tcW w:w="7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40" w:type="dxa"/>
            <w:vAlign w:val="bottom"/>
            <w:gridSpan w:val="4"/>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Nine months ended March 31,</w:t>
            </w:r>
          </w:p>
        </w:tc>
        <w:tc>
          <w:tcPr>
            <w:tcW w:w="0" w:type="dxa"/>
            <w:vAlign w:val="bottom"/>
          </w:tcPr>
          <w:p>
            <w:pPr>
              <w:spacing w:after="0"/>
              <w:rPr>
                <w:sz w:val="1"/>
                <w:szCs w:val="1"/>
                <w:color w:val="auto"/>
              </w:rPr>
            </w:pPr>
          </w:p>
        </w:tc>
      </w:tr>
      <w:tr>
        <w:trPr>
          <w:trHeight w:val="23"/>
        </w:trPr>
        <w:tc>
          <w:tcPr>
            <w:tcW w:w="7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7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7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GAAP net (loss) income</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(2,199)</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0" w:type="dxa"/>
            <w:vAlign w:val="bottom"/>
          </w:tcPr>
          <w:p>
            <w:pPr>
              <w:spacing w:after="0"/>
              <w:rPr>
                <w:sz w:val="1"/>
                <w:szCs w:val="1"/>
                <w:color w:val="auto"/>
              </w:rPr>
            </w:pPr>
          </w:p>
        </w:tc>
      </w:tr>
      <w:tr>
        <w:trPr>
          <w:trHeight w:val="229"/>
        </w:trPr>
        <w:tc>
          <w:tcPr>
            <w:tcW w:w="7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Less: interest income</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Plus: interest expense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0"/>
        </w:trPr>
        <w:tc>
          <w:tcPr>
            <w:tcW w:w="7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Plus: income tax provision</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Plus: depreciation expense included in costs of sales for rentals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Plus: depreciation and amortization expense in operating expenses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3,197</w:t>
            </w:r>
          </w:p>
        </w:tc>
        <w:tc>
          <w:tcPr>
            <w:tcW w:w="0" w:type="dxa"/>
            <w:vAlign w:val="bottom"/>
          </w:tcPr>
          <w:p>
            <w:pPr>
              <w:spacing w:after="0"/>
              <w:rPr>
                <w:sz w:val="1"/>
                <w:szCs w:val="1"/>
                <w:color w:val="auto"/>
              </w:rPr>
            </w:pPr>
          </w:p>
        </w:tc>
      </w:tr>
      <w:tr>
        <w:trPr>
          <w:trHeight w:val="223"/>
        </w:trPr>
        <w:tc>
          <w:tcPr>
            <w:tcW w:w="7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3,275</w:t>
            </w:r>
          </w:p>
        </w:tc>
        <w:tc>
          <w:tcPr>
            <w:tcW w:w="0" w:type="dxa"/>
            <w:vAlign w:val="bottom"/>
          </w:tcPr>
          <w:p>
            <w:pPr>
              <w:spacing w:after="0"/>
              <w:rPr>
                <w:sz w:val="1"/>
                <w:szCs w:val="1"/>
                <w:color w:val="auto"/>
              </w:rPr>
            </w:pPr>
          </w:p>
        </w:tc>
      </w:tr>
      <w:tr>
        <w:trPr>
          <w:trHeight w:val="230"/>
        </w:trPr>
        <w:tc>
          <w:tcPr>
            <w:tcW w:w="772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Plus: stock-based compensation </w:t>
            </w:r>
            <w:r>
              <w:rPr>
                <w:rFonts w:ascii="Times New Roman" w:cs="Times New Roman" w:eastAsia="Times New Roman" w:hAnsi="Times New Roman"/>
                <w:sz w:val="23"/>
                <w:szCs w:val="23"/>
                <w:color w:val="auto"/>
                <w:vertAlign w:val="superscript"/>
              </w:rPr>
              <w:t>(a)</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4,624</w:t>
            </w: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Plus: investigation, proxy solicitation and restatement expenses </w:t>
            </w:r>
            <w:r>
              <w:rPr>
                <w:rFonts w:ascii="Times New Roman" w:cs="Times New Roman" w:eastAsia="Times New Roman" w:hAnsi="Times New Roman"/>
                <w:sz w:val="23"/>
                <w:szCs w:val="23"/>
                <w:color w:val="auto"/>
                <w:vertAlign w:val="superscript"/>
              </w:rPr>
              <w:t>(b)</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72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Plus: integration and acquisition expenses </w:t>
            </w:r>
            <w:r>
              <w:rPr>
                <w:rFonts w:ascii="Times New Roman" w:cs="Times New Roman" w:eastAsia="Times New Roman" w:hAnsi="Times New Roman"/>
                <w:sz w:val="23"/>
                <w:szCs w:val="23"/>
                <w:color w:val="auto"/>
                <w:vertAlign w:val="superscript"/>
              </w:rPr>
              <w:t>(c)</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Plus: severance expenses </w:t>
            </w:r>
            <w:r>
              <w:rPr>
                <w:rFonts w:ascii="Times New Roman" w:cs="Times New Roman" w:eastAsia="Times New Roman" w:hAnsi="Times New Roman"/>
                <w:sz w:val="23"/>
                <w:szCs w:val="23"/>
                <w:color w:val="auto"/>
                <w:vertAlign w:val="superscript"/>
              </w:rPr>
              <w:t>(d)</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Adjustments to EBITDA</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4,624</w:t>
            </w:r>
          </w:p>
        </w:tc>
        <w:tc>
          <w:tcPr>
            <w:tcW w:w="0" w:type="dxa"/>
            <w:vAlign w:val="bottom"/>
          </w:tcPr>
          <w:p>
            <w:pPr>
              <w:spacing w:after="0"/>
              <w:rPr>
                <w:sz w:val="1"/>
                <w:szCs w:val="1"/>
                <w:color w:val="auto"/>
              </w:rPr>
            </w:pPr>
          </w:p>
        </w:tc>
      </w:tr>
      <w:tr>
        <w:trPr>
          <w:trHeight w:val="248"/>
        </w:trPr>
        <w:tc>
          <w:tcPr>
            <w:tcW w:w="7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7,899</w:t>
            </w: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ind w:left="620" w:hanging="288"/>
        <w:spacing w:after="0"/>
        <w:tabs>
          <w:tab w:leader="none" w:pos="6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an adjustment to EBITDA, we have excluded stock-based compensation, as it does not reflect our cash-based operations.</w:t>
      </w:r>
    </w:p>
    <w:p>
      <w:pPr>
        <w:spacing w:after="0" w:line="17" w:lineRule="exact"/>
        <w:rPr>
          <w:rFonts w:ascii="Times New Roman" w:cs="Times New Roman" w:eastAsia="Times New Roman" w:hAnsi="Times New Roman"/>
          <w:sz w:val="14"/>
          <w:szCs w:val="14"/>
          <w:color w:val="auto"/>
        </w:rPr>
      </w:pPr>
    </w:p>
    <w:p>
      <w:pPr>
        <w:jc w:val="both"/>
        <w:ind w:left="660" w:hanging="328"/>
        <w:spacing w:after="0" w:line="241" w:lineRule="auto"/>
        <w:tabs>
          <w:tab w:leader="none" w:pos="649"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an adjustment to EBITDA, we have excluded the costs and corresponding reimbursements related to the 2019 Investigation, because we believe that they represent charges that are not related to our core operations. During the nine months ended March 31, 2023, we incurred additional costs relating to the settlement of the 2019 Investigation, but received a $2.0 million D&amp;O insurance reimbursement for legal fees and expenses incurred in connection with the 2019 Investigation. Accordingly, Adjusted EBITDA contains a negative adjustment.</w:t>
      </w:r>
    </w:p>
    <w:p>
      <w:pPr>
        <w:spacing w:after="0" w:line="1" w:lineRule="exact"/>
        <w:rPr>
          <w:rFonts w:ascii="Times New Roman" w:cs="Times New Roman" w:eastAsia="Times New Roman" w:hAnsi="Times New Roman"/>
          <w:sz w:val="14"/>
          <w:szCs w:val="14"/>
          <w:color w:val="auto"/>
        </w:rPr>
      </w:pPr>
    </w:p>
    <w:p>
      <w:pPr>
        <w:ind w:left="660" w:right="420" w:hanging="328"/>
        <w:spacing w:after="0" w:line="241" w:lineRule="auto"/>
        <w:tabs>
          <w:tab w:leader="none" w:pos="632"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an adjustment to EBITDA, we have excluded expenses incurred in connection with business acquisitions as it does not represent recurring costs or charges related to our core operations.</w:t>
      </w:r>
    </w:p>
    <w:p>
      <w:pPr>
        <w:ind w:left="640" w:hanging="308"/>
        <w:spacing w:after="0"/>
        <w:tabs>
          <w:tab w:leader="none" w:pos="6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an adjustment to EBITDA, we have excluded expenses incurred in connection with a one-time, non-recurring severance charges related to work force reduction.</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Cash</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Historically, we have financed our operations primarily through cash from operating activities, debt financings, and equity issuances. The Company's primary sources of capital available are cash and cash equivalents on hand of $46.7 million as of March 31, 2023 and the cash that we expect to be provided by operating activities by the Company.</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also has estimated and recorded for potential sales tax and related interest and penalty liabilities of $13.2 million in the aggregate as of March 31, 2023. The Company continues to evaluate these liabilities and the amount and timing of any such payments.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believes that its current financial resources will be sufficient to fund its current twelve-month operating budget from the date of issuance of these condensed consolidated financial statements. Our primary focus as part of our core operations to increase cash flow from operating activities is to prioritize collection efforts to reduce outstanding accounts receivable, utilize existing inventory to support equipment sales over the next year, focusing on various operational efficiencies to improve overall profitability of the business and continued to grow our business both domestically and internationally.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are charts that reflect our cash liquidity and outstanding debt as of March 31, 2023 and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171450</wp:posOffset>
            </wp:positionV>
            <wp:extent cx="5572125" cy="27857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572125" cy="2785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Condensed Consolidated Statement of Cash Flows in Part I, Item 1 of this Quarterly Report for details on the changes in cash and cash equivalents classified by operating, investing and financing activities during our respective reporting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2182495</wp:posOffset>
            </wp:positionH>
            <wp:positionV relativeFrom="paragraph">
              <wp:posOffset>-22225</wp:posOffset>
            </wp:positionV>
            <wp:extent cx="2785745" cy="21170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785745" cy="2117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(used in) operating activities</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the nine months ended March 31, 2023, net cash provided by operating activities was $5.8 million which reflects our net loss of $2.2 million, $2.7 million of cash utilized by working capital accounts, partially offset by non-cash operating charges of $10.7 million. The change in working capital accounts was primarily driven by a $9.6 million increase of accounts receivable, $8.2 million cash used to increase our inventory on hand, and a reduction in accounts payable and accrued expenses of $2.9 million in the period. Increase in inventory was driven by increased equipment sales as well as strategic planning to mitigate potential supply chain disruptions. Increase in cash utilized by accounts receivable was a result of increased sales during fiscal year 2023 compared to the prior year period.</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nine months ended March 31, 2022, net cash used in operating activities was $3.9 million, which reflected our net income of $0.4 million and $16.2 million of cash utilized by working capital accounts, partially offset by non-cash operating charges of $11.9 million. The change in working capital accounts was primarily driven by cash used of $9 million to increase our inventory on hand, increase in accounts receivable of $4.4 million, reduction of accounts payable and accrued expenses of approximately $0.2 million, and an increase in prepaid expenses and other assets of $1.9 million. The increase in inventory was a result of the Company anticipating customers' 3G to 4G device upgrade needs and demands for the new ePort Engage devices in 2022.</w:t>
      </w:r>
    </w:p>
    <w:p>
      <w:pPr>
        <w:spacing w:after="0" w:line="21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Non-cash operating charges primarily consisted of stock-based compensation, depreciation of property and equipment, amortization of our intangible assets, and provisions for expected losses for the nine months ended March 31, 2023 and 2022.</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25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$48.5 million for the nine months ended March 31, 2023. We paid $35.9 million in cash for the 32M acquisition and invested $12.6 million in property and equipment as the Company continued to focus on investing in innovative technologies and products, and increasing rental devices enrolled in the Company's Cantaloupe One program.</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was $10.2 million for the nine months ended March 31, 2022 which was a result of $3.0 million paid for the Yoke acquisition and the remaining $7.2 million used to increase property and equipment.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financing activities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$21.3 million for the nine months ended March 31, 2023 which was primarily due to a $25 million borrowing from our Credit Facility to fund a portion of the cash consideration for the 32M acquisition, offset by $2.2 million cash used to repurchase our Series A Convertible Stock and a $1.0 million payment for contingent consideration relating to the Yoke acquisition.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$1.0 million for the nine months ended March 31, 2022 which was primarily due to $0.7 million in proceeds from long-term debt and $0.8 million in proceeds related to stock exercises, offset by $0.4 million in repayments on outstanding debt attributable to the Amended JPMorgan Credit Facility.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During the nine months ended March 31, 2023, the Company borrowed an additional $25 million from its credit facility with JPMorgan Chase Bank, N.A. to fund the acquisition of Three Square Markets. See </w:t>
      </w:r>
      <w:r>
        <w:rPr>
          <w:rFonts w:ascii="Times New Roman" w:cs="Times New Roman" w:eastAsia="Times New Roman" w:hAnsi="Times New Roman"/>
          <w:sz w:val="18"/>
          <w:szCs w:val="18"/>
          <w:i w:val="1"/>
          <w:iCs w:val="1"/>
          <w:color w:val="auto"/>
        </w:rPr>
        <w:t>Note 10 - Debt and Other Financing Arrangements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Note 5 - Acquisition</w:t>
      </w:r>
      <w:r>
        <w:rPr>
          <w:rFonts w:ascii="Times New Roman" w:cs="Times New Roman" w:eastAsia="Times New Roman" w:hAnsi="Times New Roman"/>
          <w:sz w:val="18"/>
          <w:szCs w:val="18"/>
          <w:color w:val="auto"/>
        </w:rPr>
        <w:t xml:space="preserve"> to the condensed consolidated financial statements for additional details on the transaction.</w:t>
      </w:r>
    </w:p>
    <w:p>
      <w:pPr>
        <w:spacing w:after="0" w:line="20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During the nine months ended March 31, 2023, the Company extended an existing operating lease for an additional 70-months period. The lease extension will commence on October 1, 2023. As such, this was not included in the Operating lease right-of-use assets or liabilities on the Condensed Consolidated Balance Sheets for as of March 31, 2023.</w:t>
      </w:r>
    </w:p>
    <w:p>
      <w:pPr>
        <w:spacing w:after="0" w:line="20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There were no other significant changes to our contractual obligations from those disclosed in the section “Management’s Discussion and Analysis of Financial Condition and Results of Operations” in our Annual Report on Form 10-K for the fiscal year ended June 30, 2022.</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March 31, 2023, we are exposed to market risk related to changes in interest rates on our outstanding borrowings. Our Amended JPMorgan Credit Facility has a four year maturity. Interest on the Amended JPMorgan Credit Facility will be based, at the Company’s option, on a base rate or SOFR plus an applicable margin tied to the Company’s total leverage ratio and having ranges of between 2.50% and 3.00% for base rate loans and between 3.50% and 4.00% for SOFR loans. As of March 31, 2023, we have $39.3 million total outstanding borrowings, an increase of 100 basis points in SOFR Rate would result in a change in interest expense of $0.4 million per year.</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also exposed to market risk related to changes in interest rates on our cash investments. We invest our excess cash in money market funds that we believe are highly liquid and marketable in the short term. These investments earn a floating rate of interest and are not held for trading or other speculative purposes. Consequently, our exposure to market risks for interest rate changes related to our money market funds is not material. Market risks related to fluctuations of foreign currencies are not material and we have no freestanding derivative instruments as of March 31, 2023.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00"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Note 2 - Summary of Significant Accounting Policies</w:t>
      </w:r>
      <w:r>
        <w:rPr>
          <w:rFonts w:ascii="Times New Roman" w:cs="Times New Roman" w:eastAsia="Times New Roman" w:hAnsi="Times New Roman"/>
          <w:sz w:val="18"/>
          <w:szCs w:val="18"/>
          <w:color w:val="auto"/>
        </w:rPr>
        <w:t xml:space="preserve"> to the condensed consolidated financial statements for a description of recent accounting pronouncements.</w:t>
      </w: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6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quantitative and qualitative disclosures about market risk, see Item 7A, "Quantitative and Qualitative Disclosures About Market Risk," of our Annual Report on Form 10-K for the fiscal year ended June 30, 2022. Our exposures to market risk have not changed materially since June 30, 2022.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Disclosure Controls and Procedures</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to ensure that information required to be disclosed by us in the reports that we file or submit under the Securities Exchange Act of 1934, as amended (the “Exchange Act”), is recorded, processed, summarized and reported within the time periods specified in the SEC’s rules and forms, and that such information is accumulated and communicated to our management, including our chief executive officer and chief financial officer, to allow timely decisions regarding required disclosure.</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as of the end of the period covered by this Form 10-Q of our disclosure controls and procedures as defined in Rule 13a-15(e) under the Exchange Act. Based on this evaluation, our management, including our chief executive officer and chief financial officer, has concluded that our disclosure controls and procedures were not effective as of March 31, 2023, as a result of the material weaknesses in our internal control over financial reporting, which are described in Item 9A. of our 2022 Form 10-K.</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Changes in Internal Control over Financial Reporting</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than the remediation plan disclosed in Item 9A. of our 2022 Form 10-K, there have been no changes in the Company’s internal control over financial reporting that occurred during the fiscal quarter ended March 31, 2023 that have materially affected, or are reasonably likely to materially affect, our internal controls over financial reporting.</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discussed in Item 9A. of our 2022 Form 10-K, we have begun remediation activities to alleviate the identified material weaknesses. The Company has made substantial progress in the remediation efforts, including enhancing policies and procedures to improve the overall control environment, enhancing user access provisioning and monitoring controls, hiring key positions to provide appropriate oversight and improving the completeness and accuracy of</w:t>
      </w:r>
    </w:p>
    <w:p>
      <w:pPr>
        <w:spacing w:after="0"/>
        <w:rPr>
          <w:sz w:val="20"/>
          <w:szCs w:val="20"/>
          <w:color w:val="auto"/>
        </w:rPr>
      </w:pPr>
      <w:r>
        <w:rPr>
          <w:rFonts w:ascii="Times New Roman" w:cs="Times New Roman" w:eastAsia="Times New Roman" w:hAnsi="Times New Roman"/>
          <w:sz w:val="18"/>
          <w:szCs w:val="18"/>
          <w:color w:val="auto"/>
        </w:rPr>
        <w:t>the underlying date used in the operation of controls. While these remediation efforts are ongoing, the material weaknesses cannot be considered</w:t>
      </w:r>
    </w:p>
    <w:p>
      <w:pPr>
        <w:spacing w:after="0" w:line="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remediated until the related controls have operated for a sufficient period of time. Additionally, management has to conclude, through testing, that the controls are operating effectively. The Company continues to work toward the goal of remediating the identified material weaknesses by the end of the fiscal year 2023, but such remediation efforts could extend into the first half of fiscal year 2024.</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5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The information required by this Item is incorporated herein by reference to the Notes to condensed consolidated financial statements, </w:t>
      </w:r>
      <w:r>
        <w:rPr>
          <w:rFonts w:ascii="Times New Roman" w:cs="Times New Roman" w:eastAsia="Times New Roman" w:hAnsi="Times New Roman"/>
          <w:sz w:val="18"/>
          <w:szCs w:val="18"/>
          <w:i w:val="1"/>
          <w:iCs w:val="1"/>
          <w:color w:val="auto"/>
        </w:rPr>
        <w:t>Note 14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Commitments and Contingencies </w:t>
      </w:r>
      <w:r>
        <w:rPr>
          <w:rFonts w:ascii="Times New Roman" w:cs="Times New Roman" w:eastAsia="Times New Roman" w:hAnsi="Times New Roman"/>
          <w:sz w:val="18"/>
          <w:szCs w:val="18"/>
          <w:color w:val="auto"/>
        </w:rPr>
        <w:t>in Part I, Item 1, of this Quarterly Report on Form 10-Q.</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a discussion of the Company’s risk factors, see the information under the heading “Risk Factors” in the Company’s Annual Report on Form 10-K for the fiscal year ended June 30, 2022.</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defaults on any senior securities. The total liquidation preference including accrued and unpaid dividends on our Series A Convertible Preferred Stock as of March 31, 2023 was $22.1 million. The dividend accrual dates for our Preferred Stock are February 1 and August 1. The annual cumulative dividend on our Preferred Stock is $1.50 per share.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10000" w:type="dxa"/>
            <w:vAlign w:val="bottom"/>
            <w:gridSpan w:val="8"/>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6"/>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7"/>
                <w:szCs w:val="17"/>
                <w:color w:val="auto"/>
              </w:rPr>
            </w:pPr>
          </w:p>
        </w:tc>
        <w:tc>
          <w:tcPr>
            <w:tcW w:w="10000" w:type="dxa"/>
            <w:vAlign w:val="bottom"/>
            <w:gridSpan w:val="8"/>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45"/>
        </w:trPr>
        <w:tc>
          <w:tcPr>
            <w:tcW w:w="1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00" w:type="dxa"/>
            <w:vAlign w:val="bottom"/>
            <w:tcBorders>
              <w:top w:val="single" w:sz="8" w:color="auto"/>
            </w:tcBorders>
            <w:gridSpan w:val="8"/>
          </w:tcPr>
          <w:p>
            <w:pPr>
              <w:spacing w:after="0"/>
              <w:rPr>
                <w:rFonts w:ascii="Times New Roman" w:cs="Times New Roman" w:eastAsia="Times New Roman" w:hAnsi="Times New Roman"/>
                <w:sz w:val="18"/>
                <w:szCs w:val="18"/>
                <w:color w:val="0000FF"/>
              </w:rPr>
            </w:pPr>
            <w:hyperlink r:id="rId77">
              <w:r>
                <w:rPr>
                  <w:rFonts w:ascii="Times New Roman" w:cs="Times New Roman" w:eastAsia="Times New Roman" w:hAnsi="Times New Roman"/>
                  <w:sz w:val="18"/>
                  <w:szCs w:val="18"/>
                  <w:color w:val="0000FF"/>
                </w:rPr>
                <w:t>Amended and Restated Articles of Incorporation (incorporated by reference to Exhibit 3.1 to Form 10-Q filed on February 4, 2022).</w:t>
              </w:r>
            </w:hyperlink>
          </w:p>
        </w:tc>
        <w:tc>
          <w:tcPr>
            <w:tcW w:w="0" w:type="dxa"/>
            <w:vAlign w:val="bottom"/>
          </w:tcPr>
          <w:p>
            <w:pPr>
              <w:spacing w:after="0"/>
              <w:rPr>
                <w:sz w:val="1"/>
                <w:szCs w:val="1"/>
                <w:color w:val="auto"/>
              </w:rPr>
            </w:pPr>
          </w:p>
        </w:tc>
      </w:tr>
      <w:tr>
        <w:trPr>
          <w:trHeight w:val="493"/>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60" w:type="dxa"/>
            <w:vAlign w:val="bottom"/>
            <w:tcBorders>
              <w:top w:val="single" w:sz="8" w:color="0000FF"/>
              <w:bottom w:val="single" w:sz="8" w:color="0000FF"/>
            </w:tcBorders>
            <w:gridSpan w:val="4"/>
          </w:tcPr>
          <w:p>
            <w:pPr>
              <w:spacing w:after="0"/>
              <w:rPr>
                <w:rFonts w:ascii="Times New Roman" w:cs="Times New Roman" w:eastAsia="Times New Roman" w:hAnsi="Times New Roman"/>
                <w:sz w:val="18"/>
                <w:szCs w:val="18"/>
                <w:color w:val="0000FF"/>
                <w:w w:val="99"/>
              </w:rPr>
            </w:pPr>
            <w:hyperlink r:id="rId78">
              <w:r>
                <w:rPr>
                  <w:rFonts w:ascii="Times New Roman" w:cs="Times New Roman" w:eastAsia="Times New Roman" w:hAnsi="Times New Roman"/>
                  <w:sz w:val="18"/>
                  <w:szCs w:val="18"/>
                  <w:color w:val="0000FF"/>
                  <w:w w:val="99"/>
                </w:rPr>
                <w:t>Second Amended and Restated Bylaws (incorporated by reference to Exhibit 3.1 to Form 8-K filed on August 10, 2021)</w:t>
              </w:r>
            </w:hyperlink>
          </w:p>
        </w:tc>
        <w:tc>
          <w:tcPr>
            <w:tcW w:w="840" w:type="dxa"/>
            <w:vAlign w:val="bottom"/>
            <w:tcBorders>
              <w:top w:val="single" w:sz="8" w:color="0000FF"/>
            </w:tcBorders>
          </w:tcPr>
          <w:p>
            <w:pPr>
              <w:spacing w:after="0"/>
              <w:rPr>
                <w:sz w:val="24"/>
                <w:szCs w:val="24"/>
                <w:color w:val="auto"/>
              </w:rPr>
            </w:pPr>
          </w:p>
        </w:tc>
        <w:tc>
          <w:tcPr>
            <w:tcW w:w="5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Certifications of Chief Executive Officer pursuant to Rule 13a-14(a) under the Securities Exchange Act of 1934</w:t>
            </w:r>
            <w:r>
              <w:rPr>
                <w:rFonts w:ascii="Times New Roman" w:cs="Times New Roman" w:eastAsia="Times New Roman" w:hAnsi="Times New Roman"/>
                <w:sz w:val="18"/>
                <w:szCs w:val="18"/>
                <w:color w:val="000000"/>
              </w:rPr>
              <w:t>.</w:t>
            </w:r>
          </w:p>
        </w:tc>
        <w:tc>
          <w:tcPr>
            <w:tcW w:w="0" w:type="dxa"/>
            <w:vAlign w:val="bottom"/>
          </w:tcPr>
          <w:p>
            <w:pPr>
              <w:spacing w:after="0"/>
              <w:rPr>
                <w:sz w:val="1"/>
                <w:szCs w:val="1"/>
                <w:color w:val="auto"/>
              </w:rPr>
            </w:pPr>
          </w:p>
        </w:tc>
      </w:tr>
      <w:tr>
        <w:trPr>
          <w:trHeight w:val="466"/>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6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Certifications of Chief Financial Officer pursuant to Rule 13a-14(a) under the Securities Exchange Act of 1934.</w:t>
            </w:r>
          </w:p>
        </w:tc>
        <w:tc>
          <w:tcPr>
            <w:tcW w:w="20" w:type="dxa"/>
            <w:vAlign w:val="bottom"/>
            <w:tcBorders>
              <w:top w:val="single" w:sz="8" w:color="0000FF"/>
            </w:tcBorders>
          </w:tcPr>
          <w:p>
            <w:pPr>
              <w:spacing w:after="0"/>
              <w:rPr>
                <w:sz w:val="24"/>
                <w:szCs w:val="24"/>
                <w:color w:val="auto"/>
              </w:rPr>
            </w:pPr>
          </w:p>
        </w:tc>
        <w:tc>
          <w:tcPr>
            <w:tcW w:w="19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the Chief Executive Officer pursuant to 18 USC Section 1350, as adopted pursuant to Section 906 of the Sarbanes-Oxley</w:t>
            </w: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60" w:type="dxa"/>
            <w:vAlign w:val="bottom"/>
            <w:tcBorders>
              <w:top w:val="single" w:sz="8" w:color="0000FF"/>
            </w:tcBorders>
            <w:gridSpan w:val="7"/>
          </w:tcPr>
          <w:p>
            <w:pPr>
              <w:spacing w:after="0" w:line="156" w:lineRule="exact"/>
              <w:rPr>
                <w:sz w:val="20"/>
                <w:szCs w:val="20"/>
                <w:color w:val="auto"/>
              </w:rPr>
            </w:pPr>
            <w:r>
              <w:rPr>
                <w:rFonts w:ascii="Times New Roman" w:cs="Times New Roman" w:eastAsia="Times New Roman" w:hAnsi="Times New Roman"/>
                <w:sz w:val="18"/>
                <w:szCs w:val="18"/>
                <w:color w:val="0000FF"/>
              </w:rPr>
              <w:t>Act of 2002.</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8900" w:type="dxa"/>
            <w:vAlign w:val="bottom"/>
            <w:gridSpan w:val="5"/>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the Chief Financial Officer pursuant to 18 USC Section 1350, as adopted pursuant to Section 906 of the Sarbanes-Oxley</w:t>
            </w: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0" w:type="dxa"/>
            <w:vAlign w:val="bottom"/>
            <w:tcBorders>
              <w:top w:val="single" w:sz="8" w:color="0000FF"/>
            </w:tcBorders>
            <w:gridSpan w:val="6"/>
          </w:tcPr>
          <w:p>
            <w:pPr>
              <w:spacing w:after="0" w:line="156" w:lineRule="exact"/>
              <w:rPr>
                <w:sz w:val="20"/>
                <w:szCs w:val="20"/>
                <w:color w:val="auto"/>
              </w:rPr>
            </w:pPr>
            <w:r>
              <w:rPr>
                <w:rFonts w:ascii="Times New Roman" w:cs="Times New Roman" w:eastAsia="Times New Roman" w:hAnsi="Times New Roman"/>
                <w:sz w:val="18"/>
                <w:szCs w:val="18"/>
                <w:color w:val="0000FF"/>
              </w:rPr>
              <w:t>Act of 2002.</w:t>
            </w:r>
          </w:p>
        </w:tc>
        <w:tc>
          <w:tcPr>
            <w:tcW w:w="2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left="1240" w:right="20" w:hanging="1214"/>
        <w:spacing w:after="0" w:line="217" w:lineRule="auto"/>
        <w:tabs>
          <w:tab w:leader="none" w:pos="1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information from our Quarterly Report on Form 10-Q for the quarter ended March 31, 2023, filed with the SEC on May 9, 2023, is formatted in Inline Extensible Business Reporting Language (“iXBRL”): (1) the Condensed Consolidated Balance Sheets as of March 31, 2023 and June 30, 2022, (2) the Condensed Consolidated Statements of Operations for the three-month and nine-month periods ended March 31, 2023 and 2022, (3) the Condensed Consolidated Statements of Shareholders’ Equity for the three-month and nine-month periods ended March 31, 2023 and 2022, (4) the Condensed Consolidated Statements of Cash Flows for the nine-month periods ended March 31, 2023 and 2022, and (5) the Notes to Condensed Consolidated Financial Statements.</w:t>
      </w:r>
    </w:p>
    <w:p>
      <w:pPr>
        <w:spacing w:after="0" w:line="20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000" w:type="dxa"/>
            <w:vAlign w:val="bottom"/>
          </w:tcPr>
          <w:p>
            <w:pPr>
              <w:spacing w:after="0"/>
              <w:rPr>
                <w:sz w:val="17"/>
                <w:szCs w:val="17"/>
                <w:color w:val="auto"/>
              </w:rPr>
            </w:pPr>
          </w:p>
        </w:tc>
        <w:tc>
          <w:tcPr>
            <w:tcW w:w="978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XBRL Instance Document - the instance document does not appear in the Interactive Data File because its XBRL tags are embedded</w:t>
            </w:r>
          </w:p>
        </w:tc>
      </w:tr>
      <w:tr>
        <w:trPr>
          <w:trHeight w:val="24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48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Inline XBRL Taxonomy Extension Schema</w:t>
            </w:r>
          </w:p>
        </w:tc>
      </w:tr>
      <w:tr>
        <w:trPr>
          <w:trHeight w:val="48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9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r>
      <w:tr>
        <w:trPr>
          <w:trHeight w:val="43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9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r>
      <w:tr>
        <w:trPr>
          <w:trHeight w:val="48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9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r>
      <w:tr>
        <w:trPr>
          <w:trHeight w:val="50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9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r>
    </w:tbl>
    <w:p>
      <w:pPr>
        <w:spacing w:after="0" w:line="252" w:lineRule="exact"/>
        <w:rPr>
          <w:sz w:val="20"/>
          <w:szCs w:val="20"/>
          <w:color w:val="auto"/>
        </w:rPr>
      </w:pPr>
    </w:p>
    <w:p>
      <w:pPr>
        <w:ind w:left="1240" w:right="320" w:hanging="1214"/>
        <w:spacing w:after="0" w:line="237" w:lineRule="auto"/>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our Quarterly Report on Form 10-Q for the quarter ended March 31, 2023, filed with the SEC on May 9, 2023, is formatted as Inline iXBRL and contained in Exhibit 101.</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27" w:lineRule="exact"/>
        <w:rPr>
          <w:sz w:val="20"/>
          <w:szCs w:val="20"/>
          <w:color w:val="auto"/>
        </w:rPr>
      </w:pPr>
    </w:p>
    <w:p>
      <w:pPr>
        <w:ind w:left="320" w:hanging="312"/>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9"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8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58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Cantaloupe, Inc.</w:t>
            </w:r>
          </w:p>
        </w:tc>
      </w:tr>
      <w:tr>
        <w:trPr>
          <w:trHeight w:val="48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Date: May 9, 2023</w:t>
            </w:r>
          </w:p>
        </w:tc>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Ravi Venkatesan</w:t>
            </w:r>
          </w:p>
        </w:tc>
      </w:tr>
      <w:tr>
        <w:trPr>
          <w:trHeight w:val="218"/>
        </w:trPr>
        <w:tc>
          <w:tcPr>
            <w:tcW w:w="558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Ravi Venkatesan</w:t>
            </w:r>
          </w:p>
        </w:tc>
      </w:tr>
      <w:tr>
        <w:trPr>
          <w:trHeight w:val="234"/>
        </w:trPr>
        <w:tc>
          <w:tcPr>
            <w:tcW w:w="558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8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Date: May 9, 2023</w:t>
            </w:r>
          </w:p>
        </w:tc>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Scott Stewart</w:t>
            </w:r>
          </w:p>
        </w:tc>
      </w:tr>
      <w:tr>
        <w:trPr>
          <w:trHeight w:val="218"/>
        </w:trPr>
        <w:tc>
          <w:tcPr>
            <w:tcW w:w="558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Scott Stewart</w:t>
            </w:r>
          </w:p>
        </w:tc>
      </w:tr>
      <w:tr>
        <w:trPr>
          <w:trHeight w:val="234"/>
        </w:trPr>
        <w:tc>
          <w:tcPr>
            <w:tcW w:w="558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240"/>
          </w:cols>
          <w:pgMar w:left="320" w:top="121"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Ravi Venkatesan, certify that:</w:t>
      </w:r>
    </w:p>
    <w:p>
      <w:pPr>
        <w:spacing w:after="0" w:line="196" w:lineRule="exact"/>
        <w:rPr>
          <w:sz w:val="20"/>
          <w:szCs w:val="20"/>
          <w:color w:val="auto"/>
        </w:rPr>
      </w:pPr>
    </w:p>
    <w:p>
      <w:pPr>
        <w:ind w:left="660" w:hanging="652"/>
        <w:spacing w:after="0" w:line="253" w:lineRule="exact"/>
        <w:tabs>
          <w:tab w:leader="none" w:pos="660" w:val="left"/>
        </w:tabs>
        <w:numPr>
          <w:ilvl w:val="0"/>
          <w:numId w:val="14"/>
        </w:numPr>
        <w:rPr>
          <w:rFonts w:ascii="Times New Roman" w:cs="Times New Roman" w:eastAsia="Times New Roman" w:hAnsi="Times New Roman"/>
          <w:sz w:val="22"/>
          <w:szCs w:val="22"/>
          <w:color w:val="008080"/>
        </w:rPr>
      </w:pPr>
      <w:r>
        <w:rPr>
          <w:rFonts w:ascii="Times New Roman" w:cs="Times New Roman" w:eastAsia="Times New Roman" w:hAnsi="Times New Roman"/>
          <w:sz w:val="18"/>
          <w:szCs w:val="18"/>
          <w:color w:val="auto"/>
        </w:rPr>
        <w:t>I have reviewed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of Cantaloupe, Inc.;</w:t>
      </w:r>
    </w:p>
    <w:p>
      <w:pPr>
        <w:spacing w:after="0" w:line="180" w:lineRule="exact"/>
        <w:rPr>
          <w:rFonts w:ascii="Times New Roman" w:cs="Times New Roman" w:eastAsia="Times New Roman" w:hAnsi="Times New Roman"/>
          <w:sz w:val="22"/>
          <w:szCs w:val="22"/>
          <w:color w:val="008080"/>
        </w:rPr>
      </w:pPr>
    </w:p>
    <w:p>
      <w:pPr>
        <w:jc w:val="both"/>
        <w:ind w:left="660" w:hanging="652"/>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issuer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660" w:hanging="652"/>
        <w:spacing w:after="0" w:line="226" w:lineRule="exact"/>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and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and internal control over financial reporting (as defined in Exchange Act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and</w:t>
      </w:r>
    </w:p>
    <w:p>
      <w:pPr>
        <w:ind w:left="66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for the registrant and have:</w:t>
      </w:r>
    </w:p>
    <w:p>
      <w:pPr>
        <w:spacing w:after="0" w:line="178"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jc w:val="both"/>
        <w:ind w:left="1300" w:hanging="644"/>
        <w:spacing w:after="0" w:line="282" w:lineRule="auto"/>
        <w:tabs>
          <w:tab w:leader="none" w:pos="129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upon such evaluation; and</w:t>
      </w:r>
    </w:p>
    <w:p>
      <w:pPr>
        <w:spacing w:after="0" w:line="134"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issuer’s most recent fiscal quarter (the issuer’s fourth fiscal quarter in the case of an annual report) that has materially affected or is reasonably likely to materially affect, the issuer’s internal control over financial reporting; and</w:t>
      </w:r>
    </w:p>
    <w:p>
      <w:pPr>
        <w:spacing w:after="0" w:line="13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other certifying officer and I have disclosed, based on our most recent evaluation of internal control over financial reporting to the auditors and the audit committee of the issuer’s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29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issuer’s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issuer’s internal control over financial reporting.</w:t>
      </w:r>
    </w:p>
    <w:p>
      <w:pPr>
        <w:spacing w:after="0" w:line="135" w:lineRule="exact"/>
        <w:rPr>
          <w:sz w:val="20"/>
          <w:szCs w:val="20"/>
          <w:color w:val="auto"/>
        </w:rPr>
      </w:pPr>
    </w:p>
    <w:tbl>
      <w:tblPr>
        <w:tblLayout w:type="fixed"/>
        <w:tblInd w:w="20" w:type="dxa"/>
        <w:tblCellMar>
          <w:top w:w="0" w:type="dxa"/>
          <w:left w:w="0" w:type="dxa"/>
          <w:bottom w:w="0" w:type="dxa"/>
          <w:right w:w="0" w:type="dxa"/>
        </w:tblCellMar>
      </w:tblPr>
      <w:tr>
        <w:trPr>
          <w:trHeight w:val="288"/>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Date: May 9, 2023</w:t>
            </w:r>
          </w:p>
        </w:tc>
        <w:tc>
          <w:tcPr>
            <w:tcW w:w="5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Ravi Venkatesan</w:t>
            </w:r>
          </w:p>
        </w:tc>
      </w:tr>
      <w:tr>
        <w:trPr>
          <w:trHeight w:val="218"/>
        </w:trPr>
        <w:tc>
          <w:tcPr>
            <w:tcW w:w="5940" w:type="dxa"/>
            <w:vAlign w:val="bottom"/>
          </w:tcPr>
          <w:p>
            <w:pPr>
              <w:spacing w:after="0"/>
              <w:rPr>
                <w:sz w:val="18"/>
                <w:szCs w:val="18"/>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Ravi Venkatesan</w:t>
            </w:r>
          </w:p>
        </w:tc>
      </w:tr>
      <w:tr>
        <w:trPr>
          <w:trHeight w:val="234"/>
        </w:trPr>
        <w:tc>
          <w:tcPr>
            <w:tcW w:w="594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900"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Stewart, certify that:</w:t>
      </w:r>
    </w:p>
    <w:p>
      <w:pPr>
        <w:spacing w:after="0" w:line="196" w:lineRule="exact"/>
        <w:rPr>
          <w:sz w:val="20"/>
          <w:szCs w:val="20"/>
          <w:color w:val="auto"/>
        </w:rPr>
      </w:pPr>
    </w:p>
    <w:p>
      <w:pPr>
        <w:ind w:left="660" w:hanging="652"/>
        <w:spacing w:after="0" w:line="253" w:lineRule="exact"/>
        <w:tabs>
          <w:tab w:leader="none" w:pos="660" w:val="left"/>
        </w:tabs>
        <w:numPr>
          <w:ilvl w:val="0"/>
          <w:numId w:val="15"/>
        </w:numPr>
        <w:rPr>
          <w:rFonts w:ascii="Times New Roman" w:cs="Times New Roman" w:eastAsia="Times New Roman" w:hAnsi="Times New Roman"/>
          <w:sz w:val="22"/>
          <w:szCs w:val="22"/>
          <w:color w:val="008080"/>
        </w:rPr>
      </w:pPr>
      <w:r>
        <w:rPr>
          <w:rFonts w:ascii="Times New Roman" w:cs="Times New Roman" w:eastAsia="Times New Roman" w:hAnsi="Times New Roman"/>
          <w:sz w:val="18"/>
          <w:szCs w:val="18"/>
          <w:color w:val="auto"/>
        </w:rPr>
        <w:t>I have reviewed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of Cantaloupe, Inc.;</w:t>
      </w:r>
    </w:p>
    <w:p>
      <w:pPr>
        <w:spacing w:after="0" w:line="180" w:lineRule="exact"/>
        <w:rPr>
          <w:rFonts w:ascii="Times New Roman" w:cs="Times New Roman" w:eastAsia="Times New Roman" w:hAnsi="Times New Roman"/>
          <w:sz w:val="22"/>
          <w:szCs w:val="22"/>
          <w:color w:val="008080"/>
        </w:rPr>
      </w:pPr>
    </w:p>
    <w:p>
      <w:pPr>
        <w:jc w:val="both"/>
        <w:ind w:left="660" w:hanging="652"/>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issuer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660" w:hanging="652"/>
        <w:spacing w:after="0" w:line="226" w:lineRule="exact"/>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and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and internal control over financial reporting (as defined in Exchange Act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and</w:t>
      </w:r>
    </w:p>
    <w:p>
      <w:pPr>
        <w:ind w:left="66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for the registrant and have:</w:t>
      </w:r>
    </w:p>
    <w:p>
      <w:pPr>
        <w:spacing w:after="0" w:line="178"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jc w:val="both"/>
        <w:ind w:left="1300" w:hanging="644"/>
        <w:spacing w:after="0" w:line="282" w:lineRule="auto"/>
        <w:tabs>
          <w:tab w:leader="none" w:pos="129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upon such evaluation; and</w:t>
      </w:r>
    </w:p>
    <w:p>
      <w:pPr>
        <w:spacing w:after="0" w:line="134"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issuer’s most recent fiscal quarter (the issuer’s fourth fiscal quarter in the case of an annual report) that has materially affected or is reasonably likely to materially affect, the issuer’s internal control over financial reporting; and</w:t>
      </w:r>
    </w:p>
    <w:p>
      <w:pPr>
        <w:spacing w:after="0" w:line="13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other certifying officer and I have disclosed, based on our most recent evaluation of internal control over financial reporting to the auditors and the audit committee of the issuer’s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29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issuer’s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issuer’s internal control over financial reporting.</w:t>
      </w:r>
    </w:p>
    <w:p>
      <w:pPr>
        <w:spacing w:after="0" w:line="135" w:lineRule="exact"/>
        <w:rPr>
          <w:sz w:val="20"/>
          <w:szCs w:val="20"/>
          <w:color w:val="auto"/>
        </w:rPr>
      </w:pPr>
    </w:p>
    <w:tbl>
      <w:tblPr>
        <w:tblLayout w:type="fixed"/>
        <w:tblInd w:w="20" w:type="dxa"/>
        <w:tblCellMar>
          <w:top w:w="0" w:type="dxa"/>
          <w:left w:w="0" w:type="dxa"/>
          <w:bottom w:w="0" w:type="dxa"/>
          <w:right w:w="0" w:type="dxa"/>
        </w:tblCellMar>
      </w:tblPr>
      <w:tr>
        <w:trPr>
          <w:trHeight w:val="288"/>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Date: May 9, 2023</w:t>
            </w:r>
          </w:p>
        </w:tc>
        <w:tc>
          <w:tcPr>
            <w:tcW w:w="5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Scott Stewart</w:t>
            </w:r>
          </w:p>
        </w:tc>
      </w:tr>
      <w:tr>
        <w:trPr>
          <w:trHeight w:val="218"/>
        </w:trPr>
        <w:tc>
          <w:tcPr>
            <w:tcW w:w="5940" w:type="dxa"/>
            <w:vAlign w:val="bottom"/>
          </w:tcPr>
          <w:p>
            <w:pPr>
              <w:spacing w:after="0"/>
              <w:rPr>
                <w:sz w:val="18"/>
                <w:szCs w:val="18"/>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Scott Stewart</w:t>
            </w:r>
          </w:p>
        </w:tc>
      </w:tr>
      <w:tr>
        <w:trPr>
          <w:trHeight w:val="234"/>
        </w:trPr>
        <w:tc>
          <w:tcPr>
            <w:tcW w:w="594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900"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173" w:lineRule="exact"/>
        <w:rPr>
          <w:sz w:val="20"/>
          <w:szCs w:val="20"/>
          <w:color w:val="auto"/>
        </w:rPr>
      </w:pPr>
    </w:p>
    <w:p>
      <w:pPr>
        <w:ind w:right="20"/>
        <w:spacing w:after="0" w:line="239" w:lineRule="exact"/>
        <w:rPr>
          <w:sz w:val="20"/>
          <w:szCs w:val="20"/>
          <w:color w:val="auto"/>
        </w:rPr>
      </w:pPr>
      <w:r>
        <w:rPr>
          <w:rFonts w:ascii="Times New Roman" w:cs="Times New Roman" w:eastAsia="Times New Roman" w:hAnsi="Times New Roman"/>
          <w:sz w:val="18"/>
          <w:szCs w:val="18"/>
          <w:color w:val="auto"/>
        </w:rPr>
        <w:t>In connection with the accompanying Quarterly Report of Cantaloupe, Inc., (the “Company”)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for the period ended March 31, 2023 (the “Report”), I, Ravi Venkatesan, Chief Executive Officer of the Company, hereby certify that to my knowledge:</w:t>
      </w:r>
    </w:p>
    <w:p>
      <w:pPr>
        <w:spacing w:after="0" w:line="185" w:lineRule="exact"/>
        <w:rPr>
          <w:sz w:val="20"/>
          <w:szCs w:val="20"/>
          <w:color w:val="auto"/>
        </w:rPr>
      </w:pPr>
    </w:p>
    <w:p>
      <w:pPr>
        <w:ind w:left="640" w:hanging="632"/>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Date: May 9, 2023</w:t>
            </w:r>
          </w:p>
        </w:tc>
        <w:tc>
          <w:tcPr>
            <w:tcW w:w="52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 Ravi Venkatesan</w:t>
            </w:r>
          </w:p>
        </w:tc>
        <w:tc>
          <w:tcPr>
            <w:tcW w:w="0" w:type="dxa"/>
            <w:vAlign w:val="bottom"/>
          </w:tcPr>
          <w:p>
            <w:pPr>
              <w:spacing w:after="0"/>
              <w:rPr>
                <w:sz w:val="1"/>
                <w:szCs w:val="1"/>
                <w:color w:val="auto"/>
              </w:rPr>
            </w:pPr>
          </w:p>
        </w:tc>
      </w:tr>
      <w:tr>
        <w:trPr>
          <w:trHeight w:val="73"/>
        </w:trPr>
        <w:tc>
          <w:tcPr>
            <w:tcW w:w="5940" w:type="dxa"/>
            <w:vAlign w:val="bottom"/>
          </w:tcPr>
          <w:p>
            <w:pPr>
              <w:spacing w:after="0"/>
              <w:rPr>
                <w:sz w:val="5"/>
                <w:szCs w:val="5"/>
                <w:color w:val="auto"/>
              </w:rPr>
            </w:pPr>
          </w:p>
        </w:tc>
        <w:tc>
          <w:tcPr>
            <w:tcW w:w="52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8"/>
        </w:trPr>
        <w:tc>
          <w:tcPr>
            <w:tcW w:w="5940" w:type="dxa"/>
            <w:vAlign w:val="bottom"/>
          </w:tcPr>
          <w:p>
            <w:pPr>
              <w:spacing w:after="0"/>
              <w:rPr>
                <w:sz w:val="18"/>
                <w:szCs w:val="18"/>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Ravi Venkatesan</w:t>
            </w:r>
          </w:p>
        </w:tc>
        <w:tc>
          <w:tcPr>
            <w:tcW w:w="0" w:type="dxa"/>
            <w:vAlign w:val="bottom"/>
          </w:tcPr>
          <w:p>
            <w:pPr>
              <w:spacing w:after="0"/>
              <w:rPr>
                <w:sz w:val="1"/>
                <w:szCs w:val="1"/>
                <w:color w:val="auto"/>
              </w:rPr>
            </w:pPr>
          </w:p>
        </w:tc>
      </w:tr>
      <w:tr>
        <w:trPr>
          <w:trHeight w:val="234"/>
        </w:trPr>
        <w:tc>
          <w:tcPr>
            <w:tcW w:w="594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173" w:lineRule="exact"/>
        <w:rPr>
          <w:sz w:val="20"/>
          <w:szCs w:val="20"/>
          <w:color w:val="auto"/>
        </w:rPr>
      </w:pPr>
    </w:p>
    <w:p>
      <w:pPr>
        <w:ind w:right="20"/>
        <w:spacing w:after="0" w:line="239" w:lineRule="exact"/>
        <w:rPr>
          <w:sz w:val="20"/>
          <w:szCs w:val="20"/>
          <w:color w:val="auto"/>
        </w:rPr>
      </w:pPr>
      <w:r>
        <w:rPr>
          <w:rFonts w:ascii="Times New Roman" w:cs="Times New Roman" w:eastAsia="Times New Roman" w:hAnsi="Times New Roman"/>
          <w:sz w:val="18"/>
          <w:szCs w:val="18"/>
          <w:color w:val="auto"/>
        </w:rPr>
        <w:t>In connection with the accompanying Quarterly Report of Cantaloupe, Inc., (the “Company”)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for the period ended March 31, 2023 (the “Report”), I, Scott Stewart, Chief Financial Officer of the Company, hereby certify that to my knowledge:</w:t>
      </w:r>
    </w:p>
    <w:p>
      <w:pPr>
        <w:spacing w:after="0" w:line="185" w:lineRule="exact"/>
        <w:rPr>
          <w:sz w:val="20"/>
          <w:szCs w:val="20"/>
          <w:color w:val="auto"/>
        </w:rPr>
      </w:pPr>
    </w:p>
    <w:p>
      <w:pPr>
        <w:ind w:left="640" w:hanging="632"/>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Date: May 9, 2023</w:t>
            </w:r>
          </w:p>
        </w:tc>
        <w:tc>
          <w:tcPr>
            <w:tcW w:w="52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 Scott Stewart</w:t>
            </w:r>
          </w:p>
        </w:tc>
        <w:tc>
          <w:tcPr>
            <w:tcW w:w="0" w:type="dxa"/>
            <w:vAlign w:val="bottom"/>
          </w:tcPr>
          <w:p>
            <w:pPr>
              <w:spacing w:after="0"/>
              <w:rPr>
                <w:sz w:val="1"/>
                <w:szCs w:val="1"/>
                <w:color w:val="auto"/>
              </w:rPr>
            </w:pPr>
          </w:p>
        </w:tc>
      </w:tr>
      <w:tr>
        <w:trPr>
          <w:trHeight w:val="73"/>
        </w:trPr>
        <w:tc>
          <w:tcPr>
            <w:tcW w:w="5940" w:type="dxa"/>
            <w:vAlign w:val="bottom"/>
          </w:tcPr>
          <w:p>
            <w:pPr>
              <w:spacing w:after="0"/>
              <w:rPr>
                <w:sz w:val="5"/>
                <w:szCs w:val="5"/>
                <w:color w:val="auto"/>
              </w:rPr>
            </w:pPr>
          </w:p>
        </w:tc>
        <w:tc>
          <w:tcPr>
            <w:tcW w:w="52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8"/>
        </w:trPr>
        <w:tc>
          <w:tcPr>
            <w:tcW w:w="5940" w:type="dxa"/>
            <w:vAlign w:val="bottom"/>
          </w:tcPr>
          <w:p>
            <w:pPr>
              <w:spacing w:after="0"/>
              <w:rPr>
                <w:sz w:val="18"/>
                <w:szCs w:val="18"/>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Scott Stewart</w:t>
            </w:r>
          </w:p>
        </w:tc>
        <w:tc>
          <w:tcPr>
            <w:tcW w:w="0" w:type="dxa"/>
            <w:vAlign w:val="bottom"/>
          </w:tcPr>
          <w:p>
            <w:pPr>
              <w:spacing w:after="0"/>
              <w:rPr>
                <w:sz w:val="1"/>
                <w:szCs w:val="1"/>
                <w:color w:val="auto"/>
              </w:rPr>
            </w:pPr>
          </w:p>
        </w:tc>
      </w:tr>
      <w:tr>
        <w:trPr>
          <w:trHeight w:val="234"/>
        </w:trPr>
        <w:tc>
          <w:tcPr>
            <w:tcW w:w="594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lowerRoman"/>
      <w:start w:val="3"/>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1)"/>
      <w:numFmt w:val="lowerLetter"/>
      <w:start w:val="1"/>
    </w:lvl>
  </w:abstractNum>
  <w:abstractNum w:abstractNumId="9">
    <w:nsid w:val="109CF92E"/>
    <w:multiLevelType w:val="hybridMultilevel"/>
    <w:lvl w:ilvl="0">
      <w:lvlJc w:val="left"/>
      <w:lvlText w:val="(%1)"/>
      <w:numFmt w:val="lowerLetter"/>
      <w:start w:val="1"/>
    </w:lvl>
  </w:abstractNum>
  <w:abstractNum w:abstractNumId="10">
    <w:nsid w:val="DED7263"/>
    <w:multiLevelType w:val="hybridMultilevel"/>
    <w:lvl w:ilvl="0">
      <w:lvlJc w:val="left"/>
      <w:lvlText w:val="%1"/>
      <w:numFmt w:val="decimal"/>
      <w:start w:val="101"/>
    </w:lvl>
  </w:abstractNum>
  <w:abstractNum w:abstractNumId="11">
    <w:nsid w:val="7FDCC233"/>
    <w:multiLevelType w:val="hybridMultilevel"/>
    <w:lvl w:ilvl="0">
      <w:lvlJc w:val="left"/>
      <w:lvlText w:val="%1"/>
      <w:numFmt w:val="decimal"/>
      <w:start w:val="104"/>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9" Type="http://schemas.openxmlformats.org/officeDocument/2006/relationships/image" Target="media/image70.png"/><Relationship Id="rId77" Type="http://schemas.openxmlformats.org/officeDocument/2006/relationships/hyperlink" Target="https://www.sec.gov/Archives/edgar/data/896429/000162828022001838/a31-amendedandrestatedarti.htm" TargetMode="External"/><Relationship Id="rId78" Type="http://schemas.openxmlformats.org/officeDocument/2006/relationships/hyperlink" Target="https://www.sec.gov/ix?doc=/Archives/edgar/data/0000896429/000091412121005445/p56531664-8ki.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2023-05-09T16:54:56Z</dcterms:created>
  <dcterms:modified xsi:type="dcterms:W3CDTF">2023-05-09T16:54:56Z</dcterms:modified>
</cp:coreProperties>
</file>