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1O-Q</w:t>
      </w:r>
    </w:p>
    <w:p>
      <w:pPr>
        <w:spacing w:after="0" w:line="225" w:lineRule="exact"/>
        <w:rPr>
          <w:sz w:val="24"/>
          <w:szCs w:val="24"/>
          <w:color w:val="auto"/>
        </w:rPr>
      </w:pPr>
    </w:p>
    <w:p>
      <w:pPr>
        <w:ind w:left="3900" w:right="1740" w:hanging="3892"/>
        <w:spacing w:after="0" w:line="519" w:lineRule="auto"/>
        <w:tabs>
          <w:tab w:leader="none" w:pos="493"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 (d) OF THE SECURITIES EXCHANGE ACT OF 1934 For the quarterly period ended March 31, 2014</w:t>
      </w:r>
    </w:p>
    <w:p>
      <w:pPr>
        <w:jc w:val="center"/>
        <w:ind w:right="-19"/>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2660" w:right="2660" w:hanging="2652"/>
        <w:spacing w:after="0" w:line="566" w:lineRule="auto"/>
        <w:tabs>
          <w:tab w:leader="none" w:pos="493"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TRANSITION REPORT PURSUANT TO SECTION 13 OR 15 (d) OF THE EXCHANGE ACT OF 1934 </w:t>
      </w:r>
      <w:r>
        <w:rPr>
          <w:rFonts w:ascii="Arial" w:cs="Arial" w:eastAsia="Arial" w:hAnsi="Arial"/>
          <w:sz w:val="17"/>
          <w:szCs w:val="17"/>
          <w:color w:val="auto"/>
        </w:rPr>
        <w:t>For the transition period from ____________________ to _____________________</w:t>
      </w:r>
    </w:p>
    <w:p>
      <w:pPr>
        <w:jc w:val="center"/>
        <w:ind w:right="-19"/>
        <w:spacing w:after="0"/>
        <w:rPr>
          <w:sz w:val="20"/>
          <w:szCs w:val="20"/>
          <w:color w:val="auto"/>
        </w:rPr>
      </w:pPr>
      <w:r>
        <w:rPr>
          <w:rFonts w:ascii="Arial" w:cs="Arial" w:eastAsia="Arial" w:hAnsi="Arial"/>
          <w:sz w:val="18"/>
          <w:szCs w:val="18"/>
          <w:color w:val="auto"/>
        </w:rPr>
        <w:t>Commission file number 001-33365</w:t>
      </w:r>
    </w:p>
    <w:p>
      <w:pPr>
        <w:spacing w:after="0" w:line="221" w:lineRule="exact"/>
        <w:rPr>
          <w:sz w:val="24"/>
          <w:szCs w:val="24"/>
          <w:color w:val="auto"/>
        </w:rPr>
      </w:pPr>
    </w:p>
    <w:tbl>
      <w:tblPr>
        <w:tblLayout w:type="fixed"/>
        <w:tblInd w:w="380" w:type="dxa"/>
        <w:tblCellMar>
          <w:top w:w="0" w:type="dxa"/>
          <w:left w:w="0" w:type="dxa"/>
          <w:bottom w:w="0" w:type="dxa"/>
          <w:right w:w="0" w:type="dxa"/>
        </w:tblCellMar>
      </w:tblPr>
      <w:tr>
        <w:trPr>
          <w:trHeight w:val="241"/>
        </w:trPr>
        <w:tc>
          <w:tcPr>
            <w:tcW w:w="1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7"/>
              </w:rPr>
              <w:t>USA Technologies, Inc.</w:t>
            </w:r>
          </w:p>
        </w:tc>
        <w:tc>
          <w:tcPr>
            <w:tcW w:w="3080" w:type="dxa"/>
            <w:vAlign w:val="bottom"/>
            <w:gridSpan w:val="5"/>
          </w:tcPr>
          <w:p>
            <w:pPr>
              <w:spacing w:after="0"/>
              <w:rPr>
                <w:sz w:val="20"/>
                <w:szCs w:val="20"/>
                <w:color w:val="auto"/>
              </w:rPr>
            </w:pPr>
          </w:p>
        </w:tc>
      </w:tr>
      <w:tr>
        <w:trPr>
          <w:trHeight w:val="230"/>
        </w:trPr>
        <w:tc>
          <w:tcPr>
            <w:tcW w:w="1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60" w:type="dxa"/>
            <w:vAlign w:val="bottom"/>
          </w:tcPr>
          <w:p>
            <w:pPr>
              <w:ind w:left="580"/>
              <w:spacing w:after="0"/>
              <w:rPr>
                <w:sz w:val="20"/>
                <w:szCs w:val="20"/>
                <w:color w:val="auto"/>
              </w:rPr>
            </w:pPr>
            <w:r>
              <w:rPr>
                <w:rFonts w:ascii="Arial" w:cs="Arial" w:eastAsia="Arial" w:hAnsi="Arial"/>
                <w:sz w:val="18"/>
                <w:szCs w:val="18"/>
                <w:color w:val="auto"/>
                <w:w w:val="85"/>
              </w:rPr>
              <w:t>(Exact name</w:t>
            </w:r>
          </w:p>
        </w:tc>
        <w:tc>
          <w:tcPr>
            <w:tcW w:w="5260" w:type="dxa"/>
            <w:vAlign w:val="bottom"/>
            <w:gridSpan w:val="8"/>
          </w:tcPr>
          <w:p>
            <w:pPr>
              <w:ind w:left="60"/>
              <w:spacing w:after="0"/>
              <w:rPr>
                <w:sz w:val="20"/>
                <w:szCs w:val="20"/>
                <w:color w:val="auto"/>
              </w:rPr>
            </w:pPr>
            <w:r>
              <w:rPr>
                <w:rFonts w:ascii="Arial" w:cs="Arial" w:eastAsia="Arial" w:hAnsi="Arial"/>
                <w:sz w:val="18"/>
                <w:szCs w:val="18"/>
                <w:color w:val="auto"/>
              </w:rPr>
              <w:t>of registrant as specified in its charter)</w:t>
            </w:r>
          </w:p>
        </w:tc>
      </w:tr>
      <w:tr>
        <w:trPr>
          <w:trHeight w:val="425"/>
        </w:trPr>
        <w:tc>
          <w:tcPr>
            <w:tcW w:w="1660" w:type="dxa"/>
            <w:vAlign w:val="bottom"/>
          </w:tcPr>
          <w:p>
            <w:pPr>
              <w:spacing w:after="0"/>
              <w:rPr>
                <w:sz w:val="24"/>
                <w:szCs w:val="24"/>
                <w:color w:val="auto"/>
              </w:rPr>
            </w:pP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Pennsylvania</w:t>
            </w:r>
          </w:p>
        </w:tc>
        <w:tc>
          <w:tcPr>
            <w:tcW w:w="1640" w:type="dxa"/>
            <w:vAlign w:val="bottom"/>
            <w:gridSpan w:val="2"/>
          </w:tcPr>
          <w:p>
            <w:pPr>
              <w:spacing w:after="0"/>
              <w:rPr>
                <w:sz w:val="24"/>
                <w:szCs w:val="24"/>
                <w:color w:val="auto"/>
              </w:rPr>
            </w:pPr>
          </w:p>
        </w:tc>
        <w:tc>
          <w:tcPr>
            <w:tcW w:w="3200" w:type="dxa"/>
            <w:vAlign w:val="bottom"/>
            <w:gridSpan w:val="3"/>
          </w:tcPr>
          <w:p>
            <w:pPr>
              <w:spacing w:after="0"/>
              <w:rPr>
                <w:sz w:val="24"/>
                <w:szCs w:val="24"/>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23-2679963</w:t>
            </w:r>
          </w:p>
        </w:tc>
        <w:tc>
          <w:tcPr>
            <w:tcW w:w="620" w:type="dxa"/>
            <w:vAlign w:val="bottom"/>
          </w:tcPr>
          <w:p>
            <w:pPr>
              <w:spacing w:after="0"/>
              <w:rPr>
                <w:sz w:val="24"/>
                <w:szCs w:val="24"/>
                <w:color w:val="auto"/>
              </w:rPr>
            </w:pPr>
          </w:p>
        </w:tc>
      </w:tr>
      <w:tr>
        <w:trPr>
          <w:trHeight w:val="230"/>
        </w:trPr>
        <w:tc>
          <w:tcPr>
            <w:tcW w:w="4540" w:type="dxa"/>
            <w:vAlign w:val="bottom"/>
            <w:gridSpan w:val="4"/>
          </w:tcPr>
          <w:p>
            <w:pPr>
              <w:jc w:val="center"/>
              <w:ind w:left="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080" w:type="dxa"/>
            <w:vAlign w:val="bottom"/>
            <w:gridSpan w:val="5"/>
          </w:tcPr>
          <w:p>
            <w:pPr>
              <w:ind w:left="460"/>
              <w:spacing w:after="0"/>
              <w:rPr>
                <w:sz w:val="20"/>
                <w:szCs w:val="20"/>
                <w:color w:val="auto"/>
              </w:rPr>
            </w:pPr>
            <w:r>
              <w:rPr>
                <w:rFonts w:ascii="Arial" w:cs="Arial" w:eastAsia="Arial" w:hAnsi="Arial"/>
                <w:sz w:val="18"/>
                <w:szCs w:val="18"/>
                <w:color w:val="auto"/>
                <w:w w:val="93"/>
              </w:rPr>
              <w:t>(I.R.S. Employer Identification No.)</w:t>
            </w:r>
          </w:p>
        </w:tc>
      </w:tr>
      <w:tr>
        <w:trPr>
          <w:trHeight w:val="425"/>
        </w:trPr>
        <w:tc>
          <w:tcPr>
            <w:tcW w:w="4540" w:type="dxa"/>
            <w:vAlign w:val="bottom"/>
            <w:tcBorders>
              <w:bottom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1"/>
              </w:rPr>
              <w:t>100 Deerfield Lane, Suite 140, Malvern, Pennsylvania</w:t>
            </w:r>
          </w:p>
        </w:tc>
        <w:tc>
          <w:tcPr>
            <w:tcW w:w="160" w:type="dxa"/>
            <w:vAlign w:val="bottom"/>
            <w:tcBorders>
              <w:bottom w:val="single" w:sz="8" w:color="auto"/>
            </w:tcBorders>
          </w:tcPr>
          <w:p>
            <w:pPr>
              <w:spacing w:after="0"/>
              <w:rPr>
                <w:sz w:val="24"/>
                <w:szCs w:val="24"/>
                <w:color w:val="auto"/>
              </w:rPr>
            </w:pPr>
          </w:p>
        </w:tc>
        <w:tc>
          <w:tcPr>
            <w:tcW w:w="3400" w:type="dxa"/>
            <w:vAlign w:val="bottom"/>
            <w:gridSpan w:val="3"/>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19355</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0"/>
        </w:trPr>
        <w:tc>
          <w:tcPr>
            <w:tcW w:w="4540" w:type="dxa"/>
            <w:vAlign w:val="bottom"/>
            <w:gridSpan w:val="4"/>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w w:val="82"/>
              </w:rPr>
              <w:t>(Zip Code)</w:t>
            </w:r>
          </w:p>
        </w:tc>
        <w:tc>
          <w:tcPr>
            <w:tcW w:w="1000" w:type="dxa"/>
            <w:vAlign w:val="bottom"/>
            <w:gridSpan w:val="2"/>
          </w:tcPr>
          <w:p>
            <w:pPr>
              <w:spacing w:after="0"/>
              <w:rPr>
                <w:sz w:val="20"/>
                <w:szCs w:val="20"/>
                <w:color w:val="auto"/>
              </w:rPr>
            </w:pPr>
          </w:p>
        </w:tc>
      </w:tr>
    </w:tbl>
    <w:p>
      <w:pPr>
        <w:spacing w:after="0" w:line="187"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(610) 989-0340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3143885</wp:posOffset>
            </wp:positionH>
            <wp:positionV relativeFrom="paragraph">
              <wp:posOffset>14605</wp:posOffset>
            </wp:positionV>
            <wp:extent cx="875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75030" cy="17145"/>
                    </a:xfrm>
                    <a:prstGeom prst="rect">
                      <a:avLst/>
                    </a:prstGeom>
                    <a:noFill/>
                  </pic:spPr>
                </pic:pic>
              </a:graphicData>
            </a:graphic>
          </wp:anchor>
        </w:drawing>
      </w:r>
    </w:p>
    <w:p>
      <w:pPr>
        <w:spacing w:after="0" w:line="16"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10" w:right="239" w:bottom="1440" w:gutter="0" w:footer="0" w:header="0"/>
        </w:sectPr>
      </w:pPr>
    </w:p>
    <w:p>
      <w:pPr>
        <w:spacing w:after="0" w:line="14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430" w:lineRule="exact"/>
        <w:rPr>
          <w:sz w:val="24"/>
          <w:szCs w:val="24"/>
          <w:color w:val="auto"/>
        </w:rPr>
      </w:pPr>
    </w:p>
    <w:p>
      <w:pPr>
        <w:sectPr>
          <w:pgSz w:w="11900" w:h="16838" w:orient="portrait"/>
          <w:cols w:equalWidth="0" w:num="3">
            <w:col w:w="3940" w:space="720"/>
            <w:col w:w="2600" w:space="720"/>
            <w:col w:w="3440"/>
          </w:cols>
          <w:pgMar w:left="240" w:top="310" w:right="23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 No x</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As of May 5, 2014, there were 35,553,270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USA TECHNOLOGIES,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TABLE OF CONTENTS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74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Part I - Financial Information</w:t>
            </w:r>
          </w:p>
        </w:tc>
        <w:tc>
          <w:tcPr>
            <w:tcW w:w="1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w:t>
            </w:r>
          </w:p>
        </w:tc>
        <w:tc>
          <w:tcPr>
            <w:tcW w:w="860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Consolidated Financial Statements (Unaudited)</w:t>
            </w:r>
          </w:p>
        </w:tc>
        <w:tc>
          <w:tcPr>
            <w:tcW w:w="1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0" w:type="dxa"/>
            <w:vAlign w:val="bottom"/>
            <w:gridSpan w:val="1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March 31, 2014 and June 30, 2013</w:t>
              </w:r>
            </w:hyperlink>
          </w:p>
        </w:tc>
        <w:tc>
          <w:tcPr>
            <w:tcW w:w="1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0" w:type="dxa"/>
            <w:vAlign w:val="bottom"/>
            <w:gridSpan w:val="1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 Three and Nine months ended March 31, 2014 and 2013</w:t>
              </w:r>
            </w:hyperlink>
          </w:p>
        </w:tc>
        <w:tc>
          <w:tcPr>
            <w:tcW w:w="1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0" w:type="dxa"/>
            <w:vAlign w:val="bottom"/>
            <w:gridSpan w:val="1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Shareholders’ Equity – Nine months ended March 31, 2014</w:t>
              </w:r>
            </w:hyperlink>
          </w:p>
        </w:tc>
        <w:tc>
          <w:tcPr>
            <w:tcW w:w="1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0" w:type="dxa"/>
            <w:vAlign w:val="bottom"/>
            <w:gridSpan w:val="1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Three and Nine months ended March 31, 2014 and 2013</w:t>
              </w:r>
            </w:hyperlink>
          </w:p>
        </w:tc>
        <w:tc>
          <w:tcPr>
            <w:tcW w:w="1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0" w:type="dxa"/>
            <w:vAlign w:val="bottom"/>
            <w:gridSpan w:val="12"/>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1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8600" w:type="dxa"/>
            <w:vAlign w:val="bottom"/>
            <w:gridSpan w:val="12"/>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1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8600" w:type="dxa"/>
            <w:vAlign w:val="bottom"/>
            <w:gridSpan w:val="1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1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Item 4.</w:t>
              </w:r>
            </w:hyperlink>
          </w:p>
        </w:tc>
        <w:tc>
          <w:tcPr>
            <w:tcW w:w="640" w:type="dxa"/>
            <w:vAlign w:val="bottom"/>
            <w:shd w:val="clear" w:color="auto" w:fill="CCEEFF"/>
          </w:tcPr>
          <w:p>
            <w:pPr>
              <w:spacing w:after="0"/>
              <w:rPr>
                <w:sz w:val="17"/>
                <w:szCs w:val="17"/>
                <w:color w:val="auto"/>
              </w:rPr>
            </w:pPr>
          </w:p>
        </w:tc>
        <w:tc>
          <w:tcPr>
            <w:tcW w:w="8600" w:type="dxa"/>
            <w:vAlign w:val="bottom"/>
            <w:gridSpan w:val="1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1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740" w:type="dxa"/>
            <w:vAlign w:val="bottom"/>
            <w:gridSpan w:val="14"/>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Part II - Other Information</w:t>
              </w:r>
            </w:hyperlink>
          </w:p>
        </w:tc>
        <w:tc>
          <w:tcPr>
            <w:tcW w:w="1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8600" w:type="dxa"/>
            <w:vAlign w:val="bottom"/>
            <w:gridSpan w:val="1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1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6.</w:t>
              </w:r>
            </w:hyperlink>
          </w:p>
        </w:tc>
        <w:tc>
          <w:tcPr>
            <w:tcW w:w="8600" w:type="dxa"/>
            <w:vAlign w:val="bottom"/>
            <w:gridSpan w:val="1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1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5"/>
              </w:rPr>
            </w:pPr>
            <w:hyperlink w:anchor="page26">
              <w:r>
                <w:rPr>
                  <w:rFonts w:ascii="Arial" w:cs="Arial" w:eastAsia="Arial" w:hAnsi="Arial"/>
                  <w:sz w:val="18"/>
                  <w:szCs w:val="18"/>
                  <w:color w:val="0000EE"/>
                  <w:w w:val="85"/>
                </w:rPr>
                <w:t>Signatures</w:t>
              </w:r>
            </w:hyperlink>
          </w:p>
        </w:tc>
        <w:tc>
          <w:tcPr>
            <w:tcW w:w="7840" w:type="dxa"/>
            <w:vAlign w:val="bottom"/>
            <w:tcBorders>
              <w:bottom w:val="single" w:sz="8" w:color="CCEEFF"/>
            </w:tcBorders>
            <w:gridSpan w:val="10"/>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500" w:type="dxa"/>
            <w:vAlign w:val="bottom"/>
            <w:tcBorders>
              <w:bottom w:val="single" w:sz="8" w:color="DCDCDC"/>
            </w:tcBorders>
          </w:tcPr>
          <w:p>
            <w:pPr>
              <w:spacing w:after="0"/>
              <w:rPr>
                <w:sz w:val="24"/>
                <w:szCs w:val="24"/>
                <w:color w:val="auto"/>
              </w:rPr>
            </w:pPr>
          </w:p>
        </w:tc>
        <w:tc>
          <w:tcPr>
            <w:tcW w:w="640" w:type="dxa"/>
            <w:vAlign w:val="bottom"/>
            <w:tcBorders>
              <w:bottom w:val="single" w:sz="8" w:color="DCDCDC"/>
            </w:tcBorders>
          </w:tcPr>
          <w:p>
            <w:pPr>
              <w:spacing w:after="0"/>
              <w:rPr>
                <w:sz w:val="24"/>
                <w:szCs w:val="24"/>
                <w:color w:val="auto"/>
              </w:rPr>
            </w:pPr>
          </w:p>
        </w:tc>
        <w:tc>
          <w:tcPr>
            <w:tcW w:w="4760" w:type="dxa"/>
            <w:vAlign w:val="bottom"/>
            <w:tcBorders>
              <w:bottom w:val="single" w:sz="8" w:color="DCDCDC"/>
            </w:tcBorders>
            <w:gridSpan w:val="7"/>
          </w:tcPr>
          <w:p>
            <w:pPr>
              <w:ind w:left="4500"/>
              <w:spacing w:after="0"/>
              <w:rPr>
                <w:sz w:val="20"/>
                <w:szCs w:val="20"/>
                <w:color w:val="auto"/>
              </w:rPr>
            </w:pPr>
            <w:r>
              <w:rPr>
                <w:rFonts w:ascii="Arial" w:cs="Arial" w:eastAsia="Arial" w:hAnsi="Arial"/>
                <w:sz w:val="18"/>
                <w:szCs w:val="18"/>
                <w:color w:val="auto"/>
              </w:rPr>
              <w:t>2</w:t>
            </w:r>
          </w:p>
        </w:tc>
        <w:tc>
          <w:tcPr>
            <w:tcW w:w="14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60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1480" w:type="dxa"/>
            <w:vAlign w:val="bottom"/>
            <w:tcBorders>
              <w:bottom w:val="single" w:sz="8" w:color="DCDCDC"/>
            </w:tcBorders>
          </w:tcPr>
          <w:p>
            <w:pPr>
              <w:spacing w:after="0"/>
              <w:rPr>
                <w:sz w:val="24"/>
                <w:szCs w:val="24"/>
                <w:color w:val="auto"/>
              </w:rPr>
            </w:pPr>
          </w:p>
        </w:tc>
        <w:tc>
          <w:tcPr>
            <w:tcW w:w="1660" w:type="dxa"/>
            <w:vAlign w:val="bottom"/>
            <w:tcBorders>
              <w:bottom w:val="single" w:sz="8" w:color="DCDCD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8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4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6,577,117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5,981,000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less allowance for uncollectible accounts of $47,000 and $18,000, respectively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1,974,349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2,620,684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Finance receivables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106,837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116,444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1,512,003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488,146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184,336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581,982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11,240,434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10,726,079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Finance receivables, less current portion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325,812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408,674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86,877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20,755,507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17,240,065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26,127,191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Intangibles, net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432,100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7,663,208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7,663,208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Total assets</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66,631,129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36,576,196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6,372,212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7,301,247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1,309,673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Line of credit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4,000,000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obligations under long-term debt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249,915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35,521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11,967,321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12,016,583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316,871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122,754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less current portion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224,312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 liabilities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638,334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650,638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1,179,517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1,180,422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13,146,838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13,197,005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Preferred stock, no par value: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Authorized shares- 1,800,000 Series A convertible preferred- Authorized shares- 900,000 Issued and outstanding</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shares- 442,968 (liquidation preference of $16,690,456 and $16,026,004, respectively)</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3,138,056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3,138,056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spacing w:after="0" w:line="201" w:lineRule="exact"/>
              <w:rPr>
                <w:sz w:val="20"/>
                <w:szCs w:val="20"/>
                <w:color w:val="auto"/>
              </w:rPr>
            </w:pPr>
            <w:r>
              <w:rPr>
                <w:rFonts w:ascii="Arial" w:cs="Arial" w:eastAsia="Arial" w:hAnsi="Arial"/>
                <w:sz w:val="18"/>
                <w:szCs w:val="18"/>
                <w:color w:val="auto"/>
                <w:w w:val="95"/>
              </w:rPr>
              <w:t>Common stock, no par value: Authorized shares- 640,000,000 Issued and outstanding shares- 35,496,570 and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33,284,232, respectively</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223,919,102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221,383,373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(173,572,867)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(201,142,238)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53,484,291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23,379,191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66,631,129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36,576,196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See accompanying notes.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8460" w:type="dxa"/>
            <w:vAlign w:val="bottom"/>
            <w:tcBorders>
              <w:bottom w:val="single" w:sz="8" w:color="DCDCDC"/>
            </w:tcBorders>
          </w:tcPr>
          <w:p>
            <w:pPr>
              <w:ind w:left="5640"/>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sectPr>
      </w:pPr>
    </w:p>
    <w:bookmarkStart w:id="3" w:name="page4"/>
    <w:bookmarkEnd w:id="3"/>
    <w:p>
      <w:pPr>
        <w:ind w:left="4820"/>
        <w:spacing w:after="0"/>
        <w:rPr>
          <w:sz w:val="20"/>
          <w:szCs w:val="20"/>
          <w:color w:val="auto"/>
        </w:rPr>
      </w:pPr>
      <w:r>
        <w:rPr>
          <w:rFonts w:ascii="Arial" w:cs="Arial" w:eastAsia="Arial" w:hAnsi="Arial"/>
          <w:sz w:val="18"/>
          <w:szCs w:val="18"/>
          <w:b w:val="1"/>
          <w:bCs w:val="1"/>
          <w:color w:val="auto"/>
        </w:rPr>
        <w:t>USA Technologies, Inc.</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8"/>
          <w:szCs w:val="18"/>
          <w:b w:val="1"/>
          <w:bCs w:val="1"/>
          <w:color w:val="auto"/>
        </w:rPr>
        <w:t>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74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6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March 31,</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6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 and transaction fees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8,999,689</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7,562,589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26,177,818</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21,872,187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Equipment sales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1,444,243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1,418,215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4,959,686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4,383,216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10,443,932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8,980,804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31,137,504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26,255,403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services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5,785,721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4,525,244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16,690,569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13,080,816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Cost of equipment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660,423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774,221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3,036,243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2,748,785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3,997,788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3,681,339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11,410,692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10,425,802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3,479,300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3,003,231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9,968,212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8,918,030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327,889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438,337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1,004,134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3,632,253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3,331,120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10,406,549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9,922,164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1,004,143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503,638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11,082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21,342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(61,379)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(182,315)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Change in fair value of warrant liabilities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(168,897)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(1,308,954)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12,304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(1,249,456)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(226,729)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(1,359,251)</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(148,669)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(1,305,948)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benefit (provision) for income taxes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138,806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(1,009,032)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855,474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(802,310)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26,727,720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(6,911)</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26,713,897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26,866,526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(1,015,943)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27,569,371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Cumulative preferred dividends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(332,226)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(332,226)</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(664,452)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(664,452)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applicable to common shares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26,534,300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(1,348,169)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26,904,919</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(1,487,496)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earnings (loss) per common share (basic and diluted)</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0.75</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0.78</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0"/>
              </w:rPr>
              <w:t>Weighted average number of common shares outstanding (basic and diluted)</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35,504,911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32,821,345</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34,313,396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32,690,374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i w:val="1"/>
                <w:iCs w:val="1"/>
                <w:color w:val="auto"/>
              </w:rPr>
              <w:t>See accompanying notes.</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5580" w:type="dxa"/>
            <w:vAlign w:val="bottom"/>
            <w:tcBorders>
              <w:bottom w:val="single" w:sz="8" w:color="DCDCDC"/>
            </w:tcBorders>
          </w:tcPr>
          <w:p>
            <w:pPr>
              <w:spacing w:after="0"/>
              <w:rPr>
                <w:sz w:val="24"/>
                <w:szCs w:val="24"/>
                <w:color w:val="auto"/>
              </w:rPr>
            </w:pPr>
          </w:p>
        </w:tc>
        <w:tc>
          <w:tcPr>
            <w:tcW w:w="480" w:type="dxa"/>
            <w:vAlign w:val="bottom"/>
            <w:tcBorders>
              <w:bottom w:val="single" w:sz="8" w:color="DCDCDC"/>
            </w:tcBorders>
          </w:tcPr>
          <w:p>
            <w:pPr>
              <w:jc w:val="right"/>
              <w:ind w:right="23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40" w:type="dxa"/>
            <w:vAlign w:val="bottom"/>
            <w:gridSpan w:val="4"/>
          </w:tcPr>
          <w:p>
            <w:pPr>
              <w:jc w:val="center"/>
              <w:ind w:left="810"/>
              <w:spacing w:after="0"/>
              <w:rPr>
                <w:sz w:val="20"/>
                <w:szCs w:val="20"/>
                <w:color w:val="auto"/>
              </w:rPr>
            </w:pPr>
            <w:r>
              <w:rPr>
                <w:rFonts w:ascii="Arial" w:cs="Arial" w:eastAsia="Arial" w:hAnsi="Arial"/>
                <w:sz w:val="18"/>
                <w:szCs w:val="18"/>
                <w:color w:val="auto"/>
                <w:w w:val="91"/>
              </w:rPr>
              <w:t>Series A</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80" w:type="dxa"/>
            <w:vAlign w:val="bottom"/>
            <w:gridSpan w:val="6"/>
          </w:tcPr>
          <w:p>
            <w:pPr>
              <w:jc w:val="center"/>
              <w:ind w:right="240"/>
              <w:spacing w:after="0"/>
              <w:rPr>
                <w:sz w:val="20"/>
                <w:szCs w:val="20"/>
                <w:color w:val="auto"/>
              </w:rPr>
            </w:pPr>
            <w:r>
              <w:rPr>
                <w:rFonts w:ascii="Arial" w:cs="Arial" w:eastAsia="Arial" w:hAnsi="Arial"/>
                <w:sz w:val="18"/>
                <w:szCs w:val="18"/>
                <w:color w:val="auto"/>
                <w:w w:val="94"/>
              </w:rPr>
              <w:t>Convertible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780" w:type="dxa"/>
            <w:vAlign w:val="bottom"/>
            <w:gridSpan w:val="6"/>
          </w:tcPr>
          <w:p>
            <w:pPr>
              <w:jc w:val="center"/>
              <w:ind w:right="220"/>
              <w:spacing w:after="0"/>
              <w:rPr>
                <w:sz w:val="20"/>
                <w:szCs w:val="20"/>
                <w:color w:val="auto"/>
              </w:rPr>
            </w:pPr>
            <w:r>
              <w:rPr>
                <w:rFonts w:ascii="Arial" w:cs="Arial" w:eastAsia="Arial" w:hAnsi="Arial"/>
                <w:sz w:val="18"/>
                <w:szCs w:val="18"/>
                <w:color w:val="auto"/>
                <w:w w:val="89"/>
              </w:rPr>
              <w:t>Preferred Stock</w:t>
            </w:r>
          </w:p>
        </w:tc>
        <w:tc>
          <w:tcPr>
            <w:tcW w:w="2700" w:type="dxa"/>
            <w:vAlign w:val="bottom"/>
            <w:gridSpan w:val="6"/>
          </w:tcPr>
          <w:p>
            <w:pPr>
              <w:jc w:val="right"/>
              <w:ind w:right="880"/>
              <w:spacing w:after="0"/>
              <w:rPr>
                <w:sz w:val="20"/>
                <w:szCs w:val="20"/>
                <w:color w:val="auto"/>
              </w:rPr>
            </w:pPr>
            <w:r>
              <w:rPr>
                <w:rFonts w:ascii="Arial" w:cs="Arial" w:eastAsia="Arial" w:hAnsi="Arial"/>
                <w:sz w:val="18"/>
                <w:szCs w:val="18"/>
                <w:color w:val="auto"/>
              </w:rPr>
              <w:t>Common Stock</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Shares</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Deficit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442,968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3,138,056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33,284,232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221,383,373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(201,142,238)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23,379,191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2,090,226 warrants at $1.13</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resulting in issuance of common stock</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2,090,226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2,361,955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2,361,955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 to employees and directors and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vesting of shares under the 2010 Stock</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Incentive Plan</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6,024</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to employees and directors and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of shares under the 2011 Stock</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Incentive Plan</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51,667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15,553</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 to employees and directors and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vesting of shares under the 2012 Stock</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Incentive Plan</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112,799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227,303</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227,303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Retirement of common stock</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(75,106)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27,569,371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27,569,371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 March 31, 2014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442,968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3,138,056</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35,496,570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223,919,102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(173,572,867)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53,484,291</w:t>
            </w:r>
          </w:p>
        </w:tc>
        <w:tc>
          <w:tcPr>
            <w:tcW w:w="0" w:type="dxa"/>
            <w:vAlign w:val="bottom"/>
          </w:tcPr>
          <w:p>
            <w:pPr>
              <w:spacing w:after="0"/>
              <w:rPr>
                <w:sz w:val="1"/>
                <w:szCs w:val="1"/>
                <w:color w:val="auto"/>
              </w:rPr>
            </w:pPr>
          </w:p>
        </w:tc>
      </w:tr>
      <w:tr>
        <w:trPr>
          <w:trHeight w:val="21"/>
        </w:trPr>
        <w:tc>
          <w:tcPr>
            <w:tcW w:w="33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34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320" w:type="dxa"/>
            <w:vAlign w:val="bottom"/>
            <w:tcBorders>
              <w:bottom w:val="single" w:sz="8" w:color="DCDCDC"/>
            </w:tcBorders>
          </w:tcPr>
          <w:p>
            <w:pPr>
              <w:spacing w:after="0"/>
              <w:rPr>
                <w:sz w:val="24"/>
                <w:szCs w:val="24"/>
                <w:color w:val="auto"/>
              </w:rPr>
            </w:pPr>
          </w:p>
        </w:tc>
        <w:tc>
          <w:tcPr>
            <w:tcW w:w="11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jc w:val="right"/>
              <w:ind w:right="5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6"/>
          </w:tcPr>
          <w:p>
            <w:pPr>
              <w:jc w:val="right"/>
              <w:ind w:right="74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8"/>
                <w:szCs w:val="18"/>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March 31,</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26,866,526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(1,015,943)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27,569,371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(823,044)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spacing w:after="0" w:line="201" w:lineRule="exact"/>
              <w:rPr>
                <w:sz w:val="20"/>
                <w:szCs w:val="20"/>
                <w:color w:val="auto"/>
              </w:rPr>
            </w:pPr>
            <w:r>
              <w:rPr>
                <w:rFonts w:ascii="Arial" w:cs="Arial" w:eastAsia="Arial" w:hAnsi="Arial"/>
                <w:sz w:val="18"/>
                <w:szCs w:val="18"/>
                <w:color w:val="auto"/>
                <w:w w:val="97"/>
              </w:rPr>
              <w:t>Adjustments to reconcile net income (loss) to net cash provided by (used in)</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Charges incurred in connection with the vesting and issuance of common stock</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 employee and director compensation</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60,024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149,009</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248,880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(Gain) loss on disposal of property and equipment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(14,815)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7,053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Non-cash interest and amortization of debt discount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26,934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Bad debt expense (recoveries),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(11,277)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(1,599)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66,773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1,413,521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1,003,610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3,910,110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2,742,196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185,600</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21,953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556,800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168,897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1,308,954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(12,304)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(26,727,720)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6,911</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(26,713,897)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(470,164)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(1,212,990)</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579,562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63,489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22,714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92,469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214,495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603,019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338,415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685,114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59,841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(62,503)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386,832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(1,115,013)</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(929,035)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(803,875)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184,532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(223,669)</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(300,984)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(1,792,479)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2,162,782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(217,437)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4,817,958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2,382,748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(35,134)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(31,413)</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(60,361)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(81,691)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for rental program</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(2,643,439)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(1,778,344)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(7,211,661)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(6,320,514)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Proceeds from the sale of property and equipment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5,513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18,908</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30,375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18,908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(2,673,060)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(1,790,849)</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(7,241,647)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(6,383,297)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Net proceeds from the exercise of common stock warrants and the retirement of</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521,762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74,840</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2,286,849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Proceeds from line of credit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(89,366)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(164,363)</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(267,043)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(465,084)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432,396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910,477</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3,019,806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1,522,441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(77,882)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(1,097,809)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596,117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(2,478,108)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6,654,999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5,046,346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5,981,000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6,426,645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6,577,117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3,948,537</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6,577,117</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3,948,537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Supplemental disclosures of cash flow information</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59,399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32,551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189,203</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84,220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 allocated to cost of sales</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1,260,568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861,321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3,493,726</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2,294,862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Reclass of rental program property to inventory, net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13,686</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2,296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26,803</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11,923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Prepaid items financed with debt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144,312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246,162</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Prepaid interest from issuance of warrants for debt costs</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55,962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55,962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Equipment and software acquired under capital lease</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195,725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80,883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217,761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Disposal of property and equipment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15,141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7,700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233,857</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USA Technologies, Inc. (the “Company”, “We” or “Our”), was incorporated in the Commonwealth of Pennsylvania in January 1992 and provides wireless networking, cashless transactions, asset monitoring and other value-added services principally to the small ticket unattended retail markets. Our ePort</w:t>
      </w:r>
      <w:r>
        <w:rPr>
          <w:rFonts w:ascii="Arial" w:cs="Arial" w:eastAsia="Arial" w:hAnsi="Arial"/>
          <w:sz w:val="16"/>
          <w:szCs w:val="16"/>
          <w:i w:val="1"/>
          <w:iCs w:val="1"/>
          <w:color w:val="auto"/>
        </w:rPr>
        <w:t>®</w:t>
      </w:r>
      <w:r>
        <w:rPr>
          <w:rFonts w:ascii="Arial" w:cs="Arial" w:eastAsia="Arial" w:hAnsi="Arial"/>
          <w:sz w:val="16"/>
          <w:szCs w:val="16"/>
          <w:color w:val="auto"/>
        </w:rPr>
        <w:t xml:space="preserve"> technology can be installed and/or embedded into everyday devices such as vending machines, a variety of kiosks, and amusement and arcade machines and smartphones via our ePort Mobile™ solution. Our associated service, ePort Connect</w:t>
      </w:r>
      <w:r>
        <w:rPr>
          <w:rFonts w:ascii="Arial" w:cs="Arial" w:eastAsia="Arial" w:hAnsi="Arial"/>
          <w:sz w:val="16"/>
          <w:szCs w:val="16"/>
          <w:i w:val="1"/>
          <w:iCs w:val="1"/>
          <w:color w:val="auto"/>
        </w:rPr>
        <w:t>®</w:t>
      </w:r>
      <w:r>
        <w:rPr>
          <w:rFonts w:ascii="Arial" w:cs="Arial" w:eastAsia="Arial" w:hAnsi="Arial"/>
          <w:sz w:val="16"/>
          <w:szCs w:val="16"/>
          <w:color w:val="auto"/>
        </w:rPr>
        <w:t>, is a PCI-compliant, comprehensive service that includes simplified credit/debit card processing and support, consumer engagement services, as well as telemetry and machine-to-machine (“M2M”) services, including the ability to remotely monitor, control and report on the results of distributed assets containing our electronic payment solutions. In addition, the Company provides energy management products, such as its VendingMiser</w:t>
      </w:r>
      <w:r>
        <w:rPr>
          <w:rFonts w:ascii="Arial" w:cs="Arial" w:eastAsia="Arial" w:hAnsi="Arial"/>
          <w:sz w:val="16"/>
          <w:szCs w:val="16"/>
          <w:i w:val="1"/>
          <w:iCs w:val="1"/>
          <w:color w:val="auto"/>
        </w:rPr>
        <w:t>®</w:t>
      </w:r>
      <w:r>
        <w:rPr>
          <w:rFonts w:ascii="Arial" w:cs="Arial" w:eastAsia="Arial" w:hAnsi="Arial"/>
          <w:sz w:val="16"/>
          <w:szCs w:val="16"/>
          <w:color w:val="auto"/>
        </w:rPr>
        <w:t xml:space="preserve"> and CoolerMiser™, which reduce energy consumption in vending machines and coolers.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of USA Technologies, Inc.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Annual Report on Form 10-K for the year ended June 30, 2013. In the opinion of management, all adjustments considered necessary for a fair presentation, consisting of normal recurring adjustments, have been included. Operating results for the three and nine-month periods ended March 31, 2014 are not necessarily indicative of the results that may be expected for the year ending June 30, 2014. The balance sheet at June 30, 2013 has been derived from the audited consolidated financial statements at that date, but does not include all of the information and footnotes required by U.S. generally accepted accounting principles for complete financial statements.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had net income of $26,866,526 and $27,569,371 for the three and nine-month periods ended March 31, 2014, respectively. Included in net income is a benefit for income taxes of $26,727,720 and $26,713,897 for the three and nine-month periods ended March 31, 2014, respectively. The Company had net income of $854,123 for the year ended June 30, 2013. Net income includes adjustments for changes to the fair value of our warrant liabilities, which are subject to secondary market conditions, and are not reasonably predictable. The Company’s ability to meet its future obligations is dependent upon the success of its products and services in the marketplace and the available capital resources. Until the Company’s products and services can generate sufficient annual revenues, the Company will be required to use its cash and cash equivalents on hand, and its line of credit (see Note 4), and may raise capital to meet its cash flow requirements including the issuance of Common Stock or debt financing.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wholly-owned subsidiaries, Stitch Networks Corporation (“Stitch”) and USAT Capital Corp LLC (“USAT Capital”). All significant intercompany accounts and transactions have been eliminated in consolidation.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equivalents represent all highly liquid investments with original maturities of three months or less. Cash equivalents are comprised of money market funds. The Company maintains its cash in bank deposit accounts, which may exceed federally insured limits at times.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2014 and June 30, 2013, none of the cash and cash equivalents of the Company was payable to our customers. Included in accounts receivable are amounts for transactions processed with our card processers for which cash has not been received by the Company and included in accounts payable are amounts for transactions processed with our card processers and due to our customers, which are recorded net of fees due to the Company. Generally, contractual terms require us to remit amounts owed to our customers on a weekly basis.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offers extended payment terms to certain customers for equipment sales under its Quick Start Program. Notes receivable or Quick Start leases are generally for a 36 or 60 month term. Finance receivables are carried at their contractual amount and charged off against the allowance for credit losses when management determines that recovery is unlikely and the Company ceases collection efforts. The Company recognizes a portion of the note or lease payments as interest income in the accompanying consolidated financial statements based on the effective interest rate method.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finished goods and packaging materials. The Company’s inventory is stated at the lower of cost (average cost basis) or market.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Accounting Standards Board (“FASB”) issued Accounting Standards Update (“ASU”) 2010-06, “Fair Value Measurements and Disclosures (“Topic 820”): Improving Disclosures about Fair Value Measurements.” ASU 2010-06 amends certain disclosure requirements of Subtopic 820-10. This ASU provides additional disclosures for transfers in and out of Levels 1 and 2 and for activity in Level 3. This ASU also clarifies certain other existing disclosure requirements including level of desegregation and disclosures around inputs and valuation techniques.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assets and liabilities are measured using inputs from the three levels of the fair value hierarchy. The three levels are as follows: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Inputs are unobservable and reflect the Company’s assumptions that market participants would use in pricing the asset or liability. The Company develops these inputs based on the best information available.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principally cash equivalents, accounts receivable, finance receivables, prepaid expenses and other assets, accounts payable and accrued expenses, are carried at cost which approximates fair value due to the short-term maturity of these instruments. The fair value of the Company’s obligations under its long-term debt and credit agreements approximates their carrying value, as such instruments are at market rates currently available to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Equity Awards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ASC 718, the cost of employee services received in exchange for an award of equity instruments is based on the grant-date fair value of the award and allocated over the vesting period of the award.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Deferred tax assets and liabilities are recognized for the future tax consequences attributable to differences between the financial statement carrying amounts of existing assets and liabilities and their respective tax bases. Deferred tax assets, including tax loss and credit carryforwards,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income tax expense represents the change during the period in the deferred tax assets and deferred tax liabilities. The components of the deferred tax assets and liabilities are individually classified as current and non-current based on their characteristics. Deferred tax assets are reduced by a valuation allowance when, in the opinion of management, it is more likely than not that some portion or all of the deferred tax assets will not be realized.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Per Common Share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earnings (loss) per share are calculated by dividing income (loss) applicable to common shares by the weighted average common shares outstanding for the period. Diluted earnings per share is calculated by dividing income (loss) applicable to common shares by the weighted average common shares outstanding for the year plus the effect of potential common shares unless such effect is anti-dilutive.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2. FINANCE RECEIVABLES</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880" w:type="dxa"/>
            <w:vAlign w:val="bottom"/>
            <w:gridSpan w:val="2"/>
          </w:tcPr>
          <w:p>
            <w:pPr>
              <w:spacing w:after="0"/>
              <w:rPr>
                <w:sz w:val="20"/>
                <w:szCs w:val="20"/>
                <w:color w:val="auto"/>
              </w:rPr>
            </w:pPr>
            <w:r>
              <w:rPr>
                <w:rFonts w:ascii="Arial" w:cs="Arial" w:eastAsia="Arial" w:hAnsi="Arial"/>
                <w:sz w:val="18"/>
                <w:szCs w:val="18"/>
                <w:color w:val="auto"/>
              </w:rPr>
              <w:t>Finance Receivables consist of the following:</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March 31,</w:t>
            </w: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finance receivables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432,649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525,118</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Less current portion</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106,837</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116,444</w:t>
            </w:r>
          </w:p>
        </w:tc>
        <w:tc>
          <w:tcPr>
            <w:tcW w:w="0" w:type="dxa"/>
            <w:vAlign w:val="bottom"/>
          </w:tcPr>
          <w:p>
            <w:pPr>
              <w:spacing w:after="0"/>
              <w:rPr>
                <w:sz w:val="1"/>
                <w:szCs w:val="1"/>
                <w:color w:val="auto"/>
              </w:rPr>
            </w:pPr>
          </w:p>
        </w:tc>
      </w:tr>
      <w:tr>
        <w:trPr>
          <w:trHeight w:val="27"/>
        </w:trPr>
        <w:tc>
          <w:tcPr>
            <w:tcW w:w="230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vMerge w:val="continue"/>
          </w:tcPr>
          <w:p>
            <w:pPr>
              <w:spacing w:after="0"/>
              <w:rPr>
                <w:sz w:val="20"/>
                <w:szCs w:val="20"/>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finance receivables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325,812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408,674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2014 and June 30, 2013, there was no allowance for credit losses of finance receivables. As the Company collects monthly payments of the receivables from the customers’ transaction funds, the risk of loss was determined to be remote.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4040" w:type="dxa"/>
            <w:vAlign w:val="bottom"/>
          </w:tcPr>
          <w:p>
            <w:pPr>
              <w:jc w:val="center"/>
              <w:ind w:left="1550"/>
              <w:spacing w:after="0"/>
              <w:rPr>
                <w:sz w:val="20"/>
                <w:szCs w:val="20"/>
                <w:color w:val="auto"/>
              </w:rPr>
            </w:pPr>
            <w:r>
              <w:rPr>
                <w:rFonts w:ascii="Arial" w:cs="Arial" w:eastAsia="Arial" w:hAnsi="Arial"/>
                <w:sz w:val="18"/>
                <w:szCs w:val="18"/>
                <w:color w:val="auto"/>
                <w:w w:val="93"/>
              </w:rPr>
              <w:t>Credit Quality Indicators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4040" w:type="dxa"/>
            <w:vAlign w:val="bottom"/>
          </w:tcPr>
          <w:p>
            <w:pPr>
              <w:jc w:val="center"/>
              <w:ind w:left="1530"/>
              <w:spacing w:after="0"/>
              <w:rPr>
                <w:sz w:val="20"/>
                <w:szCs w:val="20"/>
                <w:color w:val="auto"/>
              </w:rPr>
            </w:pPr>
            <w:r>
              <w:rPr>
                <w:rFonts w:ascii="Arial" w:cs="Arial" w:eastAsia="Arial" w:hAnsi="Arial"/>
                <w:sz w:val="18"/>
                <w:szCs w:val="18"/>
                <w:color w:val="auto"/>
                <w:w w:val="92"/>
              </w:rPr>
              <w:t>As of March 31, 2014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p>
        </w:tc>
        <w:tc>
          <w:tcPr>
            <w:tcW w:w="4040" w:type="dxa"/>
            <w:vAlign w:val="bottom"/>
          </w:tcPr>
          <w:p>
            <w:pPr>
              <w:jc w:val="center"/>
              <w:ind w:left="1530"/>
              <w:spacing w:after="0"/>
              <w:rPr>
                <w:sz w:val="20"/>
                <w:szCs w:val="20"/>
                <w:color w:val="auto"/>
              </w:rPr>
            </w:pPr>
            <w:r>
              <w:rPr>
                <w:rFonts w:ascii="Arial" w:cs="Arial" w:eastAsia="Arial" w:hAnsi="Arial"/>
                <w:sz w:val="18"/>
                <w:szCs w:val="18"/>
                <w:color w:val="auto"/>
                <w:w w:val="90"/>
              </w:rPr>
              <w:t>(unaudited)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20" w:type="dxa"/>
            <w:vAlign w:val="bottom"/>
            <w:gridSpan w:val="2"/>
          </w:tcPr>
          <w:p>
            <w:pPr>
              <w:ind w:left="2860"/>
              <w:spacing w:after="0"/>
              <w:rPr>
                <w:sz w:val="20"/>
                <w:szCs w:val="20"/>
                <w:color w:val="auto"/>
              </w:rPr>
            </w:pPr>
            <w:r>
              <w:rPr>
                <w:rFonts w:ascii="Arial" w:cs="Arial" w:eastAsia="Arial" w:hAnsi="Arial"/>
                <w:sz w:val="18"/>
                <w:szCs w:val="18"/>
                <w:color w:val="auto"/>
              </w:rPr>
              <w:t>Credit risk profile based on payment activity:</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8"/>
                <w:szCs w:val="18"/>
                <w:color w:val="auto"/>
              </w:rPr>
              <w:t>Leases</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432,649</w:t>
            </w:r>
          </w:p>
        </w:tc>
        <w:tc>
          <w:tcPr>
            <w:tcW w:w="14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Nonperforming</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80" w:type="dxa"/>
            <w:vAlign w:val="bottom"/>
          </w:tcPr>
          <w:p>
            <w:pPr>
              <w:spacing w:after="0"/>
              <w:rPr>
                <w:sz w:val="22"/>
                <w:szCs w:val="2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432,649</w:t>
            </w:r>
          </w:p>
        </w:tc>
        <w:tc>
          <w:tcPr>
            <w:tcW w:w="140" w:type="dxa"/>
            <w:vAlign w:val="bottom"/>
            <w:shd w:val="clear" w:color="auto" w:fill="CCEEFF"/>
          </w:tcPr>
          <w:p>
            <w:pPr>
              <w:spacing w:after="0"/>
              <w:rPr>
                <w:sz w:val="22"/>
                <w:szCs w:val="22"/>
                <w:color w:val="auto"/>
              </w:rPr>
            </w:pP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69"/>
        </w:trPr>
        <w:tc>
          <w:tcPr>
            <w:tcW w:w="2880" w:type="dxa"/>
            <w:vAlign w:val="bottom"/>
            <w:tcBorders>
              <w:bottom w:val="single" w:sz="8" w:color="DCDCDC"/>
            </w:tcBorders>
          </w:tcPr>
          <w:p>
            <w:pPr>
              <w:spacing w:after="0"/>
              <w:rPr>
                <w:sz w:val="24"/>
                <w:szCs w:val="24"/>
                <w:color w:val="auto"/>
              </w:rPr>
            </w:pPr>
          </w:p>
        </w:tc>
        <w:tc>
          <w:tcPr>
            <w:tcW w:w="4040" w:type="dxa"/>
            <w:vAlign w:val="bottom"/>
            <w:tcBorders>
              <w:top w:val="single" w:sz="8" w:color="CCEEFF"/>
              <w:bottom w:val="single" w:sz="8" w:color="DCDCDC"/>
            </w:tcBorders>
          </w:tcPr>
          <w:p>
            <w:pPr>
              <w:jc w:val="center"/>
              <w:ind w:left="1530"/>
              <w:spacing w:after="0"/>
              <w:rPr>
                <w:sz w:val="20"/>
                <w:szCs w:val="20"/>
                <w:color w:val="auto"/>
              </w:rPr>
            </w:pPr>
            <w:r>
              <w:rPr>
                <w:rFonts w:ascii="Arial" w:cs="Arial" w:eastAsia="Arial" w:hAnsi="Arial"/>
                <w:sz w:val="18"/>
                <w:szCs w:val="18"/>
                <w:color w:val="auto"/>
                <w:w w:val="99"/>
              </w:rPr>
              <w:t>9</w:t>
            </w:r>
          </w:p>
        </w:tc>
        <w:tc>
          <w:tcPr>
            <w:tcW w:w="300" w:type="dxa"/>
            <w:vAlign w:val="bottom"/>
            <w:tcBorders>
              <w:top w:val="single" w:sz="8" w:color="CCEEFF"/>
              <w:bottom w:val="single" w:sz="8" w:color="DCDCDC"/>
            </w:tcBorders>
          </w:tcPr>
          <w:p>
            <w:pPr>
              <w:spacing w:after="0"/>
              <w:rPr>
                <w:sz w:val="24"/>
                <w:szCs w:val="24"/>
                <w:color w:val="auto"/>
              </w:rPr>
            </w:pPr>
          </w:p>
        </w:tc>
        <w:tc>
          <w:tcPr>
            <w:tcW w:w="220" w:type="dxa"/>
            <w:vAlign w:val="bottom"/>
            <w:tcBorders>
              <w:top w:val="single" w:sz="8" w:color="auto"/>
              <w:bottom w:val="single" w:sz="8" w:color="DCDCDC"/>
            </w:tcBorders>
          </w:tcPr>
          <w:p>
            <w:pPr>
              <w:spacing w:after="0"/>
              <w:rPr>
                <w:sz w:val="24"/>
                <w:szCs w:val="24"/>
                <w:color w:val="auto"/>
              </w:rPr>
            </w:pPr>
          </w:p>
        </w:tc>
        <w:tc>
          <w:tcPr>
            <w:tcW w:w="1000" w:type="dxa"/>
            <w:vAlign w:val="bottom"/>
            <w:tcBorders>
              <w:top w:val="single" w:sz="8" w:color="auto"/>
              <w:bottom w:val="single" w:sz="8" w:color="DCDCDC"/>
            </w:tcBorders>
          </w:tcPr>
          <w:p>
            <w:pPr>
              <w:spacing w:after="0"/>
              <w:rPr>
                <w:sz w:val="24"/>
                <w:szCs w:val="24"/>
                <w:color w:val="auto"/>
              </w:rPr>
            </w:pPr>
          </w:p>
        </w:tc>
        <w:tc>
          <w:tcPr>
            <w:tcW w:w="140" w:type="dxa"/>
            <w:vAlign w:val="bottom"/>
            <w:tcBorders>
              <w:top w:val="single" w:sz="8" w:color="CCEEFF"/>
              <w:bottom w:val="single" w:sz="8" w:color="DCDCDC"/>
            </w:tcBorders>
          </w:tcPr>
          <w:p>
            <w:pPr>
              <w:spacing w:after="0"/>
              <w:rPr>
                <w:sz w:val="24"/>
                <w:szCs w:val="24"/>
                <w:color w:val="auto"/>
              </w:rPr>
            </w:pPr>
          </w:p>
        </w:tc>
        <w:tc>
          <w:tcPr>
            <w:tcW w:w="28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gridSpan w:val="5"/>
          </w:tcPr>
          <w:p>
            <w:pPr>
              <w:spacing w:after="0"/>
              <w:rPr>
                <w:sz w:val="20"/>
                <w:szCs w:val="20"/>
                <w:color w:val="auto"/>
              </w:rPr>
            </w:pPr>
            <w:r>
              <w:rPr>
                <w:rFonts w:ascii="Arial" w:cs="Arial" w:eastAsia="Arial" w:hAnsi="Arial"/>
                <w:sz w:val="18"/>
                <w:szCs w:val="18"/>
                <w:b w:val="1"/>
                <w:bCs w:val="1"/>
                <w:color w:val="auto"/>
              </w:rPr>
              <w:t>2. FINANCE RECEIVABLES (CONTINUED)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60" w:type="dxa"/>
            <w:vAlign w:val="bottom"/>
            <w:gridSpan w:val="14"/>
          </w:tcPr>
          <w:p>
            <w:pPr>
              <w:jc w:val="center"/>
              <w:ind w:left="90"/>
              <w:spacing w:after="0"/>
              <w:rPr>
                <w:sz w:val="20"/>
                <w:szCs w:val="20"/>
                <w:color w:val="auto"/>
              </w:rPr>
            </w:pPr>
            <w:r>
              <w:rPr>
                <w:rFonts w:ascii="Arial" w:cs="Arial" w:eastAsia="Arial" w:hAnsi="Arial"/>
                <w:sz w:val="18"/>
                <w:szCs w:val="18"/>
                <w:color w:val="auto"/>
                <w:w w:val="90"/>
              </w:rPr>
              <w:t>Age Analysis of Past Due Finance Receivables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6"/>
          </w:tcPr>
          <w:p>
            <w:pPr>
              <w:jc w:val="center"/>
              <w:ind w:left="150"/>
              <w:spacing w:after="0"/>
              <w:rPr>
                <w:sz w:val="20"/>
                <w:szCs w:val="20"/>
                <w:color w:val="auto"/>
              </w:rPr>
            </w:pPr>
            <w:r>
              <w:rPr>
                <w:rFonts w:ascii="Arial" w:cs="Arial" w:eastAsia="Arial" w:hAnsi="Arial"/>
                <w:sz w:val="18"/>
                <w:szCs w:val="18"/>
                <w:color w:val="auto"/>
                <w:w w:val="92"/>
              </w:rPr>
              <w:t>As of March 31, 2014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6"/>
          </w:tcPr>
          <w:p>
            <w:pPr>
              <w:jc w:val="center"/>
              <w:ind w:left="150"/>
              <w:spacing w:after="0"/>
              <w:rPr>
                <w:sz w:val="20"/>
                <w:szCs w:val="20"/>
                <w:color w:val="auto"/>
              </w:rPr>
            </w:pPr>
            <w:r>
              <w:rPr>
                <w:rFonts w:ascii="Arial" w:cs="Arial" w:eastAsia="Arial" w:hAnsi="Arial"/>
                <w:sz w:val="18"/>
                <w:szCs w:val="18"/>
                <w:color w:val="auto"/>
                <w:w w:val="90"/>
              </w:rPr>
              <w:t>(unaudited)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31 – 60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61 – 90</w:t>
            </w:r>
          </w:p>
        </w:tc>
        <w:tc>
          <w:tcPr>
            <w:tcW w:w="80" w:type="dxa"/>
            <w:vAlign w:val="bottom"/>
          </w:tcPr>
          <w:p>
            <w:pPr>
              <w:spacing w:after="0"/>
              <w:rPr>
                <w:sz w:val="24"/>
                <w:szCs w:val="2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Greater than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Days Past</w:t>
            </w:r>
          </w:p>
        </w:tc>
        <w:tc>
          <w:tcPr>
            <w:tcW w:w="100" w:type="dxa"/>
            <w:vAlign w:val="bottom"/>
          </w:tcPr>
          <w:p>
            <w:pPr>
              <w:spacing w:after="0"/>
              <w:rPr>
                <w:sz w:val="18"/>
                <w:szCs w:val="18"/>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Days Past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90 Days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Total Past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Finance</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Due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Due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Due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w w:val="99"/>
              </w:rPr>
              <w:t>Current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Receivables</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427,883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21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4,766</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427,883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432,649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ACCRUED EXPENSES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3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300" w:type="dxa"/>
            <w:vAlign w:val="bottom"/>
            <w:gridSpan w:val="2"/>
          </w:tcPr>
          <w:p>
            <w:pPr>
              <w:spacing w:after="0"/>
              <w:rPr>
                <w:sz w:val="20"/>
                <w:szCs w:val="20"/>
                <w:color w:val="auto"/>
              </w:rPr>
            </w:pPr>
            <w:r>
              <w:rPr>
                <w:rFonts w:ascii="Arial" w:cs="Arial" w:eastAsia="Arial" w:hAnsi="Arial"/>
                <w:sz w:val="18"/>
                <w:szCs w:val="18"/>
                <w:color w:val="auto"/>
                <w:w w:val="96"/>
              </w:rPr>
              <w:t>Accrued expenses consist of the following:</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right="110"/>
              <w:spacing w:after="0"/>
              <w:rPr>
                <w:sz w:val="20"/>
                <w:szCs w:val="20"/>
                <w:color w:val="auto"/>
              </w:rPr>
            </w:pPr>
            <w:r>
              <w:rPr>
                <w:rFonts w:ascii="Arial" w:cs="Arial" w:eastAsia="Arial" w:hAnsi="Arial"/>
                <w:sz w:val="18"/>
                <w:szCs w:val="18"/>
                <w:color w:val="auto"/>
                <w:w w:val="92"/>
              </w:rPr>
              <w:t>March 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90"/>
              <w:spacing w:after="0"/>
              <w:rPr>
                <w:sz w:val="20"/>
                <w:szCs w:val="20"/>
                <w:color w:val="auto"/>
              </w:rPr>
            </w:pPr>
            <w:r>
              <w:rPr>
                <w:rFonts w:ascii="Arial" w:cs="Arial" w:eastAsia="Arial" w:hAnsi="Arial"/>
                <w:sz w:val="18"/>
                <w:szCs w:val="18"/>
                <w:color w:val="auto"/>
                <w:w w:val="92"/>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7"/>
              </w:rPr>
              <w:t>Accrued compensation and related sales commissions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395,018</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185,760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Accrued taxes and filing fees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5"/>
              </w:rPr>
              <w:t>Advanced customer billings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412,843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rent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Accrued other</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193,554</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1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1,533,985</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1,834,969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LINE OF CREDIT</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September 2013, the Company and Avidbank Corporate Finance, a division of Avidbank (the “Bank”) entered into a Fifth Amendment (“Fifth Amendment”) to the Loan and Security Agreement (“Loan Documents”) to change the minimum Adjusted EBITDA for covenant calculations for the four fiscal quarters ending through June 30, 2014.</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Loan Documents also contain customary events of default, including, among other things, payment defaults, breaches of covenants, and bankruptcy and insolvency events, subject to grace periods in certain instances. Upon an event of default, the Bank may declare all of the outstanding obligations of the Company under the Line of Credit and Loan Documents to be immediately due and payable, and exercise any other rights provided for under the Loan Documents.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balance due on the Line of Credit was $4,000,000 and $3,000,000 at March 31, 2014 and June 30, 2013, respectively. At March 31, 2014, $1,000,000 was available. In April 2014, the Company borrowed the remaining available credit of $1,000,000 under the existing agreement with the Bank (Note 10). During the March 31, 2014 quarter, the Company obtained a waiver from the Bank for failure to satisfy one Monthly Liquidity covenant and one Adjusted EBITDA covenant.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5. LONG-TERM DEBT</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522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23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March 31,</w:t>
            </w: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June 30,</w:t>
            </w:r>
          </w:p>
        </w:tc>
      </w:tr>
      <w:tr>
        <w:trPr>
          <w:trHeight w:val="237"/>
        </w:trPr>
        <w:tc>
          <w:tcPr>
            <w:tcW w:w="23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r>
      <w:tr>
        <w:trPr>
          <w:trHeight w:val="216"/>
        </w:trPr>
        <w:tc>
          <w:tcPr>
            <w:tcW w:w="23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531,525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345,925</w:t>
            </w:r>
          </w:p>
        </w:tc>
        <w:tc>
          <w:tcPr>
            <w:tcW w:w="12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Loan agreement</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35,261</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23,981</w:t>
            </w:r>
          </w:p>
        </w:tc>
      </w:tr>
      <w:tr>
        <w:trPr>
          <w:trHeight w:val="27"/>
        </w:trPr>
        <w:tc>
          <w:tcPr>
            <w:tcW w:w="2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300" w:type="dxa"/>
            <w:vAlign w:val="bottom"/>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566,786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369,906</w:t>
            </w:r>
          </w:p>
        </w:tc>
        <w:tc>
          <w:tcPr>
            <w:tcW w:w="12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Less current portion</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249,915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247,152</w:t>
            </w:r>
          </w:p>
        </w:tc>
        <w:tc>
          <w:tcPr>
            <w:tcW w:w="120" w:type="dxa"/>
            <w:vAlign w:val="bottom"/>
          </w:tcPr>
          <w:p>
            <w:pPr>
              <w:spacing w:after="0"/>
              <w:rPr>
                <w:sz w:val="18"/>
                <w:szCs w:val="18"/>
                <w:color w:val="auto"/>
              </w:rPr>
            </w:pPr>
          </w:p>
        </w:tc>
      </w:tr>
      <w:tr>
        <w:trPr>
          <w:trHeight w:val="27"/>
        </w:trPr>
        <w:tc>
          <w:tcPr>
            <w:tcW w:w="2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30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316,871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122,754</w:t>
            </w:r>
          </w:p>
        </w:tc>
        <w:tc>
          <w:tcPr>
            <w:tcW w:w="120" w:type="dxa"/>
            <w:vAlign w:val="bottom"/>
            <w:shd w:val="clear" w:color="auto" w:fill="CCEEFF"/>
          </w:tcPr>
          <w:p>
            <w:pPr>
              <w:spacing w:after="0"/>
              <w:rPr>
                <w:sz w:val="20"/>
                <w:szCs w:val="20"/>
                <w:color w:val="auto"/>
              </w:rPr>
            </w:pPr>
          </w:p>
        </w:tc>
      </w:tr>
      <w:tr>
        <w:trPr>
          <w:trHeight w:val="20"/>
        </w:trPr>
        <w:tc>
          <w:tcPr>
            <w:tcW w:w="2300" w:type="dxa"/>
            <w:vAlign w:val="bottom"/>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July 2013, the Company entered into a capital lease for office equipment totaling $22,036 due in 24 monthly installments of $1,033 through July 2015.</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August 2013, the Company financed a portion of the premiums for various insurance policies totaling $101,850, due in nine monthly payments through April 2014 at an interest rate of 5.27%.</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2014, the Company entered into a capital lease for network equipment totaling $195,725 due in 48 monthly installments of $4,972 through January 2018.</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2014, the Company entered into a capital lease for leasehold improvements and office furniture totaling $144,312 due in sixty monthly installments of $2,998 through April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accordance with the fair value hierarchy described in Note 1, the following table shows the fair value of the Company’s financial instruments that are required to be measured at fair value as of March 31, 2014 and June 30, 2013:</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March 31, 2014 (unaudited)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Level 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spacing w:after="0" w:line="201" w:lineRule="exact"/>
              <w:rPr>
                <w:sz w:val="20"/>
                <w:szCs w:val="20"/>
                <w:color w:val="auto"/>
              </w:rPr>
            </w:pPr>
            <w:r>
              <w:rPr>
                <w:rFonts w:ascii="Arial" w:cs="Arial" w:eastAsia="Arial" w:hAnsi="Arial"/>
                <w:sz w:val="18"/>
                <w:szCs w:val="18"/>
                <w:color w:val="auto"/>
                <w:w w:val="95"/>
              </w:rPr>
              <w:t>Common stock warrant liability, warrants exercisable at $2.6058 from</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September 18, 2011 through September 18, 2016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638,334</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638,334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June 30, 2013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Level 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192,620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tcPr>
          <w:p>
            <w:pPr>
              <w:spacing w:after="0" w:line="201" w:lineRule="exact"/>
              <w:rPr>
                <w:sz w:val="20"/>
                <w:szCs w:val="20"/>
                <w:color w:val="auto"/>
              </w:rPr>
            </w:pPr>
            <w:r>
              <w:rPr>
                <w:rFonts w:ascii="Arial" w:cs="Arial" w:eastAsia="Arial" w:hAnsi="Arial"/>
                <w:sz w:val="18"/>
                <w:szCs w:val="18"/>
                <w:color w:val="auto"/>
                <w:w w:val="95"/>
              </w:rPr>
              <w:t>Common stock warrant liability, warrants exercisable at $2.6058 from</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September 18, 2011 through September 18, 2016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650,638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650,638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2014 and June 30, 2013, the fair values of the Company’s Level 1 financial instruments were $0 and $192,620, respectively. These financial instruments consist of cash equivalents, including money market accounts. As of March 31, 2014 and June 30, 2013, the Company held no Level 2 financial instruments.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2014 and June 30, 2013, the fair values of the Company’s Level 3 financial instruments totaled $638,334 and $650,638, respectively. The Level 3 financial instrument consists of common stock warrants issued by the Company in March 2011, which include features requiring liability treatment of the warrants. The fair value of warrants issued in March 2011 to purchase 3.9 million shares of the Company’s common stock is based on valuations performed by an independent third 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changes in fair value of the Company’s Level 3 financial instruments for the nine-months ended March 31, 2014 and 2013:</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6"/>
          </w:tcPr>
          <w:p>
            <w:pPr>
              <w:jc w:val="right"/>
              <w:ind w:right="7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6"/>
          </w:tcPr>
          <w:p>
            <w:pPr>
              <w:jc w:val="right"/>
              <w:ind w:right="102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2"/>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w w:val="96"/>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(650,638)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Gain (loss) due to change in fair value of warrant liabilities, net</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12,304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(1,249,456)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(638,334)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(2,168,022)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significant deferred tax assets, a substantial amount of which result from operating loss carryforwards. The Company routinely evaluates its ability to realize the benefit of these assets to determine whether it is more likely than not that such benefit will be realized. In periods prior to March 31, 2014, the Company’s evaluation of its ability to realize the benefit from its deferred tax assets resulted in a full valuation allowance against such assets. Based upon earnings performance that the Company has achieved currently and in the recent past along with its belief that such performance will continue into future years, the Company, as of March 31, 2014, has determined that it is more likely than not that a substantial portion of its deferred tax assets will be realized and has reduced $26,713,897 of its valuation allowances recorded in prior periods.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reduction in the valuation allowance was primarily the result of the following facts at the point we reduced the allowance: (i) our net income of $854,123 for the 2013 fiscal year; (ii) our net income (excluding the benefit from income taxes related to the valuation allowance) of $873,170 during the first nine months of the 2014 fiscal year; (iii) our forecasts which show earnings sufficient to utilize these tax assets; and (iv) the nature of our recurring revenue service model which supports our forecasts of earnings.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evaluation of the amount of net deferred tax assets expected to be realized involves forecasting the amount of taxable income that will be generated in future years. We have forecasted future results using estimates management believes to be conservative in nature. As an example, in our forecast, the Company assumed that significantly fewer net connections would be added to its service per year than what it has historically achieved during each of the previous five fiscal years (fiscal year 2009 through fiscal year 2013). In connection with its recurring revenue service model, net connections are a key metric which drives our future growth, including earnings. In connection with our forecasts, we also took into account several industry analysts who have projected that demand for technology and services similar to ours will continue to grow in the markets in which we serve. Based upon our outlook for future periods, at March 31, 2014, we estimated that it was more likely than not that approximately $69 million of our net operating loss carryforwards would be utilized to offset corresponding future taxable income.</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in future periods, the Company demonstrates its ability to grow future taxable earnings in excess of the forecast described above, we will re-evaluate the need to keep some, or all, of the remaining valuation allowance of $22,833,664 on its deferred tax assets.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 (CONTINUED)</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reduction of the $26,713,897 in valuation allowances is reflected as an income tax benefit in the provision for income taxes for the three months and nine months ended March 31, 2014. The provision for income taxes for the three months ended March 31, 2014 also reflects a benefit of $13,823 which represents the provision for income taxes recorded through December 31, 2013 relating to amortization of indefinite life intangible assets and goodwill for income tax purposes and not subject to offset against finite life assets when full valuation allowances were reflected against deferred tax assets.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Three months</w:t>
            </w:r>
          </w:p>
        </w:tc>
        <w:tc>
          <w:tcPr>
            <w:tcW w:w="12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ended</w:t>
            </w: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8"/>
                <w:szCs w:val="18"/>
                <w:color w:val="auto"/>
                <w:w w:val="91"/>
              </w:rPr>
              <w:t>March 31, 2014</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w w:val="94"/>
              </w:rPr>
              <w:t>March 31,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benefit from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138,806</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855,474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Estimated annual effective tax rate</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Pr>
          <w:p>
            <w:pPr>
              <w:spacing w:after="0" w:line="201" w:lineRule="exact"/>
              <w:rPr>
                <w:sz w:val="20"/>
                <w:szCs w:val="20"/>
                <w:color w:val="auto"/>
              </w:rPr>
            </w:pPr>
            <w:r>
              <w:rPr>
                <w:rFonts w:ascii="Arial" w:cs="Arial" w:eastAsia="Arial" w:hAnsi="Arial"/>
                <w:sz w:val="18"/>
                <w:szCs w:val="18"/>
                <w:color w:val="auto"/>
              </w:rPr>
              <w:t>Reversal of provision for income taxes recorded for the six months ended</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160"/>
              <w:spacing w:after="0"/>
              <w:rPr>
                <w:sz w:val="20"/>
                <w:szCs w:val="20"/>
                <w:color w:val="auto"/>
              </w:rPr>
            </w:pPr>
            <w:r>
              <w:rPr>
                <w:rFonts w:ascii="Arial" w:cs="Arial" w:eastAsia="Arial" w:hAnsi="Arial"/>
                <w:sz w:val="18"/>
                <w:szCs w:val="18"/>
                <w:color w:val="auto"/>
              </w:rPr>
              <w:t>December 31, 2013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(13,823)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Benefit from reduction of valuation allowances</w:t>
            </w: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(26,713,897)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(26,713,897)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(26,727,720)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(26,713,897)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provision for income taxes of $6,911 and $20,734 (all deferred income taxes) was recorded for the three months and nine months ended March 31, 2013, respectively. The provision for income taxes related to amortization of indefinite life intangible assets and goodwill that are being amortized for income tax purposes but not for financial reporting purposes giving rise to basis differences in such assets between financial and income tax reporting. As of March 31, 2013 there was a full valuation allowance against the Company’s deferred tax assets.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AND COMMON STOCK WARRANTS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2010 Stock Incentive Plan, the Company recorded stock compensation expense of $4,520 and $6,024 during the three and nine-months ended March 31, 2014, respectively. Of these amounts, $6,902 was recorded for the three and nine-months ended March 31, 2014 relating to the vesting of shares for Directors in lieu of cash payment for services on the Board of Directors less a reduction of expense, of $2,382 and $878, respectively, related to the resignation of one of these Directors; no shares of Common stock were vested under this plan during the three and nine-months ended March 31, 2014.</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2011 Stock Incentive Plan, the Company recorded stock compensation expense of $1,813 and $15,553 and 0 and 51,667 shares of Common stock vested during the three and nine-months ended March 31, 2014, respectively, related to shares granted to employees and Directors of the Company in September 2011 and July 2012.</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2012 Stock Incentive Plan, the Company recorded stock compensation expense of $53,691 and $227,303 and 31,770 and 112,799 shares of Common stock vested during the three and nine-months ended March 31, 2014, respectively. Of these amounts $38,099 and $153,098 related to vesting of shares for Directors in lieu of cash payment for services on the Board of Directors and 31,770 and 67,483 shares of Common Stock vested during the three and nine-months ended March 31, 2014, respectively. For the three and nine-months ended March 31, 2014, the Company recorded stock compensation expense of $0 and an expense reduction of $5,527, respectively, related to non-executive employee incentives as certain performance targets were not achieved, and 13,300 shares of Common Stock vested in the three and nine-months ended March 31, 2014.</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7, 2013, at the recommendation of the Compensation Committee, the Board of Directors approved a stock bonus to the Company’s Chief Financial Officer (“CFO”). The CFO was awarded 21,000 vested shares of common stock of the Company as a bonus in recognition of his performance during the 2013 fiscal year. For the three and nine-months ended March 31, 2014, $0 and $38,220, respectively, was recorded as expense on account of the stock bonus under the 2012 Stock Incentive Plan.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AND COMMON STOCK WARRANTS (CONTINUED)</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November 7, 2013, at the recommendation of the Compensation Committee, the Board of Directors approved the Fiscal Year 2014 Long-Term Stock Incentive Plan (the “2014 LTI Stock Plan”). The 2014 LTI Stock Plan provides that each executive officer would be awarded shares of common stock in the event that certain metrics relating to the Company’s 2014 fiscal year would result in specified ranges of year-over-year percentage growth. At the time of the establishment of the 2014 LTI Stock Plan, the Compensation Committee believed that the attainment of the target goals under the plan would represent a significant achievement for management, and were designed to stretch the Company’s and management’s performance during the fiscal year.</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none of the minimum threshold year-over-year percentage target goals are achieved, the executive officers would not be awarded any shares. If all of the year-over-year percentage target goals are achieved, the executive officers would be awarded shares having the following value: Chief Executive Officer (“CEO”) – $341,277 (100% of base salary); and CFO – $175,698 (75% of base salary). If all of the maximum distinguished year-over-year percentage target goals are achieved, the executive officers would be awarded shares having the following value: CEO – $682,554 (200% of base salary); and CFO – $351,396 (150% of base salary).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The shares awarded under the 2014 LTI Stock Plan would vest over a three year period following issuance as follows: one-third on the first anniversary; one-third on the second anniversary; and one-third on the third anniversary. The Company recorded stock compensation expense of $15,592 and $41,512 for the three and nine-months ended March 31, 2014 on account of the 2014 LTI Stock Plan under the 2012 Stock Incentive Plan.</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and nine-month periods ended March 31, 2014, executive officers exercised their rights to cancel 13,796 and 42,354 shares of common stock awarded to them under prior employment agreements and the incentive stock bonus granted to an executive officer in September 2012 for the payment of payroll taxes, to satisfy $27,731 and $75,106 of related payroll obligations, respectively.</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summary, during the three and nine-months ended March 31, 2013, the Company recorded stock compensation expense of $149,009 and $369,233, and 57,650 and 320,300 shares of Common Stock vested, respectively; $29,375 and $44,532 for grants to the executive officers in April and September 2011, respectively; $33,334 for a special equity grant issued to an officer of the company in September 2012; $39,884 and $28,188 of expenses related to vesting of shares granted to employees in April 2012 and October 2012, respectively; $8,327, $6,594 and $28,999 of expenses related to vesting of shares granted to Directors of the Company in June 2011, March 2012 and July 2012, respectively; and $150,000 for shares issued to Company Directors in lieu of cash payment.</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2013, the Company recorded a liability of $42,200, and reduction of expense for the three and nine-months then ended of $45,537 and $42,200, respectively, for the 2013 Performance Plan.</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Warrants were exercised during the three and nine-months ended March 31, 2014, resulting in the issuance of 0 and 2,090,226 shares of Common Stock, respectively, at $1.13 per share. The Company received cash proceeds of $549,493 and $2,361,955 during the three and nine-months ended March 31, 2014. On December 31, 2013, warrants to purchase 58,527 shares of Common stock, exercisable at $1.13 per share, expired unexercised.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On September 14, 2013 warrants to purchase 903,955 shares of Common Stock, exercisable at $5.90 per share, expired unexercised.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STI PLAN</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7, 2013, at the recommendation of the Compensation Committee, the Board of Directors approved the Fiscal Year 2014 Short-Term Incentive Plan (the “2014 STI Plan”) covering its two executive officers – CEO and CFO.</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2014 STI Plan provides that each executive officer would earn a cash bonus in the event that the Company achieved during the 2014 fiscal year certain annual financial goals and certain annual specific performance goals relating to the executive officer which are to be established by the Compensation Committee. At the time of the establishment of the 2014 STI Plan, the Compensation Committee believed that the attainment of the target goals under the plan would represent a significant achievement for management, and were designed to stretch the Company’s and management’s performance during the fiscal year.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none of the minimum threshold target goals are achieved, the executive officers would not earn a cash bonus. If all of the target goals are achieved, the executive officers would earn a cash bonus as follows: CEO – $51,184 (15% of base salary); and CFO – $29,283 (12.5% of base salary). If all of the maximum distinguished target goals are achieved, the executive officers would earn a cash bonus as follows: CEO – $102,368 (30% of base salary); and CFO</w:t>
      </w:r>
    </w:p>
    <w:p>
      <w:pPr>
        <w:ind w:right="20"/>
        <w:spacing w:after="0" w:line="290" w:lineRule="auto"/>
        <w:rPr>
          <w:sz w:val="20"/>
          <w:szCs w:val="20"/>
          <w:color w:val="auto"/>
        </w:rPr>
      </w:pPr>
      <w:r>
        <w:rPr>
          <w:rFonts w:ascii="Arial" w:cs="Arial" w:eastAsia="Arial" w:hAnsi="Arial"/>
          <w:sz w:val="17"/>
          <w:szCs w:val="17"/>
          <w:color w:val="auto"/>
        </w:rPr>
        <w:t>– $58,566 (25% of base salary). Assuming the minimum threshold target goal would be achieved for a particular metric, the amount of the cash bonus to be earned would be determined on a pro rata basis, provided that the bonus would not exceed the maximum distinguished award for that metric.</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March 31, 2014, the company recorded a liability of $20,346 and expense for the three and nine-months then ended of $6,359 and $20,346, respectively, for the 2014 STI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7, 2013, the Company and its CFO, Mr. DeMedio, entered into an amendment to the employment agreement. The amendment to Mr. DeMedio’s employment agreement (the “DeMedio Amendment”) provides that (i) if following a change in control of the Company (as defined in the DeMedio Amendment) Mr. DeMedio would terminate his employment with the Company for good reason (as defined in the DeMedio Amendment), or (ii) if the Company would terminate his employment at any time without cause (as defined in the DeMedio Amendment), or (iii) if the Company would provide Mr. DeMedio with a notice of non-renewal of his employment agreement, then the Company would pay to him a lump sum equal to one times his base salary on or before the termination of his employment and all restricted stock awards would become vested as of the date of termination.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April 2014, the Company borrowed the remaining available credit of $1,000,000 under the existing agreement with the Bank.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20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or debt financing in order to sustain its operations if an unexpected or unusual event would occur;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Company’s current or future customers purchase, rent or utilize ePort devices or our other products in the future at levels currently anticipated by our Company, including appropriate diversification resulting from sources other than our JumpStart Program;</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expenses;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revenues and expenses given the developing and unpredictable market for its products;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revenues are derived;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 and service offerings such as ePort QuickConnect, mobile payment and loyalty and prepaid programs;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 to operate without infringing the proprietary rights of others.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2014 compared to the three months ended March 31, 2013</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Results for the quarter ended March 31, 2014 continued to demonstrate growth and improvements in the Company’s operations as compared to the quarter ended March 31, 2013. Highlights of year over year improvements include:</w:t>
      </w:r>
    </w:p>
    <w:p>
      <w:pPr>
        <w:spacing w:after="0" w:line="19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$26.7 million of deferred tax assets recognized;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Recurring license and transaction fee revenue up 19% to $9.0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connections to its ePort Connect service as of March 31, 2014 up 24% as compared to March 31, 2013.</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for the quarter ended March 31, 2014 were $10,443,932, consisting of $8,999,689 of license and transaction fees and $1,444,243 of equipment sales, compared to $8,980,804 for the quarter ended March 31, 2013, consisting of $7,562,589 of license and transaction fees and $1,418,215 of equipment sales. The increase in total revenue of $1,463,128, or 16%, was primarily due to an increase in license and transaction fees of $1,437,100, or 19%, and an increase in equipment sales of $26,028 or 2%, from the same period in the prior fiscal year.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license and transaction fees, which represented 86% of total revenue for the quarter ended March 31, 2014, is primarily attributable to monthly ePort Connect® service fees and transaction processing fees. Highlights for the quarter ended March 31, 2014 included:</w:t>
      </w:r>
    </w:p>
    <w:p>
      <w:pPr>
        <w:spacing w:after="0" w:line="197" w:lineRule="exact"/>
        <w:rPr>
          <w:sz w:val="20"/>
          <w:szCs w:val="20"/>
          <w:color w:val="auto"/>
        </w:rPr>
      </w:pPr>
    </w:p>
    <w:p>
      <w:pPr>
        <w:ind w:left="860" w:hanging="298"/>
        <w:spacing w:after="0" w:line="258"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Adding 20,000 net connections to our service, consisting of 22,000 new connections to our ePort Connect service in the quarter, offset by 2,000 deactivations, compared to 10,000 net connections added in the same quarter of fiscal 2013;</w:t>
      </w:r>
    </w:p>
    <w:p>
      <w:pPr>
        <w:spacing w:after="0" w:line="1" w:lineRule="exact"/>
        <w:rPr>
          <w:rFonts w:ascii="Arial" w:cs="Arial" w:eastAsia="Arial" w:hAnsi="Arial"/>
          <w:sz w:val="18"/>
          <w:szCs w:val="18"/>
          <w:color w:val="auto"/>
        </w:rPr>
      </w:pPr>
    </w:p>
    <w:p>
      <w:pPr>
        <w:ind w:left="840" w:right="20" w:hanging="278"/>
        <w:spacing w:after="0" w:line="250"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March 31, 2014, the Company had approximately 244,000 connections to the ePort Connect service compared to approximately 196,000 connections to the ePort Connect service as of March 31, 2013, an increase of 48,000 connections, or 24%;</w:t>
      </w:r>
    </w:p>
    <w:p>
      <w:pPr>
        <w:ind w:left="840" w:hanging="278"/>
        <w:spacing w:after="0" w:line="250"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the number of small-ticket, credit/debit transactions and dollars handled for the quarter ended March 31, 2014 of 32% and 36%, respectively, compared to the same period a year ago; and</w:t>
      </w:r>
    </w:p>
    <w:p>
      <w:pPr>
        <w:ind w:left="840" w:hanging="278"/>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ePort Connect customer base grew 47% from March 31, 2013.</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license and transaction fees was due to the growth in ePort Connect service fees and transaction dollars that stems from the increased number of connections to our ePort Connect service. As of March 31, 2014, the Company had approximately 244,000 connections to the ePort Connect service as compared to approximately 196,000 connections to the ePort Connect service as of March 31, 2013. During the quarter ended March 31, 2014, the Company added approximately 20,000 net connections to our network compared to approximately 10,000 net connections added during the quarter ended March 31, 2013.</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Pursuant to its agreements with customers, in addition to ePort Connect service fees the Company earns transaction processing fees equal to a percentage of the dollar volume processed by the Company. During the quarter ended March 31, 2014, the Company processed approximately 42.8 million transactions totaling approximately $73.9 million compared to approximately 32.4 million transactions totaling approximately $54.5 million during the quarter ended March 31, 2013, an increase of approximately 32% in the number of transactions and approximately 36% in the value of transactions processed.</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New customers added to our ePort® Connect service during the quarter ended March 31, 2014 totaled 575, bringing the total number of customers to approximately 6,650 as of March 31, 2014. The Company added approximately 425 new customers in the quarter ended March 31, 2013. By comparison, the Company had approximately 4,525 customers as of March 31, 2013, representing 2,125 customers added, or a 47% increase during the past twelve months. The Company views the total installed base of machines managed by its customers that have yet to transition to cashless payment, as a key strategic opportunity for future growth in connections. We count a customer as a new customer upon the signing of their ePort Connect service agreement. When a reseller sells our ePort, we count a customer as a new customer upon the signing of the applicable services agreement with the customer.</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$26,028 increase in equipment revenue was a result of reversing approximately $152,000 of rebate charges from a prior period, offset by a decrease of approximately $110,000 in sales of Energy Misers and by a decrease of approximately $16,000 in other product sales.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Cost of sales consisted of license and transaction fee related costs of $5,785,721 and $4,525,244 and equipment costs of $660,423 and $774,221 for the quarters ended March 31, 2014 and 2013, respectively. The increase in total cost of sales of $1,146,679, or 22%, was primarily due to an increase in cost of services of $1,260,477 that stemmed from the greater number of connections to the Company’s ePort Connect service and increases in transaction dollars processed by those connections, offset by a decrease in cost of equipment sales of $113,798, or 15%, which was primarily due to selling fewer ePort devices as over 65% of the current quarter’s new connections came from the Company’s JumpStart Program.</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7" w:name="page18"/>
    <w:bookmarkEnd w:id="17"/>
    <w:p>
      <w:pPr>
        <w:jc w:val="both"/>
        <w:spacing w:after="0" w:line="255" w:lineRule="auto"/>
        <w:rPr>
          <w:sz w:val="20"/>
          <w:szCs w:val="20"/>
          <w:color w:val="auto"/>
        </w:rPr>
      </w:pPr>
      <w:r>
        <w:rPr>
          <w:rFonts w:ascii="Arial" w:cs="Arial" w:eastAsia="Arial" w:hAnsi="Arial"/>
          <w:sz w:val="18"/>
          <w:szCs w:val="18"/>
          <w:color w:val="auto"/>
        </w:rPr>
        <w:t>Gross profit (“GP”) for the quarter ended March 31, 2014 was $3,997,788 compared to GP of $3,681,339 from the same quarter in the prior fiscal year, an increase of $316,449, or 9%, of which $176,623 represents increases attributable to license and transaction fees GP and $139,826 of greater equipment sales GP. Overall gross profit margins decreased from 41% to 38% due to a decrease in license and transaction fee margins to 36%, from 40% in the prior corresponding fiscal quarter, offset by an increase in equipment sales margins to 54% from 45% in the prior corresponding fiscal quarter. The decrease in license and transaction fees margins is largely attributable to approximately 23,000 deactivations since March 31, 2013, as well as certain sales incentives. The increase in equipment revenue fees margins is largely attributable to the reversal of the $152,000 rebate discussed above and non-recurring service revenues.</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(“SG&amp;A”) expenses of $3,479,300 for the quarter ended March 31, 2014, increased by $476,069, or 16%, from the same quarter in the prior fiscal year. The overall increase in SG&amp;A is attributable to increases of approximately $407,000 in employee compensation and benefits expense and $72,000 in travel related expense predominately as a result of increased sales and marketing related efforts.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and expense for the quarter ended March 31, 2014, primarily consisted of a reduction of $26.7 million of the valuation allowance we had on our deferred tax assets as the Company believes that it is more likely than not it will be able to utilize net operating loss carryforwards to offset future taxable earnings. Also included is $168,897 of non-cash expense for the change in the fair value of the Company’s warrant liabilities. The primary factor affecting the change in fair value is the increase in the Black-Scholes value of the warrants from December 31, 2013 to March 31, 2014, which factored in the increase in the Company’s stock price during that period.</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quarter ended March 31, 2014 resulted in net income of $26,866,526 compared to a net loss of $1,015,943 for the quarter ended March 31, 2013. Included in net income for the quarter ended March 31, 2014 is a benefit for income taxes of $26,727,720. After preferred dividends of $332,226 for each fiscal quarter, net income (loss) applicable to common shareholders was $26,534,300 and $(1,348,169) for the quarters ended March 31, 2014 and 2013, respectively. For the quarter ended March 31, 2014, net earnings per common share, basic and diluted, was $0.75, compared to net loss per common share, basic and diluted, of $(0.04), for the prior corresponding fiscal quarter.</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Non-GAAP net income was $321,526, compared to non-GAAP net income of $293,011 for the quarters ended March 31, 2014 and 2013, respectively. Non-GAAP net loss per common share, basic and diluted, were $0.00 for each of the quarters ended March 31, 2014 and 2013. Management believes that non-GAAP net income and non-GAAP net earnings per common share are important measures of USAT’s business. Management uses the aforementioned non-GAAP measures to monitor and evaluate ongoing operating results and trends and to gain an understanding of our comparative operating performance. We believe that these non-GAAP financial measures serve as useful metrics for our management and investors because they enable a better understanding of the long-term performance of our business and facilitate comparisons of our operating results over multiple periods, and when taken together with the corresponding GAAP (United States’ Generally Accepted Accounting Principles) financial measures and our reconciliations, enhance investors’ overall understanding of our current financial performance.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GAAP net income (loss) to Non-GAAP net income for the quarters ended March 31, 2014 and 2013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26,866,526</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(1,015,943)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Non-GAAP adjustments: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 adjustment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168,897</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1,308,954</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Benefit from reduction of valuation allowances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(26,713,897)</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160" w:type="dxa"/>
            <w:vAlign w:val="bottom"/>
            <w:vMerge w:val="continue"/>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321,526</w:t>
            </w:r>
          </w:p>
        </w:tc>
        <w:tc>
          <w:tcPr>
            <w:tcW w:w="180" w:type="dxa"/>
            <w:vAlign w:val="bottom"/>
            <w:tcBorders>
              <w:right w:val="single" w:sz="8" w:color="CCEEFF"/>
            </w:tcBorders>
            <w:shd w:val="clear" w:color="auto" w:fill="CCEEFF"/>
          </w:tcPr>
          <w:p>
            <w:pPr>
              <w:spacing w:after="0"/>
              <w:rPr>
                <w:sz w:val="22"/>
                <w:szCs w:val="22"/>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293,011</w:t>
            </w:r>
          </w:p>
        </w:tc>
        <w:tc>
          <w:tcPr>
            <w:tcW w:w="10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26,866,526</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(1,015,943)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Non-GAAP net income</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321,526</w:t>
            </w:r>
          </w:p>
        </w:tc>
        <w:tc>
          <w:tcPr>
            <w:tcW w:w="18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293,011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Cumulative preferred dividends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(332,226)</w:t>
            </w:r>
          </w:p>
        </w:tc>
        <w:tc>
          <w:tcPr>
            <w:tcW w:w="3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(332,226)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vMerge w:val="continue"/>
          </w:tcPr>
          <w:p>
            <w:pPr>
              <w:spacing w:after="0"/>
              <w:rPr>
                <w:sz w:val="20"/>
                <w:szCs w:val="20"/>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applicable to common shares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26,534,300</w:t>
            </w:r>
          </w:p>
        </w:tc>
        <w:tc>
          <w:tcPr>
            <w:tcW w:w="18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(1,348,169)</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9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Non-GAAP net loss applicable to common shares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(10,700)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(39,215)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 earnings (loss) per common share (basic and diluted)</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0.75</w:t>
            </w:r>
          </w:p>
        </w:tc>
        <w:tc>
          <w:tcPr>
            <w:tcW w:w="18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Non-GAAP net loss per common share (basic and diluted)</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number of common shares outstanding (basic and diluted)</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35,504,911</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32,821,345</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7140" w:type="dxa"/>
            <w:vAlign w:val="bottom"/>
            <w:tcBorders>
              <w:bottom w:val="single" w:sz="8" w:color="DCDCDC"/>
            </w:tcBorders>
            <w:gridSpan w:val="2"/>
          </w:tcPr>
          <w:p>
            <w:pPr>
              <w:jc w:val="right"/>
              <w:ind w:right="1250"/>
              <w:spacing w:after="0"/>
              <w:rPr>
                <w:sz w:val="20"/>
                <w:szCs w:val="20"/>
                <w:color w:val="auto"/>
              </w:rPr>
            </w:pPr>
            <w:r>
              <w:rPr>
                <w:rFonts w:ascii="Arial" w:cs="Arial" w:eastAsia="Arial" w:hAnsi="Arial"/>
                <w:sz w:val="18"/>
                <w:szCs w:val="18"/>
                <w:color w:val="auto"/>
              </w:rPr>
              <w:t>18</w:t>
            </w:r>
          </w:p>
        </w:tc>
        <w:tc>
          <w:tcPr>
            <w:tcW w:w="4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2"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As used herein, non-GAAP net income represents GAAP net income (loss) excluding costs or benefits relating to any adjustment for fair value of warrant liabilities and changes in the Company’s valuation allowances for taxes. As used herein, non-GAAP net loss per common share is calculated by dividing non-GAAP net loss applicable to common shares by the weighted average number of shares outstanding.</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For the quarter ended March 31, 2014, the Company had Adjusted EBITDA of $1,839,080, compared to $1,688,438 for the quarter ended March 31,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GAAP net income (loss) to Adjusted EBITDA for the quarters ended March 31, 2014 and 2013 is as follows: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26,866,526</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(1,015,943)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Less interest income</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Plus interest expense</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 (benefit)</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(26,727,720)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Plus depreciation expense</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1,413,521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1,003,610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Plus amortization expense</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Plus change in fair value of warrant liabilities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1,308,954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Plus stock-based compensation</w:t>
            </w:r>
          </w:p>
        </w:tc>
        <w:tc>
          <w:tcPr>
            <w:tcW w:w="2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60,024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149,009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1,839,080</w:t>
            </w:r>
          </w:p>
        </w:tc>
        <w:tc>
          <w:tcPr>
            <w:tcW w:w="1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1,688,438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used herein, Adjusted EBITDA represents net income (loss) before interest income, interest expense, income taxes, depreciation, amortization, change in fair value of warrant liabilities and stock-based compensation expense. We have excluded the non-operating item, change in fair value of warrant liabilities, because it represents a non-cash charge that is not related to the Company’s operations. We have excluded the non-cash expense, stock-based compensation, as it does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Nine-months ended March 31, 2014 compared to nine-months ended March 31, 2013</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Results for the nine-month period ended March 31, 2014 continued to demonstrate growth and improvements in the Company’s operations as compared to the nine-month period ended March 31, 2013. Highlights of year over year improvements include:</w:t>
      </w:r>
    </w:p>
    <w:p>
      <w:pPr>
        <w:spacing w:after="0" w:line="19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$26.7 million of deferred tax assets recognized;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revenue up 19% to $31.1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Recurring license and transaction fee revenue up 20% to $26.2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ePort Connect service base as of March 31, 2014 up 24% as compared to March 31, 2013.</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for the nine-month period ended March 31, 2014 were $31,137,504, consisting of $26,177,818 of license and transaction fees and $4,959,686 of equipment sales, compared to $26,255,403 for the nine-month period ended March 31, 2013, consisting of $21,872,187 of license and transaction fees and $4,383,216 of equipment sales. The increase in total revenue of $4,882,101, or 19%, was primarily due to an increase in license and transaction fees of $4,305,631, or 20%, and an increase in equipment sales of $576,470 or 13%, from the same period in the prior fiscal year.</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Revenue from license and transaction fees, which represented 84% of total revenue for the nine-month period ended March 31, 2014, is primarily attributable to monthly ePort Connect® service fees and transaction processing fees. Highlights for the nine-month period ended March 31, 2014 included:</w:t>
      </w:r>
    </w:p>
    <w:p>
      <w:pPr>
        <w:spacing w:after="0" w:line="151" w:lineRule="exact"/>
        <w:rPr>
          <w:sz w:val="20"/>
          <w:szCs w:val="20"/>
          <w:color w:val="auto"/>
        </w:rPr>
      </w:pPr>
    </w:p>
    <w:p>
      <w:pPr>
        <w:jc w:val="both"/>
        <w:ind w:left="1060" w:hanging="485"/>
        <w:spacing w:after="0" w:line="256"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Adding 30,000 net connections to our service, consisting of 53,000 new connections to our ePort Connect service in the nine-month period ended March 31, 2014, offset by 23,000 deactivations, compared to 32,000 net connections added in the same nine-month period of fiscal 2013;</w:t>
      </w:r>
    </w:p>
    <w:p>
      <w:pPr>
        <w:ind w:left="1060" w:hanging="485"/>
        <w:spacing w:after="0" w:line="250"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the number of small-ticket, credit/debit transactions and dollars handled for the nine-month period ended March 31, 2014 of 31% and 35%, respectively, compared to the same period a year ago; and</w:t>
      </w:r>
    </w:p>
    <w:p>
      <w:pPr>
        <w:ind w:left="1060" w:hanging="485"/>
        <w:spacing w:after="0" w:line="261"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1,600 ePort Connect customers added in the first nine-months, 31% more than were added in the same period a year ago, for 6,650 customers at March 31, 2014.</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license and transaction fees was due to the growth in ePort Connect service fees and transaction dollars that stems from the increased number of connections to our ePort Connect service. As of March 31, 2014, the Company had approximately 244,000 connections to the ePort Connect service as compared to approximately 196,000 connections to the ePort Connect service as of March 31, 2013. During the nine-month period ended March 31, 2014, the Company added approximately 30,000 net connections to our network compared to approximately 32,000 net connections added during the nine-month period ended March 31, 2013.</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its agreements with customers, in addition to ePort Connect service fees the Company earns transaction processing fees equal to a percentage of the dollar volume processed by the Company. During the nine-month period ended March 31, 2014, the Company processed approximately 121.5 million transactions totaling approximately $210.9 million compared to approximately 92.6 million transactions totaling approximately $156.3 million during the nine-month period ended March 31, 2013, an increase of approximately 31% in the number of transactions and approximately 35% in the value of transactions processed.</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 customers added to our ePort® Connect service during the nine-month period ended March 31, 2014 totaled 1,600, bringing the total number of customers to approximately 6,650 as of March 31, 2014. The Company added approximately 1,225 new customers in the nine-month period ended March 31, 2013. By comparison, the Company had approximately 4,525 customers as of March 31, 2013, representing 2,125 customers added, or a 47% increase during the past twelve months. The Company views the total installed base of machines managed by its customers that have yet to transition machines to cashless payment, as a key strategic opportunity for future growth in connections. We count a customer as a new customer upon the signing of their ePort Connect service agreement. When a reseller sells our ePort, we count a customer as a new customer upon the signing of the applicable services agreement with the customer.</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$576,470 increase in equipment sales was a result of $180,000 increase in sales of ePort® products, $375,000 of revenue recorded under our Isis Marketing Agreement and $152,000 reversal of rebate charges originally recorded in a prior period, offset by a decrease of approximately $116,000 in the sales of Energy Miser products and by a decrease of approximately $40,000 in other product sales.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sales consisted of license and transaction fee related costs of $16,690,569 and $13,080,816 and equipment costs of $3,036,243 and $2,748,785 for the nine-months ended March 31, 2014 and 2013, respectively. The increase in total cost of sales of $3,897,211, or 25%, was primarily due to an increase in cost of services of $3,609,753, or 28%, that stemmed from the greater number of connections to the Company’s ePort Connect service and increases in transaction dollars processed by those connections. The increase in total cost of sales was also attributable to an increase in cost of equipment sales of $287,458, or 10%, which was primarily due to an increase in sales of ePort® products, as a result of increased sales during the nine-month period ended March 31, 2014 compared to March 31, 2013.</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GP for the nine-month period ended March 31, 2014 was $11,410,692 compared to GP of $10,425,802 for the previous corresponding nine-month period, an increase of $984,890, or 9%, of which $695,878 represents increases attributable to license and transaction fees GP and $289,012 of greater equipment sales GP. Overall gross profit margins decreased from 40% to 37% due to a decrease in license and transaction fees margins to 36%, from 40% in the previous corresponding nine-month period and, offset by an increase in equipment sales margins to 39% from 37% in the previous corresponding nine-month period. The decrease in license and transaction fees margins is largely attributable to approximately 23,000 deactivations since March 31, 2013, as well as certain sales incentives. The increase in equipment revenue fees margins is largely attributable to the reversal of the $152,000 rebate discussed above and non-recurring service revenues.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(“SG&amp;A”) expenses of $9,968,212 for the nine-month period ended March 31, 2014, increased by $1,050,182, or 12%, from the same nine-month period in the prior fiscal year. Included in the $8,918,030 for the nine-month period ended March 31, 2013 was approximately $328,000 in charges related to the 2012 proxy contest, related litigation and settlement.</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Exclusive of these charges, SG&amp;A increased approximately $1,378,000, or 16%, in the nine-month period ended March 31, 2014 compared to the same nine-month period a year ago. The overall increase in SG&amp;A is attributable to increases of approximately $794,000 in employee compensation and benefits expense; $222,000 in professional services expense; $210,000 in travel related expenses; and smaller, numerous, net increases in other expenses totaling $152,000.</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and expense for the nine-month period ended March 31, 2014, primarily consisted of a reduction of $26.7 million of the valuation allowance we had on our deferred tax assets as the Company believes that it is more likely than not it will be able to utilize net operating loss carryforwards to offset future taxable earnings.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Also included is $182,315 of interest expense and $12,304 of non-cash gain for the change in the fair value of the Company’s warrant liabilities. The primary factor affecting the change in fair value is the decrease in the Black-Scholes value of the warrants from June 30, 2013 to March 31, 2014, which factored in the increase in the Company’s stock price as well as a decrease in its volatility during that period.</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nine-month period ended March 31, 2014 resulted in net income of $27,569,371 compared to a net loss of $823,044 for the nine-month period ended March 31, 2013, an improvement of $28,392,415. Included in net income for the nine-months ended March 31, 2014 is a benefit for income taxes of $26,713,897. After preferred dividends of $664,452 in each nine-month period, net income (loss) applicable to common shares was $26,904,919 and $(1,487,496) for the nine-months ended March 31, 2014 and 2013, respectively. As a result, net earnings per common share, basic and diluted, were $0.78 for the nine-month period ended March 31, 2014, compared to net loss per common share, basic and diluted, of $(0.05) for the prior corresponding nine-month period.</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Non-GAAP net income was $843,170, compared to non-GAAP net income of $754,412 for the nine-month periods ended March 31, 2014 and 2013, respectively. Non-GAAP net earnings per common share, basic and diluted, were $0.01 for the nine-month period ended March 31, 2014, compared to Non-GAAP net earnings per common share, basic and diluted, of $0.00 for the prior corresponding nine-month period. Management believes that non-GAAP net income and non-GAAP net earnings per common share are important measures of USAT’s business. Management uses the aforementioned non-GAAP measures to monitor and evaluate ongoing operating results and trends and to gain an understanding of our comparative operating performance. We believe that these non-GAAP financial measures serve as useful metrics for our management and investors because they enable a better understanding of the long-term performance of our business and facilitate comparisons of our operating results over multiple periods, and when taken together with the corresponding GAAP (United States’ Generally Accepted Accounting Principles) financial measures and our reconciliations, enhance investors’ overall understanding of our current and future financial performance.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 reconciliation of GAAP net income (loss) to Non-GAAP net income for the nine-months ended March 31, 2014 and 2013 is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27,569,371</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Non-GAAP adjustments: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8"/>
                <w:szCs w:val="18"/>
                <w:color w:val="auto"/>
              </w:rPr>
              <w:t>Selling, general and administrative: Proxy related costs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328,000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 adjustment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(12,304)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1,249,456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Benefit from reduction of valuation allowances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(26,713,897)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843,170</w:t>
            </w:r>
          </w:p>
        </w:tc>
        <w:tc>
          <w:tcPr>
            <w:tcW w:w="1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754,412</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27,569,371</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Non-GAAP net income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843,170</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754,412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Cumulative preferred dividends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(664,452)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(664,452)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applicable to common shares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26,904,919</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(1,487,496)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Non-GAAP net income applicable to common shares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178,718</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89,960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earnings (loss) per common share (basic and diluted)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0.78</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Non-GAAP net earnings per common share (basic and diluted)</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34,313,396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32,690,374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used herein, non-GAAP net income represents GAAP net income (loss) excluding costs relating to the proxy contest and any adjustment for fair value of warrant liabilities and changes in the Company’s valuation allowances for taxes. As used herein, non-GAAP net earnings per common share is calculated by dividing non-GAAP net income applicable to common shares by the weighted average number of shares outstanding, and where diluted shares are required, adds back the preferred dividend since the conversion of the preferred shares are accounted for in the diluted share count.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2" w:name="page23"/>
    <w:bookmarkEnd w:id="22"/>
    <w:p>
      <w:pPr>
        <w:jc w:val="both"/>
        <w:spacing w:after="0" w:line="342" w:lineRule="auto"/>
        <w:rPr>
          <w:sz w:val="20"/>
          <w:szCs w:val="20"/>
          <w:color w:val="auto"/>
        </w:rPr>
      </w:pPr>
      <w:r>
        <w:rPr>
          <w:rFonts w:ascii="Arial" w:cs="Arial" w:eastAsia="Arial" w:hAnsi="Arial"/>
          <w:sz w:val="16"/>
          <w:szCs w:val="16"/>
          <w:color w:val="auto"/>
        </w:rPr>
        <w:t>For the nine-month period ended March 31, 2014, the Company had Adjusted EBITDA of $5,185,086, compared to $4,171,867 for the nine-month period ended March 31, 2013. Reconciliation of GAAP net income (loss) to Adjusted EBITDA for the nine-months ended March 31, 2014 and 2013 is as follows:</w:t>
      </w:r>
    </w:p>
    <w:p>
      <w:pPr>
        <w:spacing w:after="0" w:line="12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27,569,371</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(823,044)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Less interest income</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Plus interest expense</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 (benefit)</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(26,713,897)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Plus depreciation expense</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3,910,110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2,742,196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Plus amortization expense</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Plus change in fair value of warrant liabilities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1,249,456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Plus stock-based compensation</w:t>
            </w:r>
          </w:p>
        </w:tc>
        <w:tc>
          <w:tcPr>
            <w:tcW w:w="2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248,880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369,233</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5,185,086</w:t>
            </w:r>
          </w:p>
        </w:tc>
        <w:tc>
          <w:tcPr>
            <w:tcW w:w="1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4,171,867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used herein, Adjusted EBITDA represents net income (loss) before interest income, interest expense, income taxes, depreciation, amortization, change in fair value of warrant liabilities and stock-based compensation expense. We have excluded the non-operating item, change in fair value of warrant liabilities, because it represents a non-cash charge that is not related to the Company’s operations. We have excluded the non-cash expense, stock-based compensation, as it does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nine-month period ended March 31, 2014, net cash provided by operating activities was $4,817,958 as a result of a net income of $27,569,371, non-cash net benefit of $22,469,337 and net cash used in the change in operating assets and liabilities of $282,076. Of the $22,469,337 of net non-cash items, the most significant during the nine-month period was the benefit for income taxes of $26,727,720. In addition to the benefit for income taxes, there was a small benefit related to the decrease in the fair value of warrant liabilities, offset by charges related to depreciation and amortization of assets and the vesting and issuance of common stock for employee and director compensation. The cash used in the $282,076 change in the Company’s operating assets and liabilities was primarily the result of decreases in accounts payable and accrued expenses, offset by decreases in accounts and finance receivables, inventory and an increase in other assets.</w:t>
      </w:r>
    </w:p>
    <w:p>
      <w:pPr>
        <w:spacing w:after="0" w:line="2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nine-month period ended March 31, 2014, the Company used $7,241,647 for investing activities of which $7,211,661 related to the purchase of equipment for the JumpStart Program, including approximately $441,000 for the change in JumpStart equipment on hand in the nine-month period ended March 31, 2014. Approximately 55% of gross new connections added during the nine-months ended March 31, 2014 were from our JumpStart program.</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obtained net cash of $3,019,806 through financing activities, $1,000,000 of which are net proceeds from the line of credit and cash proceeds of $2,361,955 from warrant exercises, offset by $267,043 for the repayment of debt and $75,106 related to the cancellation of common stock by our executive officers to satisfy income tax liability due in connection with common stock awards.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3" w:name="page24"/>
    <w:bookmarkEnd w:id="23"/>
    <w:p>
      <w:pPr>
        <w:jc w:val="both"/>
        <w:spacing w:after="0" w:line="293" w:lineRule="auto"/>
        <w:rPr>
          <w:sz w:val="20"/>
          <w:szCs w:val="20"/>
          <w:color w:val="auto"/>
        </w:rPr>
      </w:pPr>
      <w:r>
        <w:rPr>
          <w:rFonts w:ascii="Arial" w:cs="Arial" w:eastAsia="Arial" w:hAnsi="Arial"/>
          <w:sz w:val="16"/>
          <w:szCs w:val="16"/>
          <w:color w:val="auto"/>
        </w:rPr>
        <w:t>We experienced losses from inception through June 30, 2012, with net income for the year ended June 30, 2013 and net income continuing through the nine-months ended March 31, 2014. Based upon earnings performance that the Company has achieved currently and in the recent past along with its belief that such performance will continue into future years, the Company, as of March 31, 2014, has determined that it is more likely than not that a substantial portion of its deferred tax assets will be realized and has reduced $26,713,897 of its valuation allowances recorded in prior periods. Our accumulated deficit through March 31, 2014 is composed of cumulative losses amounting to approximately $170,740,000, preferred dividends converted to common stock of approximately $2,690,000, and charges incurred for the open-market purchases of preferred stock of approximately $150,000.</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continued growth in connections to our ePort Connect service that has resulted in the strong growth in recurring revenue from license and transaction fees and the substantial improvement in GP dollars, the operating activities of the business are now providing cash to fund operations of the Company.</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Adjusted EBITDA for the nine-month period ended March 31, 2014 was $5,185,086 compared to $4,171,867 for the same nine-month period a year ago. The Company reports Adjusted EBITDA to reflect the liquidity of operations and a measure of operational cash flow. Adjusted EBITDA excludes significant non-cash charges such as depreciation, amortization of intangibles, fair value warrant liability changes, stock-based compensation from net income (loss) and provision or benefit for income taxes. We believe that, provided there are no material unusual or unanticipated non-operational expenses, achieving positive Adjusted EBITDA is sustainable, and will continue to increase, as our connection base increases.</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Non-GAAP net income (see above reconciliation), for the nine-month period ended March 31, 2014 was $843,170 compared to $754,412 for the same nine-month period a year ago. Non-GAAP net income excludes significant non-cash charges such as fair value warrant liability changes and the one-time benefit for income taxes related to the valuation allowance change. We believe based upon earnings performance that the Company has achieved currently and in the recent past, and the subscription based nature of our business model, we believe such performance will continue into future years.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nine-months ended March 31, 2014, cash provided by operating activities was $2,162,782 and $4,817,958, respectively. The Company believes it will continue to generate positive cash flow from operations during the remainder of the 2014 fiscal year, and into the 2015 fiscal year, as the Company adds connections to its existing base of connections, provided there are no material unanticipated or unusual non-operational events. The largest use of cash is for ePorts purchased for use in the Company’s JumpStart Program.</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continues to anticipate using the JumpStart Program for approximately 55% to 60% of its anticipated gross connections as a result of the potential growth in connections from the kiosk market, where many customers only require our Quick Connect™ Web service. The Company has efforts under way in sales, marketing, development and partnering efforts that are focused on securing connections from sources other than JumpStart, such as QuickConnect Web service, ePort Mobile and direct sales of its ePort hardware device.</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had three sources of cash available to fund and grow the business as of March 31, 2014: (1) cash and cash equivalents on hand of approximately $6.6 million; (2) the anticipated cash generated from operations; and (3) $1 million available on the line of credit with Avidbank, provided we continue to satisfy the various covenants set forth in the loan agreement. Although the line of credit matures on June 21, 2014, we anticipate that we will be able to extend the maturity date and/or increase the amount available under the line of credit or be able to procure a new line of credit to replace the existing line of credit. In addition, the Company believes the capital markets, debt and equity, would be available to provide additional sources of cash, if required.</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Therefore, the Company believes its existing cash and cash equivalents and available cash resources would provide sufficient funds through at least July 1, 2014 in order to meet its cash requirements, including payment of its accrued expenses and payables, any cash resources to be utilized for the JumpStart Program, other anticipated capital expenditures, and the repayment of long-term debt.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exposure to market risks for interest rate changes is not significant. Interest rates on its long-term debt are generally fixed and its investments in cash equivalents are not significant. The Company has no exposure to market risks related to Available-for-sale securities. Market risks related to fluctuations of foreign currencies are not significant and the Company has no derivative instruments.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principal executive officer and principal financial officer have evaluated the Company’s disclosure controls and procedures as of March 31, 2014. Based on this evaluation, they conclude that the disclosure controls and procedures were effective to ensure that the information required to be disclosed by the Company in the reports that it files or submits under the Securities Exchange Act of 1934 is recorded, processed, summarized and reported, within the time periods specified in the Commission’s rules and forms and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during the quarter ended March 31, 2014 in the Company’s internal controls over financial reporting that have materially affected, or are reasonably likely to materially affect,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There were no defaults on any senior securities. However, on February 1, 2014 an additional $332,226 of dividends were accrued on our cumulative Series A Convertible Preferred Stock. The total accrued and unpaid dividends on our Series A Convertible Preferred Stock as of March 31, 2014 are $12,260,776. The dividend accrual dates for our Preferred Stock are February 1 and August 1. The annual cumulative dividend on our Preferred Stock is $1.50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Exhibit</w:t>
            </w:r>
          </w:p>
        </w:tc>
        <w:tc>
          <w:tcPr>
            <w:tcW w:w="1050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Number</w:t>
            </w:r>
          </w:p>
        </w:tc>
        <w:tc>
          <w:tcPr>
            <w:tcW w:w="10500" w:type="dxa"/>
            <w:vAlign w:val="bottom"/>
          </w:tcPr>
          <w:p>
            <w:pPr>
              <w:ind w:left="340"/>
              <w:spacing w:after="0"/>
              <w:rPr>
                <w:sz w:val="20"/>
                <w:szCs w:val="20"/>
                <w:color w:val="auto"/>
              </w:rPr>
            </w:pPr>
            <w:r>
              <w:rPr>
                <w:rFonts w:ascii="Arial" w:cs="Arial" w:eastAsia="Arial" w:hAnsi="Arial"/>
                <w:sz w:val="18"/>
                <w:szCs w:val="18"/>
                <w:color w:val="auto"/>
              </w:rPr>
              <w:t>Description</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tcPr>
          <w:p>
            <w:pPr>
              <w:ind w:left="340"/>
              <w:spacing w:after="0"/>
              <w:rPr>
                <w:sz w:val="20"/>
                <w:szCs w:val="20"/>
                <w:color w:val="auto"/>
              </w:rPr>
            </w:pPr>
            <w:r>
              <w:rPr>
                <w:rFonts w:ascii="Arial" w:cs="Arial" w:eastAsia="Arial" w:hAnsi="Arial"/>
                <w:sz w:val="18"/>
                <w:szCs w:val="18"/>
                <w:color w:val="auto"/>
              </w:rPr>
              <w:t>Certifications of Chief Executive Officer pursuant to Rule 13a-14(a) under the Securities Exchange Act of 1934.</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tcPr>
          <w:p>
            <w:pPr>
              <w:ind w:left="340"/>
              <w:spacing w:after="0"/>
              <w:rPr>
                <w:sz w:val="20"/>
                <w:szCs w:val="20"/>
                <w:color w:val="auto"/>
              </w:rPr>
            </w:pPr>
            <w:r>
              <w:rPr>
                <w:rFonts w:ascii="Arial" w:cs="Arial" w:eastAsia="Arial" w:hAnsi="Arial"/>
                <w:sz w:val="18"/>
                <w:szCs w:val="18"/>
                <w:color w:val="auto"/>
              </w:rPr>
              <w:t>Certifications of Chief Financial Officer pursuant to Rule 13a-14(a) under the Securities Exchange Act of 1934.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Certification of the Chief Executive Officer pursuant to 18 USC Section 1350, as adopted pursuant to Section 906 of the Sarbanes-Oxley Act</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Certification of the Chief Financial Officer pursuant to 18 USC Section 1350, as adopted pursuant to Section 906 of the Sarbanes-Oxley Act</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4922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922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732155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USA TECHNOLOGIES, INC.</w:t>
            </w:r>
          </w:p>
        </w:tc>
        <w:tc>
          <w:tcPr>
            <w:tcW w:w="2580" w:type="dxa"/>
            <w:vAlign w:val="bottom"/>
          </w:tcPr>
          <w:p>
            <w:pPr>
              <w:spacing w:after="0"/>
              <w:rPr>
                <w:sz w:val="20"/>
                <w:szCs w:val="20"/>
                <w:color w:val="auto"/>
              </w:rPr>
            </w:pPr>
          </w:p>
        </w:tc>
      </w:tr>
      <w:tr>
        <w:trPr>
          <w:trHeight w:val="439"/>
        </w:trPr>
        <w:tc>
          <w:tcPr>
            <w:tcW w:w="3540" w:type="dxa"/>
            <w:vAlign w:val="bottom"/>
          </w:tcPr>
          <w:p>
            <w:pPr>
              <w:spacing w:after="0"/>
              <w:rPr>
                <w:sz w:val="20"/>
                <w:szCs w:val="20"/>
                <w:color w:val="auto"/>
              </w:rPr>
            </w:pPr>
            <w:r>
              <w:rPr>
                <w:rFonts w:ascii="Arial" w:cs="Arial" w:eastAsia="Arial" w:hAnsi="Arial"/>
                <w:sz w:val="18"/>
                <w:szCs w:val="18"/>
                <w:color w:val="auto"/>
              </w:rPr>
              <w:t>Date: May 14, 2014</w:t>
            </w:r>
          </w:p>
        </w:tc>
        <w:tc>
          <w:tcPr>
            <w:tcW w:w="2740" w:type="dxa"/>
            <w:vAlign w:val="bottom"/>
          </w:tcPr>
          <w:p>
            <w:pPr>
              <w:spacing w:after="0"/>
              <w:rPr>
                <w:sz w:val="24"/>
                <w:szCs w:val="24"/>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c>
          <w:tcPr>
            <w:tcW w:w="2580" w:type="dxa"/>
            <w:vAlign w:val="bottom"/>
          </w:tcPr>
          <w:p>
            <w:pPr>
              <w:spacing w:after="0"/>
              <w:rPr>
                <w:sz w:val="24"/>
                <w:szCs w:val="24"/>
                <w:color w:val="auto"/>
              </w:rPr>
            </w:pPr>
          </w:p>
        </w:tc>
      </w:tr>
      <w:tr>
        <w:trPr>
          <w:trHeight w:val="202"/>
        </w:trPr>
        <w:tc>
          <w:tcPr>
            <w:tcW w:w="35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560" w:type="dxa"/>
            <w:vAlign w:val="bottom"/>
          </w:tcPr>
          <w:p>
            <w:pPr>
              <w:spacing w:after="0" w:line="201" w:lineRule="exact"/>
              <w:rPr>
                <w:sz w:val="20"/>
                <w:szCs w:val="20"/>
                <w:color w:val="auto"/>
              </w:rPr>
            </w:pPr>
            <w:r>
              <w:rPr>
                <w:rFonts w:ascii="Arial" w:cs="Arial" w:eastAsia="Arial" w:hAnsi="Arial"/>
                <w:sz w:val="18"/>
                <w:szCs w:val="18"/>
                <w:color w:val="auto"/>
              </w:rPr>
              <w:t>Stephen P. Herbert,</w:t>
            </w:r>
          </w:p>
        </w:tc>
        <w:tc>
          <w:tcPr>
            <w:tcW w:w="2580" w:type="dxa"/>
            <w:vAlign w:val="bottom"/>
          </w:tcPr>
          <w:p>
            <w:pPr>
              <w:spacing w:after="0"/>
              <w:rPr>
                <w:sz w:val="17"/>
                <w:szCs w:val="17"/>
                <w:color w:val="auto"/>
              </w:rPr>
            </w:pPr>
          </w:p>
        </w:tc>
      </w:tr>
      <w:tr>
        <w:trPr>
          <w:trHeight w:val="230"/>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580" w:type="dxa"/>
            <w:vAlign w:val="bottom"/>
          </w:tcPr>
          <w:p>
            <w:pPr>
              <w:spacing w:after="0"/>
              <w:rPr>
                <w:sz w:val="20"/>
                <w:szCs w:val="20"/>
                <w:color w:val="auto"/>
              </w:rPr>
            </w:pPr>
          </w:p>
        </w:tc>
      </w:tr>
      <w:tr>
        <w:trPr>
          <w:trHeight w:val="439"/>
        </w:trPr>
        <w:tc>
          <w:tcPr>
            <w:tcW w:w="3540" w:type="dxa"/>
            <w:vAlign w:val="bottom"/>
          </w:tcPr>
          <w:p>
            <w:pPr>
              <w:spacing w:after="0"/>
              <w:rPr>
                <w:sz w:val="20"/>
                <w:szCs w:val="20"/>
                <w:color w:val="auto"/>
              </w:rPr>
            </w:pPr>
            <w:r>
              <w:rPr>
                <w:rFonts w:ascii="Arial" w:cs="Arial" w:eastAsia="Arial" w:hAnsi="Arial"/>
                <w:sz w:val="18"/>
                <w:szCs w:val="18"/>
                <w:color w:val="auto"/>
              </w:rPr>
              <w:t>Date: May 14, 2014</w:t>
            </w:r>
          </w:p>
        </w:tc>
        <w:tc>
          <w:tcPr>
            <w:tcW w:w="2740" w:type="dxa"/>
            <w:vAlign w:val="bottom"/>
          </w:tcPr>
          <w:p>
            <w:pPr>
              <w:spacing w:after="0"/>
              <w:rPr>
                <w:sz w:val="24"/>
                <w:szCs w:val="24"/>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DeMedio</w:t>
            </w:r>
          </w:p>
        </w:tc>
        <w:tc>
          <w:tcPr>
            <w:tcW w:w="2580" w:type="dxa"/>
            <w:vAlign w:val="bottom"/>
          </w:tcPr>
          <w:p>
            <w:pPr>
              <w:spacing w:after="0"/>
              <w:rPr>
                <w:sz w:val="24"/>
                <w:szCs w:val="24"/>
                <w:color w:val="auto"/>
              </w:rPr>
            </w:pPr>
          </w:p>
        </w:tc>
      </w:tr>
      <w:tr>
        <w:trPr>
          <w:trHeight w:val="202"/>
        </w:trPr>
        <w:tc>
          <w:tcPr>
            <w:tcW w:w="35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560" w:type="dxa"/>
            <w:vAlign w:val="bottom"/>
          </w:tcPr>
          <w:p>
            <w:pPr>
              <w:spacing w:after="0" w:line="201" w:lineRule="exact"/>
              <w:rPr>
                <w:sz w:val="20"/>
                <w:szCs w:val="20"/>
                <w:color w:val="auto"/>
              </w:rPr>
            </w:pPr>
            <w:r>
              <w:rPr>
                <w:rFonts w:ascii="Arial" w:cs="Arial" w:eastAsia="Arial" w:hAnsi="Arial"/>
                <w:sz w:val="18"/>
                <w:szCs w:val="18"/>
                <w:color w:val="auto"/>
              </w:rPr>
              <w:t>David M. DeMedio</w:t>
            </w:r>
          </w:p>
        </w:tc>
        <w:tc>
          <w:tcPr>
            <w:tcW w:w="2580" w:type="dxa"/>
            <w:vAlign w:val="bottom"/>
          </w:tcPr>
          <w:p>
            <w:pPr>
              <w:spacing w:after="0"/>
              <w:rPr>
                <w:sz w:val="17"/>
                <w:szCs w:val="17"/>
                <w:color w:val="auto"/>
              </w:rPr>
            </w:pPr>
          </w:p>
        </w:tc>
      </w:tr>
      <w:tr>
        <w:trPr>
          <w:trHeight w:val="230"/>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580" w:type="dxa"/>
            <w:vAlign w:val="bottom"/>
          </w:tcPr>
          <w:p>
            <w:pPr>
              <w:spacing w:after="0"/>
              <w:rPr>
                <w:sz w:val="20"/>
                <w:szCs w:val="20"/>
                <w:color w:val="auto"/>
              </w:rPr>
            </w:pPr>
          </w:p>
        </w:tc>
      </w:tr>
      <w:tr>
        <w:trPr>
          <w:trHeight w:val="675"/>
        </w:trPr>
        <w:tc>
          <w:tcPr>
            <w:tcW w:w="3540" w:type="dxa"/>
            <w:vAlign w:val="bottom"/>
            <w:tcBorders>
              <w:bottom w:val="single" w:sz="8" w:color="DCDCDC"/>
            </w:tcBorders>
          </w:tcPr>
          <w:p>
            <w:pPr>
              <w:spacing w:after="0"/>
              <w:rPr>
                <w:sz w:val="24"/>
                <w:szCs w:val="24"/>
                <w:color w:val="auto"/>
              </w:rPr>
            </w:pPr>
          </w:p>
        </w:tc>
        <w:tc>
          <w:tcPr>
            <w:tcW w:w="2740" w:type="dxa"/>
            <w:vAlign w:val="bottom"/>
            <w:tcBorders>
              <w:bottom w:val="single" w:sz="8" w:color="DCDCDC"/>
            </w:tcBorders>
          </w:tcPr>
          <w:p>
            <w:pPr>
              <w:jc w:val="right"/>
              <w:ind w:right="390"/>
              <w:spacing w:after="0"/>
              <w:rPr>
                <w:sz w:val="20"/>
                <w:szCs w:val="20"/>
                <w:color w:val="auto"/>
              </w:rPr>
            </w:pPr>
            <w:r>
              <w:rPr>
                <w:rFonts w:ascii="Arial" w:cs="Arial" w:eastAsia="Arial" w:hAnsi="Arial"/>
                <w:sz w:val="18"/>
                <w:szCs w:val="18"/>
                <w:color w:val="auto"/>
              </w:rPr>
              <w:t>26</w:t>
            </w:r>
          </w:p>
        </w:tc>
        <w:tc>
          <w:tcPr>
            <w:tcW w:w="2560" w:type="dxa"/>
            <w:vAlign w:val="bottom"/>
            <w:tcBorders>
              <w:bottom w:val="single" w:sz="8" w:color="DCDCDC"/>
            </w:tcBorders>
          </w:tcPr>
          <w:p>
            <w:pPr>
              <w:spacing w:after="0"/>
              <w:rPr>
                <w:sz w:val="24"/>
                <w:szCs w:val="24"/>
                <w:color w:val="auto"/>
              </w:rPr>
            </w:pPr>
          </w:p>
        </w:tc>
        <w:tc>
          <w:tcPr>
            <w:tcW w:w="25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1408"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22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81" w:lineRule="exact"/>
        <w:rPr>
          <w:sz w:val="20"/>
          <w:szCs w:val="20"/>
          <w:color w:val="auto"/>
        </w:rPr>
      </w:pPr>
    </w:p>
    <w:p>
      <w:pPr>
        <w:ind w:firstLine="8"/>
        <w:spacing w:after="0" w:line="277" w:lineRule="auto"/>
        <w:tabs>
          <w:tab w:leader="none" w:pos="1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May 14, 2014</w:t>
      </w:r>
      <w:r>
        <w:rPr>
          <w:sz w:val="20"/>
          <w:szCs w:val="20"/>
          <w:color w:val="auto"/>
        </w:rPr>
        <w:tab/>
      </w:r>
      <w:r>
        <w:rPr>
          <w:rFonts w:ascii="Arial" w:cs="Arial" w:eastAsia="Arial" w:hAnsi="Arial"/>
          <w:sz w:val="15"/>
          <w:szCs w:val="15"/>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14605</wp:posOffset>
            </wp:positionV>
            <wp:extent cx="179260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92605" cy="1714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Stephen P. Herbert</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M. DeMedio, certify that:</w:t>
      </w:r>
    </w:p>
    <w:p>
      <w:pPr>
        <w:spacing w:after="0" w:line="252"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208" w:lineRule="exact"/>
        <w:rPr>
          <w:sz w:val="20"/>
          <w:szCs w:val="20"/>
          <w:color w:val="auto"/>
        </w:rPr>
      </w:pPr>
    </w:p>
    <w:p>
      <w:pPr>
        <w:ind w:firstLine="8"/>
        <w:spacing w:after="0" w:line="277" w:lineRule="auto"/>
        <w:tabs>
          <w:tab w:leader="none" w:pos="1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May 14, 2014</w:t>
      </w:r>
      <w:r>
        <w:rPr>
          <w:sz w:val="20"/>
          <w:szCs w:val="20"/>
          <w:color w:val="auto"/>
        </w:rPr>
        <w:tab/>
      </w:r>
      <w:r>
        <w:rPr>
          <w:rFonts w:ascii="Arial" w:cs="Arial" w:eastAsia="Arial" w:hAnsi="Arial"/>
          <w:sz w:val="16"/>
          <w:szCs w:val="16"/>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14605</wp:posOffset>
            </wp:positionV>
            <wp:extent cx="179260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92605" cy="1714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David M. DeMedio</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t>Exhibit 32.1</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March 31, 2014 (the “Report”), I, Stephen P. Herbert., Chief Executive Officer of the Company, hereby certify that to my knowledge:</w:t>
      </w:r>
    </w:p>
    <w:p>
      <w:pPr>
        <w:spacing w:after="0" w:line="197"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May 14, 2014</w:t>
      </w:r>
      <w:r>
        <w:rPr>
          <w:sz w:val="20"/>
          <w:szCs w:val="20"/>
          <w:color w:val="auto"/>
        </w:rPr>
        <w:tab/>
      </w:r>
      <w:r>
        <w:rPr>
          <w:rFonts w:ascii="Arial" w:cs="Arial" w:eastAsia="Arial" w:hAnsi="Arial"/>
          <w:sz w:val="15"/>
          <w:szCs w:val="15"/>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14605</wp:posOffset>
            </wp:positionV>
            <wp:extent cx="179260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92605" cy="1714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Stephen P. Herbert</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March 31, 2014 (the “Report”), I, David M. DeMedio, Chief Financial Officer of the Company, hereby certify that to my knowledge:</w:t>
      </w:r>
    </w:p>
    <w:p>
      <w:pPr>
        <w:spacing w:after="0" w:line="197"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May 14, 2014</w:t>
      </w:r>
      <w:r>
        <w:rPr>
          <w:sz w:val="20"/>
          <w:szCs w:val="20"/>
          <w:color w:val="auto"/>
        </w:rPr>
        <w:tab/>
      </w:r>
      <w:r>
        <w:rPr>
          <w:rFonts w:ascii="Arial" w:cs="Arial" w:eastAsia="Arial" w:hAnsi="Arial"/>
          <w:sz w:val="16"/>
          <w:szCs w:val="16"/>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14605</wp:posOffset>
            </wp:positionV>
            <wp:extent cx="179260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92605" cy="1714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David M. DeMedio</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endash "/>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5"/>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5"/>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2019-12-06T07:31:25Z</dcterms:created>
  <dcterms:modified xsi:type="dcterms:W3CDTF">2019-12-06T07:31:25Z</dcterms:modified>
</cp:coreProperties>
</file>