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57854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548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5785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5485" cy="571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jc w:val="center"/>
        <w:spacing w:after="0" w:line="238" w:lineRule="auto"/>
        <w:rPr>
          <w:sz w:val="20"/>
          <w:szCs w:val="20"/>
          <w:color w:val="auto"/>
        </w:rPr>
      </w:pPr>
      <w:r>
        <w:rPr>
          <w:rFonts w:ascii="Arial" w:cs="Arial" w:eastAsia="Arial" w:hAnsi="Arial"/>
          <w:sz w:val="12"/>
          <w:szCs w:val="12"/>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126" w:lineRule="exact"/>
        <w:rPr>
          <w:sz w:val="24"/>
          <w:szCs w:val="24"/>
          <w:color w:val="auto"/>
        </w:rPr>
      </w:pPr>
    </w:p>
    <w:p>
      <w:pPr>
        <w:ind w:left="60"/>
        <w:spacing w:after="0" w:line="161" w:lineRule="exact"/>
        <w:rPr>
          <w:sz w:val="24"/>
          <w:szCs w:val="24"/>
          <w:color w:val="auto"/>
        </w:rPr>
      </w:pPr>
      <w:r>
        <w:rPr>
          <w:rFonts w:ascii="Arial Unicode MS" w:cs="Arial Unicode MS" w:eastAsia="Arial Unicode MS" w:hAnsi="Arial Unicode MS"/>
          <w:sz w:val="12"/>
          <w:szCs w:val="12"/>
          <w:color w:val="auto"/>
        </w:rPr>
        <w:t>☒</w:t>
      </w:r>
      <w:r>
        <w:rPr>
          <w:rFonts w:ascii="Arial" w:cs="Arial" w:eastAsia="Arial" w:hAnsi="Arial"/>
          <w:sz w:val="12"/>
          <w:szCs w:val="12"/>
          <w:b w:val="1"/>
          <w:bCs w:val="1"/>
          <w:color w:val="auto"/>
        </w:rPr>
        <w:t xml:space="preserve"> QUARTERLY REPORT PURSUANT TO SECTION 13 OR 15 (d) OF THE SECURITIES EXCHANGE ACT OF 1934</w:t>
      </w:r>
    </w:p>
    <w:p>
      <w:pPr>
        <w:spacing w:after="0" w:line="131" w:lineRule="exact"/>
        <w:rPr>
          <w:sz w:val="24"/>
          <w:szCs w:val="24"/>
          <w:color w:val="auto"/>
        </w:rPr>
      </w:pPr>
    </w:p>
    <w:p>
      <w:pPr>
        <w:ind w:left="3300"/>
        <w:spacing w:after="0"/>
        <w:rPr>
          <w:sz w:val="24"/>
          <w:szCs w:val="24"/>
          <w:color w:val="auto"/>
        </w:rPr>
      </w:pPr>
      <w:r>
        <w:rPr>
          <w:rFonts w:ascii="Arial" w:cs="Arial" w:eastAsia="Arial" w:hAnsi="Arial"/>
          <w:sz w:val="12"/>
          <w:szCs w:val="12"/>
          <w:b w:val="1"/>
          <w:bCs w:val="1"/>
          <w:color w:val="auto"/>
        </w:rPr>
        <w:t>For the quarterly period ended December 31, 2017</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OR</w:t>
      </w:r>
    </w:p>
    <w:p>
      <w:pPr>
        <w:spacing w:after="0" w:line="124" w:lineRule="exact"/>
        <w:rPr>
          <w:sz w:val="24"/>
          <w:szCs w:val="24"/>
          <w:color w:val="auto"/>
        </w:rPr>
      </w:pPr>
    </w:p>
    <w:p>
      <w:pPr>
        <w:ind w:left="60"/>
        <w:spacing w:after="0" w:line="161" w:lineRule="exact"/>
        <w:rPr>
          <w:sz w:val="24"/>
          <w:szCs w:val="24"/>
          <w:color w:val="auto"/>
        </w:rPr>
      </w:pPr>
      <w:r>
        <w:rPr>
          <w:rFonts w:ascii="Arial Unicode MS" w:cs="Arial Unicode MS" w:eastAsia="Arial Unicode MS" w:hAnsi="Arial Unicode MS"/>
          <w:sz w:val="12"/>
          <w:szCs w:val="12"/>
          <w:color w:val="auto"/>
        </w:rPr>
        <w:t>☐</w:t>
      </w:r>
      <w:r>
        <w:rPr>
          <w:rFonts w:ascii="Arial" w:cs="Arial" w:eastAsia="Arial" w:hAnsi="Arial"/>
          <w:sz w:val="12"/>
          <w:szCs w:val="12"/>
          <w:b w:val="1"/>
          <w:bCs w:val="1"/>
          <w:color w:val="auto"/>
        </w:rPr>
        <w:t xml:space="preserve"> TRANSITION REPORT PURSUANT TO SECTION 13 OR 15 (d) OF THE EXCHANGE ACT OF 1934</w:t>
      </w:r>
    </w:p>
    <w:p>
      <w:pPr>
        <w:spacing w:after="0" w:line="131"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40" w:type="dxa"/>
            <w:vAlign w:val="bottom"/>
            <w:gridSpan w:val="3"/>
          </w:tcPr>
          <w:p>
            <w:pPr>
              <w:ind w:left="440"/>
              <w:spacing w:after="0"/>
              <w:rPr>
                <w:sz w:val="20"/>
                <w:szCs w:val="20"/>
                <w:color w:val="auto"/>
              </w:rPr>
            </w:pPr>
            <w:r>
              <w:rPr>
                <w:rFonts w:ascii="Arial" w:cs="Arial" w:eastAsia="Arial" w:hAnsi="Arial"/>
                <w:sz w:val="12"/>
                <w:szCs w:val="12"/>
                <w:b w:val="1"/>
                <w:bCs w:val="1"/>
                <w:color w:val="auto"/>
              </w:rPr>
              <w:t>For the transition period from</w:t>
            </w:r>
          </w:p>
        </w:tc>
        <w:tc>
          <w:tcPr>
            <w:tcW w:w="2520" w:type="dxa"/>
            <w:vAlign w:val="bottom"/>
            <w:gridSpan w:val="6"/>
          </w:tcPr>
          <w:p>
            <w:pPr>
              <w:ind w:left="60"/>
              <w:spacing w:after="0"/>
              <w:rPr>
                <w:sz w:val="20"/>
                <w:szCs w:val="20"/>
                <w:color w:val="auto"/>
              </w:rPr>
            </w:pPr>
            <w:r>
              <w:rPr>
                <w:rFonts w:ascii="Arial" w:cs="Arial" w:eastAsia="Arial" w:hAnsi="Arial"/>
                <w:sz w:val="12"/>
                <w:szCs w:val="12"/>
                <w:b w:val="1"/>
                <w:bCs w:val="1"/>
                <w:color w:val="auto"/>
              </w:rPr>
              <w:t>to</w:t>
            </w:r>
          </w:p>
        </w:tc>
      </w:tr>
      <w:tr>
        <w:trPr>
          <w:trHeight w:val="274"/>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80" w:type="dxa"/>
            <w:vAlign w:val="bottom"/>
            <w:gridSpan w:val="7"/>
          </w:tcPr>
          <w:p>
            <w:pPr>
              <w:jc w:val="center"/>
              <w:ind w:right="2160"/>
              <w:spacing w:after="0"/>
              <w:rPr>
                <w:sz w:val="20"/>
                <w:szCs w:val="20"/>
                <w:color w:val="auto"/>
              </w:rPr>
            </w:pPr>
            <w:r>
              <w:rPr>
                <w:rFonts w:ascii="Arial" w:cs="Arial" w:eastAsia="Arial" w:hAnsi="Arial"/>
                <w:sz w:val="12"/>
                <w:szCs w:val="12"/>
                <w:b w:val="1"/>
                <w:bCs w:val="1"/>
                <w:color w:val="auto"/>
                <w:w w:val="86"/>
              </w:rPr>
              <w:t>Commission file number 001-33365</w:t>
            </w:r>
          </w:p>
        </w:tc>
      </w:tr>
      <w:tr>
        <w:trPr>
          <w:trHeight w:val="274"/>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jc w:val="center"/>
              <w:ind w:left="302"/>
              <w:spacing w:after="0"/>
              <w:rPr>
                <w:sz w:val="20"/>
                <w:szCs w:val="20"/>
                <w:color w:val="auto"/>
              </w:rPr>
            </w:pPr>
            <w:r>
              <w:rPr>
                <w:rFonts w:ascii="Arial" w:cs="Arial" w:eastAsia="Arial" w:hAnsi="Arial"/>
                <w:sz w:val="12"/>
                <w:szCs w:val="12"/>
                <w:b w:val="1"/>
                <w:bCs w:val="1"/>
                <w:color w:val="auto"/>
                <w:w w:val="85"/>
              </w:rPr>
              <w:t>USA Technologies, Inc.</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gridSpan w:val="2"/>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60" w:type="dxa"/>
            <w:vAlign w:val="bottom"/>
            <w:gridSpan w:val="9"/>
          </w:tcPr>
          <w:p>
            <w:pPr>
              <w:jc w:val="center"/>
              <w:ind w:right="1180"/>
              <w:spacing w:after="0"/>
              <w:rPr>
                <w:sz w:val="20"/>
                <w:szCs w:val="20"/>
                <w:color w:val="auto"/>
              </w:rPr>
            </w:pPr>
            <w:r>
              <w:rPr>
                <w:rFonts w:ascii="Arial" w:cs="Arial" w:eastAsia="Arial" w:hAnsi="Arial"/>
                <w:sz w:val="12"/>
                <w:szCs w:val="12"/>
                <w:color w:val="auto"/>
                <w:w w:val="87"/>
              </w:rPr>
              <w:t>(Exact name of registrant as specified in its charter)</w:t>
            </w:r>
          </w:p>
        </w:tc>
      </w:tr>
      <w:tr>
        <w:trPr>
          <w:trHeight w:val="249"/>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Pennsylvania</w:t>
            </w:r>
          </w:p>
        </w:tc>
        <w:tc>
          <w:tcPr>
            <w:tcW w:w="2640" w:type="dxa"/>
            <w:vAlign w:val="bottom"/>
            <w:gridSpan w:val="3"/>
          </w:tcPr>
          <w:p>
            <w:pPr>
              <w:spacing w:after="0"/>
              <w:rPr>
                <w:sz w:val="21"/>
                <w:szCs w:val="21"/>
                <w:color w:val="auto"/>
              </w:rPr>
            </w:pPr>
          </w:p>
        </w:tc>
        <w:tc>
          <w:tcPr>
            <w:tcW w:w="1400" w:type="dxa"/>
            <w:vAlign w:val="bottom"/>
            <w:gridSpan w:val="2"/>
          </w:tcPr>
          <w:p>
            <w:pPr>
              <w:spacing w:after="0"/>
              <w:rPr>
                <w:sz w:val="21"/>
                <w:szCs w:val="21"/>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23-2679963</w:t>
            </w:r>
          </w:p>
        </w:tc>
        <w:tc>
          <w:tcPr>
            <w:tcW w:w="560" w:type="dxa"/>
            <w:vAlign w:val="bottom"/>
          </w:tcPr>
          <w:p>
            <w:pPr>
              <w:spacing w:after="0"/>
              <w:rPr>
                <w:sz w:val="21"/>
                <w:szCs w:val="21"/>
                <w:color w:val="auto"/>
              </w:rPr>
            </w:pPr>
          </w:p>
        </w:tc>
      </w:tr>
      <w:tr>
        <w:trPr>
          <w:trHeight w:val="142"/>
        </w:trPr>
        <w:tc>
          <w:tcPr>
            <w:tcW w:w="4340" w:type="dxa"/>
            <w:vAlign w:val="bottom"/>
            <w:gridSpan w:val="6"/>
          </w:tcPr>
          <w:p>
            <w:pPr>
              <w:jc w:val="center"/>
              <w:ind w:right="1542"/>
              <w:spacing w:after="0"/>
              <w:rPr>
                <w:sz w:val="20"/>
                <w:szCs w:val="20"/>
                <w:color w:val="auto"/>
              </w:rPr>
            </w:pPr>
            <w:r>
              <w:rPr>
                <w:rFonts w:ascii="Arial" w:cs="Arial" w:eastAsia="Arial" w:hAnsi="Arial"/>
                <w:sz w:val="12"/>
                <w:szCs w:val="12"/>
                <w:color w:val="auto"/>
                <w:w w:val="88"/>
              </w:rPr>
              <w:t>(State or other jurisdiction of incorporation or organization)</w:t>
            </w:r>
          </w:p>
        </w:tc>
        <w:tc>
          <w:tcPr>
            <w:tcW w:w="480" w:type="dxa"/>
            <w:vAlign w:val="bottom"/>
          </w:tcPr>
          <w:p>
            <w:pPr>
              <w:spacing w:after="0"/>
              <w:rPr>
                <w:sz w:val="12"/>
                <w:szCs w:val="12"/>
                <w:color w:val="auto"/>
              </w:rPr>
            </w:pPr>
          </w:p>
        </w:tc>
        <w:tc>
          <w:tcPr>
            <w:tcW w:w="2040" w:type="dxa"/>
            <w:vAlign w:val="bottom"/>
            <w:gridSpan w:val="5"/>
          </w:tcPr>
          <w:p>
            <w:pPr>
              <w:jc w:val="center"/>
              <w:ind w:left="302"/>
              <w:spacing w:after="0"/>
              <w:rPr>
                <w:sz w:val="20"/>
                <w:szCs w:val="20"/>
                <w:color w:val="auto"/>
              </w:rPr>
            </w:pPr>
            <w:r>
              <w:rPr>
                <w:rFonts w:ascii="Arial" w:cs="Arial" w:eastAsia="Arial" w:hAnsi="Arial"/>
                <w:sz w:val="12"/>
                <w:szCs w:val="12"/>
                <w:color w:val="auto"/>
                <w:w w:val="90"/>
              </w:rPr>
              <w:t>(I.R.S. Employer Identification No.)</w:t>
            </w:r>
          </w:p>
        </w:tc>
      </w:tr>
      <w:tr>
        <w:trPr>
          <w:trHeight w:val="258"/>
        </w:trPr>
        <w:tc>
          <w:tcPr>
            <w:tcW w:w="40" w:type="dxa"/>
            <w:vAlign w:val="bottom"/>
          </w:tcPr>
          <w:p>
            <w:pPr>
              <w:spacing w:after="0"/>
              <w:rPr>
                <w:sz w:val="22"/>
                <w:szCs w:val="22"/>
                <w:color w:val="auto"/>
              </w:rPr>
            </w:pPr>
          </w:p>
        </w:tc>
        <w:tc>
          <w:tcPr>
            <w:tcW w:w="4300" w:type="dxa"/>
            <w:vAlign w:val="bottom"/>
            <w:gridSpan w:val="5"/>
          </w:tcPr>
          <w:p>
            <w:pPr>
              <w:jc w:val="center"/>
              <w:ind w:right="1602"/>
              <w:spacing w:after="0"/>
              <w:rPr>
                <w:sz w:val="20"/>
                <w:szCs w:val="20"/>
                <w:color w:val="auto"/>
              </w:rPr>
            </w:pPr>
            <w:r>
              <w:rPr>
                <w:rFonts w:ascii="Arial" w:cs="Arial" w:eastAsia="Arial" w:hAnsi="Arial"/>
                <w:sz w:val="12"/>
                <w:szCs w:val="12"/>
                <w:b w:val="1"/>
                <w:bCs w:val="1"/>
                <w:color w:val="auto"/>
                <w:w w:val="87"/>
              </w:rPr>
              <w:t>100 Deerfield Lane, Suite 300, Malvern, Pennsylvania</w:t>
            </w:r>
          </w:p>
        </w:tc>
        <w:tc>
          <w:tcPr>
            <w:tcW w:w="1960" w:type="dxa"/>
            <w:vAlign w:val="bottom"/>
            <w:gridSpan w:val="5"/>
          </w:tcPr>
          <w:p>
            <w:pPr>
              <w:jc w:val="center"/>
              <w:ind w:left="1322"/>
              <w:spacing w:after="0"/>
              <w:rPr>
                <w:sz w:val="20"/>
                <w:szCs w:val="20"/>
                <w:color w:val="auto"/>
              </w:rPr>
            </w:pPr>
            <w:r>
              <w:rPr>
                <w:rFonts w:ascii="Arial" w:cs="Arial" w:eastAsia="Arial" w:hAnsi="Arial"/>
                <w:sz w:val="12"/>
                <w:szCs w:val="12"/>
                <w:b w:val="1"/>
                <w:bCs w:val="1"/>
                <w:color w:val="auto"/>
                <w:w w:val="89"/>
              </w:rPr>
              <w:t>19355</w:t>
            </w:r>
          </w:p>
        </w:tc>
        <w:tc>
          <w:tcPr>
            <w:tcW w:w="5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640" w:type="dxa"/>
            <w:vAlign w:val="bottom"/>
            <w:gridSpan w:val="4"/>
          </w:tcPr>
          <w:p>
            <w:pPr>
              <w:jc w:val="center"/>
              <w:spacing w:after="0"/>
              <w:rPr>
                <w:sz w:val="20"/>
                <w:szCs w:val="20"/>
                <w:color w:val="auto"/>
              </w:rPr>
            </w:pPr>
            <w:r>
              <w:rPr>
                <w:rFonts w:ascii="Arial" w:cs="Arial" w:eastAsia="Arial" w:hAnsi="Arial"/>
                <w:sz w:val="12"/>
                <w:szCs w:val="12"/>
                <w:color w:val="auto"/>
                <w:w w:val="89"/>
              </w:rPr>
              <w:t>(Address of principal executive offices)</w:t>
            </w:r>
          </w:p>
        </w:tc>
        <w:tc>
          <w:tcPr>
            <w:tcW w:w="1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4"/>
          </w:tcPr>
          <w:p>
            <w:pPr>
              <w:jc w:val="center"/>
              <w:ind w:right="580"/>
              <w:spacing w:after="0"/>
              <w:rPr>
                <w:sz w:val="20"/>
                <w:szCs w:val="20"/>
                <w:color w:val="auto"/>
              </w:rPr>
            </w:pPr>
            <w:r>
              <w:rPr>
                <w:rFonts w:ascii="Arial" w:cs="Arial" w:eastAsia="Arial" w:hAnsi="Arial"/>
                <w:sz w:val="12"/>
                <w:szCs w:val="12"/>
                <w:color w:val="auto"/>
                <w:w w:val="88"/>
              </w:rPr>
              <w:t>(Zip Code)</w:t>
            </w:r>
          </w:p>
        </w:tc>
      </w:tr>
      <w:tr>
        <w:trPr>
          <w:trHeight w:val="274"/>
        </w:trPr>
        <w:tc>
          <w:tcPr>
            <w:tcW w:w="4340" w:type="dxa"/>
            <w:vAlign w:val="bottom"/>
            <w:gridSpan w:val="6"/>
          </w:tcPr>
          <w:p>
            <w:pPr>
              <w:jc w:val="center"/>
              <w:ind w:left="3002"/>
              <w:spacing w:after="0"/>
              <w:rPr>
                <w:sz w:val="20"/>
                <w:szCs w:val="20"/>
                <w:color w:val="auto"/>
              </w:rPr>
            </w:pPr>
            <w:r>
              <w:rPr>
                <w:rFonts w:ascii="Arial" w:cs="Arial" w:eastAsia="Arial" w:hAnsi="Arial"/>
                <w:sz w:val="12"/>
                <w:szCs w:val="12"/>
                <w:b w:val="1"/>
                <w:bCs w:val="1"/>
                <w:color w:val="auto"/>
                <w:w w:val="87"/>
              </w:rPr>
              <w:t>(610) 989-0340</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2171065</wp:posOffset>
            </wp:positionH>
            <wp:positionV relativeFrom="paragraph">
              <wp:posOffset>47625</wp:posOffset>
            </wp:positionV>
            <wp:extent cx="14420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085" cy="571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117" w:lineRule="exact"/>
        <w:rPr>
          <w:sz w:val="24"/>
          <w:szCs w:val="24"/>
          <w:color w:val="auto"/>
        </w:rPr>
      </w:pPr>
    </w:p>
    <w:p>
      <w:pPr>
        <w:spacing w:after="0" w:line="13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w:t>
      </w:r>
    </w:p>
    <w:p>
      <w:pPr>
        <w:spacing w:after="0" w:line="79" w:lineRule="exact"/>
        <w:rPr>
          <w:sz w:val="24"/>
          <w:szCs w:val="24"/>
          <w:color w:val="auto"/>
        </w:rPr>
      </w:pPr>
    </w:p>
    <w:p>
      <w:pPr>
        <w:spacing w:after="0" w:line="139" w:lineRule="exact"/>
        <w:rPr>
          <w:sz w:val="20"/>
          <w:szCs w:val="20"/>
          <w:color w:val="auto"/>
        </w:rPr>
      </w:pPr>
      <w:r>
        <w:rPr>
          <w:rFonts w:ascii="Arial" w:cs="Arial" w:eastAsia="Arial" w:hAnsi="Arial"/>
          <w:sz w:val="10"/>
          <w:szCs w:val="1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w:t>
      </w:r>
    </w:p>
    <w:p>
      <w:pPr>
        <w:spacing w:after="0" w:line="79" w:lineRule="exact"/>
        <w:rPr>
          <w:sz w:val="24"/>
          <w:szCs w:val="24"/>
          <w:color w:val="auto"/>
        </w:rPr>
      </w:pPr>
    </w:p>
    <w:p>
      <w:pPr>
        <w:ind w:right="20"/>
        <w:spacing w:after="0" w:line="313"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800" w:type="dxa"/>
            <w:vAlign w:val="bottom"/>
          </w:tcPr>
          <w:p>
            <w:pPr>
              <w:spacing w:after="0"/>
              <w:rPr>
                <w:sz w:val="13"/>
                <w:szCs w:val="13"/>
                <w:color w:val="auto"/>
              </w:rPr>
            </w:pPr>
          </w:p>
        </w:tc>
        <w:tc>
          <w:tcPr>
            <w:tcW w:w="2920" w:type="dxa"/>
            <w:vAlign w:val="bottom"/>
          </w:tcPr>
          <w:p>
            <w:pPr>
              <w:ind w:left="100"/>
              <w:spacing w:after="0"/>
              <w:rPr>
                <w:sz w:val="20"/>
                <w:szCs w:val="20"/>
                <w:color w:val="auto"/>
              </w:rPr>
            </w:pPr>
            <w:r>
              <w:rPr>
                <w:rFonts w:ascii="Arial" w:cs="Arial" w:eastAsia="Arial" w:hAnsi="Arial"/>
                <w:sz w:val="12"/>
                <w:szCs w:val="12"/>
                <w:color w:val="auto"/>
              </w:rPr>
              <w:t>Accelerated filer</w:t>
            </w:r>
          </w:p>
        </w:tc>
        <w:tc>
          <w:tcPr>
            <w:tcW w:w="1640" w:type="dxa"/>
            <w:vAlign w:val="bottom"/>
          </w:tcPr>
          <w:p>
            <w:pPr>
              <w:jc w:val="right"/>
              <w:spacing w:after="0" w:line="161" w:lineRule="exact"/>
              <w:rPr>
                <w:sz w:val="20"/>
                <w:szCs w:val="20"/>
                <w:color w:val="auto"/>
              </w:rPr>
            </w:pPr>
            <w:r>
              <w:rPr>
                <w:rFonts w:ascii="Arial Unicode MS" w:cs="Arial Unicode MS" w:eastAsia="Arial Unicode MS" w:hAnsi="Arial Unicode MS"/>
                <w:sz w:val="12"/>
                <w:szCs w:val="12"/>
                <w:color w:val="auto"/>
              </w:rPr>
              <w:t>☒</w:t>
            </w:r>
          </w:p>
        </w:tc>
      </w:tr>
      <w:tr>
        <w:trPr>
          <w:trHeight w:val="146"/>
        </w:trPr>
        <w:tc>
          <w:tcPr>
            <w:tcW w:w="3740" w:type="dxa"/>
            <w:vAlign w:val="bottom"/>
          </w:tcPr>
          <w:p>
            <w:pPr>
              <w:spacing w:after="0"/>
              <w:rPr>
                <w:sz w:val="20"/>
                <w:szCs w:val="20"/>
                <w:color w:val="auto"/>
              </w:rPr>
            </w:pPr>
            <w:r>
              <w:rPr>
                <w:rFonts w:ascii="Arial" w:cs="Arial" w:eastAsia="Arial" w:hAnsi="Arial"/>
                <w:sz w:val="12"/>
                <w:szCs w:val="12"/>
                <w:color w:val="auto"/>
              </w:rPr>
              <w:t>Non-accelerated filer (Do not check if a smaller reporting company)</w:t>
            </w:r>
          </w:p>
        </w:tc>
        <w:tc>
          <w:tcPr>
            <w:tcW w:w="800" w:type="dxa"/>
            <w:vAlign w:val="bottom"/>
          </w:tcPr>
          <w:p>
            <w:pPr>
              <w:spacing w:after="0"/>
              <w:rPr>
                <w:sz w:val="12"/>
                <w:szCs w:val="12"/>
                <w:color w:val="auto"/>
              </w:rPr>
            </w:pPr>
          </w:p>
        </w:tc>
        <w:tc>
          <w:tcPr>
            <w:tcW w:w="2920" w:type="dxa"/>
            <w:vAlign w:val="bottom"/>
          </w:tcPr>
          <w:p>
            <w:pPr>
              <w:ind w:left="100"/>
              <w:spacing w:after="0"/>
              <w:rPr>
                <w:sz w:val="20"/>
                <w:szCs w:val="20"/>
                <w:color w:val="auto"/>
              </w:rPr>
            </w:pPr>
            <w:r>
              <w:rPr>
                <w:rFonts w:ascii="Arial" w:cs="Arial" w:eastAsia="Arial" w:hAnsi="Arial"/>
                <w:sz w:val="12"/>
                <w:szCs w:val="12"/>
                <w:color w:val="auto"/>
              </w:rPr>
              <w:t>Smaller reporting company</w:t>
            </w:r>
          </w:p>
        </w:tc>
        <w:tc>
          <w:tcPr>
            <w:tcW w:w="1640" w:type="dxa"/>
            <w:vAlign w:val="bottom"/>
          </w:tcPr>
          <w:p>
            <w:pPr>
              <w:spacing w:after="0"/>
              <w:rPr>
                <w:sz w:val="12"/>
                <w:szCs w:val="12"/>
                <w:color w:val="auto"/>
              </w:rPr>
            </w:pPr>
          </w:p>
        </w:tc>
      </w:tr>
      <w:tr>
        <w:trPr>
          <w:trHeight w:val="179"/>
        </w:trPr>
        <w:tc>
          <w:tcPr>
            <w:tcW w:w="374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106" w:lineRule="exact"/>
        <w:rPr>
          <w:sz w:val="24"/>
          <w:szCs w:val="24"/>
          <w:color w:val="auto"/>
        </w:rPr>
      </w:pPr>
    </w:p>
    <w:p>
      <w:pPr>
        <w:ind w:right="100"/>
        <w:spacing w:after="0" w:line="230"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1" w:lineRule="exact"/>
        <w:rPr>
          <w:sz w:val="24"/>
          <w:szCs w:val="24"/>
          <w:color w:val="auto"/>
        </w:rPr>
      </w:pPr>
    </w:p>
    <w:p>
      <w:pPr>
        <w:ind w:right="3740"/>
        <w:spacing w:after="0" w:line="17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As of February 2, 2018 there were 53,623,143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5785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54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578548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548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442595</wp:posOffset>
            </wp:positionV>
            <wp:extent cx="578548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5485" cy="11430"/>
                    </a:xfrm>
                    <a:prstGeom prst="rect">
                      <a:avLst/>
                    </a:prstGeom>
                    <a:noFill/>
                  </pic:spPr>
                </pic:pic>
              </a:graphicData>
            </a:graphic>
          </wp:anchor>
        </w:drawing>
      </w:r>
    </w:p>
    <w:p>
      <w:pPr>
        <w:sectPr>
          <w:pgSz w:w="11900" w:h="16838" w:orient="portrait"/>
          <w:cols w:equalWidth="0" w:num="1">
            <w:col w:w="9120"/>
          </w:cols>
          <w:pgMar w:left="1400" w:top="204" w:right="1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160" w:type="dxa"/>
            <w:vAlign w:val="bottom"/>
            <w:gridSpan w:val="16"/>
          </w:tcPr>
          <w:p>
            <w:pPr>
              <w:spacing w:after="0"/>
              <w:rPr>
                <w:rFonts w:ascii="Arial" w:cs="Arial" w:eastAsia="Arial" w:hAnsi="Arial"/>
                <w:sz w:val="12"/>
                <w:szCs w:val="12"/>
                <w:color w:val="0563C1"/>
              </w:rPr>
            </w:pPr>
            <w:hyperlink w:anchor="page2">
              <w:r>
                <w:rPr>
                  <w:rFonts w:ascii="Arial" w:cs="Arial" w:eastAsia="Arial" w:hAnsi="Arial"/>
                  <w:sz w:val="12"/>
                  <w:szCs w:val="12"/>
                  <w:color w:val="0563C1"/>
                </w:rPr>
                <w:t>Table of Contents</w:t>
              </w:r>
            </w:hyperlink>
          </w:p>
        </w:tc>
        <w:tc>
          <w:tcPr>
            <w:tcW w:w="1940" w:type="dxa"/>
            <w:vAlign w:val="bottom"/>
          </w:tcPr>
          <w:p>
            <w:pPr>
              <w:spacing w:after="0"/>
              <w:rPr>
                <w:sz w:val="12"/>
                <w:szCs w:val="12"/>
                <w:color w:val="auto"/>
              </w:rPr>
            </w:pPr>
          </w:p>
        </w:tc>
      </w:tr>
      <w:tr>
        <w:trPr>
          <w:trHeight w:val="505"/>
        </w:trPr>
        <w:tc>
          <w:tcPr>
            <w:tcW w:w="34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gridSpan w:val="2"/>
          </w:tcPr>
          <w:p>
            <w:pPr>
              <w:jc w:val="center"/>
              <w:ind w:right="1780"/>
              <w:spacing w:after="0"/>
              <w:rPr>
                <w:sz w:val="20"/>
                <w:szCs w:val="20"/>
                <w:color w:val="auto"/>
              </w:rPr>
            </w:pPr>
            <w:r>
              <w:rPr>
                <w:rFonts w:ascii="Arial" w:cs="Arial" w:eastAsia="Arial" w:hAnsi="Arial"/>
                <w:sz w:val="12"/>
                <w:szCs w:val="12"/>
                <w:b w:val="1"/>
                <w:bCs w:val="1"/>
                <w:color w:val="auto"/>
              </w:rPr>
              <w:t>USA TECHNOLOGIES, INC.</w:t>
            </w:r>
          </w:p>
        </w:tc>
        <w:tc>
          <w:tcPr>
            <w:tcW w:w="1940" w:type="dxa"/>
            <w:vAlign w:val="bottom"/>
          </w:tcPr>
          <w:p>
            <w:pPr>
              <w:spacing w:after="0"/>
              <w:rPr>
                <w:sz w:val="24"/>
                <w:szCs w:val="24"/>
                <w:color w:val="auto"/>
              </w:rPr>
            </w:pPr>
          </w:p>
        </w:tc>
      </w:tr>
      <w:tr>
        <w:trPr>
          <w:trHeight w:val="158"/>
        </w:trPr>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40" w:type="dxa"/>
            <w:vAlign w:val="bottom"/>
            <w:gridSpan w:val="2"/>
          </w:tcPr>
          <w:p>
            <w:pPr>
              <w:jc w:val="center"/>
              <w:ind w:right="1780"/>
              <w:spacing w:after="0"/>
              <w:rPr>
                <w:sz w:val="20"/>
                <w:szCs w:val="20"/>
                <w:color w:val="auto"/>
              </w:rPr>
            </w:pPr>
            <w:r>
              <w:rPr>
                <w:rFonts w:ascii="Arial" w:cs="Arial" w:eastAsia="Arial" w:hAnsi="Arial"/>
                <w:sz w:val="12"/>
                <w:szCs w:val="12"/>
                <w:b w:val="1"/>
                <w:bCs w:val="1"/>
                <w:color w:val="auto"/>
              </w:rPr>
              <w:t>TABLE OF CONTENTS</w:t>
            </w:r>
          </w:p>
        </w:tc>
        <w:tc>
          <w:tcPr>
            <w:tcW w:w="1940" w:type="dxa"/>
            <w:vAlign w:val="bottom"/>
          </w:tcPr>
          <w:p>
            <w:pPr>
              <w:spacing w:after="0"/>
              <w:rPr>
                <w:sz w:val="13"/>
                <w:szCs w:val="13"/>
                <w:color w:val="auto"/>
              </w:rPr>
            </w:pPr>
          </w:p>
        </w:tc>
      </w:tr>
      <w:tr>
        <w:trPr>
          <w:trHeight w:val="265"/>
        </w:trPr>
        <w:tc>
          <w:tcPr>
            <w:tcW w:w="7160" w:type="dxa"/>
            <w:vAlign w:val="bottom"/>
            <w:gridSpan w:val="16"/>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Part I - Financial Information</w:t>
              </w:r>
            </w:hyperlink>
          </w:p>
        </w:tc>
        <w:tc>
          <w:tcPr>
            <w:tcW w:w="1940" w:type="dxa"/>
            <w:vAlign w:val="bottom"/>
          </w:tcPr>
          <w:p>
            <w:pPr>
              <w:spacing w:after="0"/>
              <w:rPr>
                <w:sz w:val="23"/>
                <w:szCs w:val="23"/>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2"/>
        </w:trPr>
        <w:tc>
          <w:tcPr>
            <w:tcW w:w="340" w:type="dxa"/>
            <w:vAlign w:val="bottom"/>
            <w:tcBorders>
              <w:bottom w:val="single" w:sz="8" w:color="0000EE"/>
            </w:tcBorders>
          </w:tcPr>
          <w:p>
            <w:pPr>
              <w:spacing w:after="0"/>
              <w:rPr>
                <w:rFonts w:ascii="Arial" w:cs="Arial" w:eastAsia="Arial" w:hAnsi="Arial"/>
                <w:sz w:val="12"/>
                <w:szCs w:val="12"/>
                <w:color w:val="0000EE"/>
                <w:w w:val="87"/>
              </w:rPr>
            </w:pPr>
            <w:hyperlink w:anchor="page3">
              <w:r>
                <w:rPr>
                  <w:rFonts w:ascii="Arial" w:cs="Arial" w:eastAsia="Arial" w:hAnsi="Arial"/>
                  <w:sz w:val="12"/>
                  <w:szCs w:val="12"/>
                  <w:color w:val="0000EE"/>
                  <w:w w:val="87"/>
                </w:rPr>
                <w:t>Item 1.</w:t>
              </w:r>
            </w:hyperlink>
          </w:p>
        </w:tc>
        <w:tc>
          <w:tcPr>
            <w:tcW w:w="440" w:type="dxa"/>
            <w:vAlign w:val="bottom"/>
          </w:tcPr>
          <w:p>
            <w:pPr>
              <w:spacing w:after="0"/>
              <w:rPr>
                <w:sz w:val="23"/>
                <w:szCs w:val="23"/>
                <w:color w:val="auto"/>
              </w:rPr>
            </w:pPr>
          </w:p>
        </w:tc>
        <w:tc>
          <w:tcPr>
            <w:tcW w:w="2280" w:type="dxa"/>
            <w:vAlign w:val="bottom"/>
            <w:tcBorders>
              <w:bottom w:val="single" w:sz="8" w:color="0000EE"/>
            </w:tcBorders>
            <w:gridSpan w:val="10"/>
          </w:tcPr>
          <w:p>
            <w:pPr>
              <w:spacing w:after="0"/>
              <w:rPr>
                <w:rFonts w:ascii="Arial" w:cs="Arial" w:eastAsia="Arial" w:hAnsi="Arial"/>
                <w:sz w:val="12"/>
                <w:szCs w:val="12"/>
                <w:color w:val="0000EE"/>
                <w:w w:val="90"/>
              </w:rPr>
            </w:pPr>
            <w:hyperlink w:anchor="page3">
              <w:r>
                <w:rPr>
                  <w:rFonts w:ascii="Arial" w:cs="Arial" w:eastAsia="Arial" w:hAnsi="Arial"/>
                  <w:sz w:val="12"/>
                  <w:szCs w:val="12"/>
                  <w:color w:val="0000EE"/>
                  <w:w w:val="90"/>
                </w:rPr>
                <w:t>Consolidated Financial Statements (unaudited)</w:t>
              </w:r>
            </w:hyperlink>
          </w:p>
        </w:tc>
        <w:tc>
          <w:tcPr>
            <w:tcW w:w="4100" w:type="dxa"/>
            <w:vAlign w:val="bottom"/>
            <w:gridSpan w:val="4"/>
          </w:tcPr>
          <w:p>
            <w:pPr>
              <w:spacing w:after="0"/>
              <w:rPr>
                <w:sz w:val="23"/>
                <w:szCs w:val="23"/>
                <w:color w:val="auto"/>
              </w:rPr>
            </w:pPr>
          </w:p>
        </w:tc>
        <w:tc>
          <w:tcPr>
            <w:tcW w:w="1940" w:type="dxa"/>
            <w:vAlign w:val="bottom"/>
          </w:tcPr>
          <w:p>
            <w:pPr>
              <w:spacing w:after="0"/>
              <w:rPr>
                <w:sz w:val="23"/>
                <w:szCs w:val="23"/>
                <w:color w:val="auto"/>
              </w:rPr>
            </w:pP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Borders>
              <w:bottom w:val="single" w:sz="8" w:color="0000EE"/>
            </w:tcBorders>
            <w:gridSpan w:val="6"/>
          </w:tcPr>
          <w:p>
            <w:pPr>
              <w:spacing w:after="0"/>
              <w:rPr>
                <w:rFonts w:ascii="Arial" w:cs="Arial" w:eastAsia="Arial" w:hAnsi="Arial"/>
                <w:sz w:val="12"/>
                <w:szCs w:val="12"/>
                <w:color w:val="0000EE"/>
                <w:w w:val="88"/>
              </w:rPr>
            </w:pPr>
            <w:hyperlink w:anchor="page3">
              <w:r>
                <w:rPr>
                  <w:rFonts w:ascii="Arial" w:cs="Arial" w:eastAsia="Arial" w:hAnsi="Arial"/>
                  <w:sz w:val="12"/>
                  <w:szCs w:val="12"/>
                  <w:color w:val="0000EE"/>
                  <w:w w:val="88"/>
                </w:rPr>
                <w:t>Consolidated Balance Sheets</w:t>
              </w:r>
            </w:hyperlink>
          </w:p>
        </w:tc>
        <w:tc>
          <w:tcPr>
            <w:tcW w:w="4960" w:type="dxa"/>
            <w:vAlign w:val="bottom"/>
            <w:gridSpan w:val="8"/>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Consolidated Statements of Operations</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Consolidated Statement of Shareholders’ Equity</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Borders>
              <w:top w:val="single" w:sz="8" w:color="0000EE"/>
              <w:bottom w:val="single" w:sz="8" w:color="0000EE"/>
            </w:tcBorders>
            <w:gridSpan w:val="8"/>
          </w:tcPr>
          <w:p>
            <w:pPr>
              <w:spacing w:after="0"/>
              <w:rPr>
                <w:rFonts w:ascii="Arial" w:cs="Arial" w:eastAsia="Arial" w:hAnsi="Arial"/>
                <w:sz w:val="12"/>
                <w:szCs w:val="12"/>
                <w:color w:val="0000EE"/>
                <w:w w:val="89"/>
              </w:rPr>
            </w:pPr>
            <w:hyperlink w:anchor="page6">
              <w:r>
                <w:rPr>
                  <w:rFonts w:ascii="Arial" w:cs="Arial" w:eastAsia="Arial" w:hAnsi="Arial"/>
                  <w:sz w:val="12"/>
                  <w:szCs w:val="12"/>
                  <w:color w:val="0000EE"/>
                  <w:w w:val="89"/>
                </w:rPr>
                <w:t>Consolidated Statements of Cash Flows</w:t>
              </w:r>
            </w:hyperlink>
          </w:p>
        </w:tc>
        <w:tc>
          <w:tcPr>
            <w:tcW w:w="400" w:type="dxa"/>
            <w:vAlign w:val="bottom"/>
            <w:tcBorders>
              <w:top w:val="single" w:sz="8" w:color="0000EE"/>
            </w:tcBorders>
            <w:gridSpan w:val="3"/>
          </w:tcPr>
          <w:p>
            <w:pPr>
              <w:spacing w:after="0"/>
              <w:rPr>
                <w:sz w:val="23"/>
                <w:szCs w:val="23"/>
                <w:color w:val="auto"/>
              </w:rPr>
            </w:pPr>
          </w:p>
        </w:tc>
        <w:tc>
          <w:tcPr>
            <w:tcW w:w="4040" w:type="dxa"/>
            <w:vAlign w:val="bottom"/>
            <w:gridSpan w:val="3"/>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Notes to Consolidated Financial Statements</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2"/>
        </w:trPr>
        <w:tc>
          <w:tcPr>
            <w:tcW w:w="340" w:type="dxa"/>
            <w:vAlign w:val="bottom"/>
          </w:tcPr>
          <w:p>
            <w:pPr>
              <w:spacing w:after="0"/>
              <w:rPr>
                <w:rFonts w:ascii="Arial" w:cs="Arial" w:eastAsia="Arial" w:hAnsi="Arial"/>
                <w:sz w:val="12"/>
                <w:szCs w:val="12"/>
                <w:color w:val="0000EE"/>
                <w:w w:val="87"/>
              </w:rPr>
            </w:pPr>
            <w:hyperlink w:anchor="page20">
              <w:r>
                <w:rPr>
                  <w:rFonts w:ascii="Arial" w:cs="Arial" w:eastAsia="Arial" w:hAnsi="Arial"/>
                  <w:sz w:val="12"/>
                  <w:szCs w:val="12"/>
                  <w:color w:val="0000EE"/>
                  <w:w w:val="87"/>
                </w:rPr>
                <w:t>Item 2.</w:t>
              </w:r>
            </w:hyperlink>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20">
              <w:r>
                <w:rPr>
                  <w:rFonts w:ascii="Arial" w:cs="Arial" w:eastAsia="Arial" w:hAnsi="Arial"/>
                  <w:sz w:val="12"/>
                  <w:szCs w:val="12"/>
                  <w:color w:val="0000EE"/>
                </w:rPr>
                <w:t>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72"/>
        </w:trPr>
        <w:tc>
          <w:tcPr>
            <w:tcW w:w="340" w:type="dxa"/>
            <w:vAlign w:val="bottom"/>
            <w:tcBorders>
              <w:top w:val="single" w:sz="8" w:color="0000EE"/>
            </w:tcBorders>
          </w:tcPr>
          <w:p>
            <w:pPr>
              <w:spacing w:after="0"/>
              <w:rPr>
                <w:rFonts w:ascii="Arial" w:cs="Arial" w:eastAsia="Arial" w:hAnsi="Arial"/>
                <w:sz w:val="12"/>
                <w:szCs w:val="12"/>
                <w:color w:val="0000EE"/>
                <w:w w:val="87"/>
              </w:rPr>
            </w:pPr>
            <w:hyperlink w:anchor="page32">
              <w:r>
                <w:rPr>
                  <w:rFonts w:ascii="Arial" w:cs="Arial" w:eastAsia="Arial" w:hAnsi="Arial"/>
                  <w:sz w:val="12"/>
                  <w:szCs w:val="12"/>
                  <w:color w:val="0000EE"/>
                  <w:w w:val="87"/>
                </w:rPr>
                <w:t>Item 3.</w:t>
              </w:r>
            </w:hyperlink>
          </w:p>
        </w:tc>
        <w:tc>
          <w:tcPr>
            <w:tcW w:w="440" w:type="dxa"/>
            <w:vAlign w:val="bottom"/>
          </w:tcPr>
          <w:p>
            <w:pPr>
              <w:spacing w:after="0"/>
              <w:rPr>
                <w:sz w:val="23"/>
                <w:szCs w:val="23"/>
                <w:color w:val="auto"/>
              </w:rPr>
            </w:pPr>
          </w:p>
        </w:tc>
        <w:tc>
          <w:tcPr>
            <w:tcW w:w="4360" w:type="dxa"/>
            <w:vAlign w:val="bottom"/>
            <w:tcBorders>
              <w:top w:val="single" w:sz="8" w:color="0000EE"/>
            </w:tcBorders>
            <w:gridSpan w:val="13"/>
          </w:tcPr>
          <w:p>
            <w:pPr>
              <w:spacing w:after="0"/>
              <w:rPr>
                <w:rFonts w:ascii="Arial" w:cs="Arial" w:eastAsia="Arial" w:hAnsi="Arial"/>
                <w:sz w:val="12"/>
                <w:szCs w:val="12"/>
                <w:color w:val="0000EE"/>
              </w:rPr>
            </w:pPr>
            <w:hyperlink w:anchor="page32">
              <w:r>
                <w:rPr>
                  <w:rFonts w:ascii="Arial" w:cs="Arial" w:eastAsia="Arial" w:hAnsi="Arial"/>
                  <w:sz w:val="12"/>
                  <w:szCs w:val="12"/>
                  <w:color w:val="0000EE"/>
                </w:rPr>
                <w:t>Quantitative and Qualitative Disclosures About Market Risk</w:t>
              </w:r>
            </w:hyperlink>
          </w:p>
        </w:tc>
        <w:tc>
          <w:tcPr>
            <w:tcW w:w="20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72"/>
        </w:trPr>
        <w:tc>
          <w:tcPr>
            <w:tcW w:w="340" w:type="dxa"/>
            <w:vAlign w:val="bottom"/>
            <w:tcBorders>
              <w:top w:val="single" w:sz="8" w:color="0000EE"/>
              <w:bottom w:val="single" w:sz="8" w:color="0000EE"/>
            </w:tcBorders>
          </w:tcPr>
          <w:p>
            <w:pPr>
              <w:spacing w:after="0"/>
              <w:rPr>
                <w:rFonts w:ascii="Arial" w:cs="Arial" w:eastAsia="Arial" w:hAnsi="Arial"/>
                <w:sz w:val="12"/>
                <w:szCs w:val="12"/>
                <w:color w:val="0000EE"/>
                <w:w w:val="87"/>
              </w:rPr>
            </w:pPr>
            <w:hyperlink w:anchor="page33">
              <w:r>
                <w:rPr>
                  <w:rFonts w:ascii="Arial" w:cs="Arial" w:eastAsia="Arial" w:hAnsi="Arial"/>
                  <w:sz w:val="12"/>
                  <w:szCs w:val="12"/>
                  <w:color w:val="0000EE"/>
                  <w:w w:val="87"/>
                </w:rPr>
                <w:t>Item 4.</w:t>
              </w:r>
            </w:hyperlink>
          </w:p>
        </w:tc>
        <w:tc>
          <w:tcPr>
            <w:tcW w:w="440" w:type="dxa"/>
            <w:vAlign w:val="bottom"/>
          </w:tcPr>
          <w:p>
            <w:pPr>
              <w:spacing w:after="0"/>
              <w:rPr>
                <w:sz w:val="23"/>
                <w:szCs w:val="23"/>
                <w:color w:val="auto"/>
              </w:rPr>
            </w:pPr>
          </w:p>
        </w:tc>
        <w:tc>
          <w:tcPr>
            <w:tcW w:w="1200" w:type="dxa"/>
            <w:vAlign w:val="bottom"/>
            <w:tcBorders>
              <w:top w:val="single" w:sz="8" w:color="0000EE"/>
              <w:bottom w:val="single" w:sz="8" w:color="0000EE"/>
            </w:tcBorders>
            <w:gridSpan w:val="5"/>
          </w:tcPr>
          <w:p>
            <w:pPr>
              <w:spacing w:after="0"/>
              <w:rPr>
                <w:rFonts w:ascii="Arial" w:cs="Arial" w:eastAsia="Arial" w:hAnsi="Arial"/>
                <w:sz w:val="12"/>
                <w:szCs w:val="12"/>
                <w:color w:val="0000EE"/>
                <w:w w:val="88"/>
              </w:rPr>
            </w:pPr>
            <w:hyperlink w:anchor="page33">
              <w:r>
                <w:rPr>
                  <w:rFonts w:ascii="Arial" w:cs="Arial" w:eastAsia="Arial" w:hAnsi="Arial"/>
                  <w:sz w:val="12"/>
                  <w:szCs w:val="12"/>
                  <w:color w:val="0000EE"/>
                  <w:w w:val="88"/>
                </w:rPr>
                <w:t>Controls and Procedures</w:t>
              </w:r>
            </w:hyperlink>
          </w:p>
        </w:tc>
        <w:tc>
          <w:tcPr>
            <w:tcW w:w="1740" w:type="dxa"/>
            <w:vAlign w:val="bottom"/>
            <w:tcBorders>
              <w:top w:val="single" w:sz="8" w:color="0000EE"/>
            </w:tcBorders>
            <w:gridSpan w:val="7"/>
          </w:tcPr>
          <w:p>
            <w:pPr>
              <w:spacing w:after="0"/>
              <w:rPr>
                <w:sz w:val="23"/>
                <w:szCs w:val="23"/>
                <w:color w:val="auto"/>
              </w:rPr>
            </w:pPr>
          </w:p>
        </w:tc>
        <w:tc>
          <w:tcPr>
            <w:tcW w:w="3440" w:type="dxa"/>
            <w:vAlign w:val="bottom"/>
            <w:gridSpan w:val="2"/>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272"/>
        </w:trPr>
        <w:tc>
          <w:tcPr>
            <w:tcW w:w="1300" w:type="dxa"/>
            <w:vAlign w:val="bottom"/>
            <w:tcBorders>
              <w:bottom w:val="single" w:sz="8" w:color="0000EE"/>
            </w:tcBorders>
            <w:gridSpan w:val="5"/>
          </w:tcPr>
          <w:p>
            <w:pPr>
              <w:spacing w:after="0"/>
              <w:rPr>
                <w:rFonts w:ascii="Arial" w:cs="Arial" w:eastAsia="Arial" w:hAnsi="Arial"/>
                <w:sz w:val="12"/>
                <w:szCs w:val="12"/>
                <w:color w:val="0000EE"/>
                <w:w w:val="94"/>
              </w:rPr>
            </w:pPr>
            <w:hyperlink w:anchor="page33">
              <w:r>
                <w:rPr>
                  <w:rFonts w:ascii="Arial" w:cs="Arial" w:eastAsia="Arial" w:hAnsi="Arial"/>
                  <w:sz w:val="12"/>
                  <w:szCs w:val="12"/>
                  <w:color w:val="0000EE"/>
                  <w:w w:val="94"/>
                </w:rPr>
                <w:t>Part II - Other Information</w:t>
              </w:r>
            </w:hyperlink>
          </w:p>
        </w:tc>
        <w:tc>
          <w:tcPr>
            <w:tcW w:w="5860" w:type="dxa"/>
            <w:vAlign w:val="bottom"/>
            <w:gridSpan w:val="11"/>
          </w:tcPr>
          <w:p>
            <w:pPr>
              <w:spacing w:after="0"/>
              <w:rPr>
                <w:sz w:val="23"/>
                <w:szCs w:val="23"/>
                <w:color w:val="auto"/>
              </w:rPr>
            </w:pPr>
          </w:p>
        </w:tc>
        <w:tc>
          <w:tcPr>
            <w:tcW w:w="1940" w:type="dxa"/>
            <w:vAlign w:val="bottom"/>
          </w:tcPr>
          <w:p>
            <w:pPr>
              <w:spacing w:after="0"/>
              <w:rPr>
                <w:sz w:val="23"/>
                <w:szCs w:val="23"/>
                <w:color w:val="auto"/>
              </w:rPr>
            </w:pPr>
          </w:p>
        </w:tc>
      </w:tr>
      <w:tr>
        <w:trPr>
          <w:trHeight w:val="272"/>
        </w:trPr>
        <w:tc>
          <w:tcPr>
            <w:tcW w:w="340" w:type="dxa"/>
            <w:vAlign w:val="bottom"/>
          </w:tcPr>
          <w:p>
            <w:pPr>
              <w:spacing w:after="0"/>
              <w:rPr>
                <w:rFonts w:ascii="Arial" w:cs="Arial" w:eastAsia="Arial" w:hAnsi="Arial"/>
                <w:sz w:val="12"/>
                <w:szCs w:val="12"/>
                <w:color w:val="0000EE"/>
                <w:w w:val="87"/>
              </w:rPr>
            </w:pPr>
            <w:hyperlink w:anchor="page33">
              <w:r>
                <w:rPr>
                  <w:rFonts w:ascii="Arial" w:cs="Arial" w:eastAsia="Arial" w:hAnsi="Arial"/>
                  <w:sz w:val="12"/>
                  <w:szCs w:val="12"/>
                  <w:color w:val="0000EE"/>
                  <w:w w:val="87"/>
                </w:rPr>
                <w:t>Item 6.</w:t>
              </w:r>
            </w:hyperlink>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33">
              <w:r>
                <w:rPr>
                  <w:rFonts w:ascii="Arial" w:cs="Arial" w:eastAsia="Arial" w:hAnsi="Arial"/>
                  <w:sz w:val="12"/>
                  <w:szCs w:val="12"/>
                  <w:color w:val="0000EE"/>
                </w:rPr>
                <w:t>Exhibits</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20"/>
        </w:trPr>
        <w:tc>
          <w:tcPr>
            <w:tcW w:w="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2"/>
        </w:trPr>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380" w:type="dxa"/>
            <w:vAlign w:val="bottom"/>
            <w:gridSpan w:val="14"/>
          </w:tcPr>
          <w:p>
            <w:pPr>
              <w:spacing w:after="0"/>
              <w:rPr>
                <w:rFonts w:ascii="Arial" w:cs="Arial" w:eastAsia="Arial" w:hAnsi="Arial"/>
                <w:sz w:val="12"/>
                <w:szCs w:val="12"/>
                <w:color w:val="0000EE"/>
              </w:rPr>
            </w:pPr>
            <w:hyperlink w:anchor="page34">
              <w:r>
                <w:rPr>
                  <w:rFonts w:ascii="Arial" w:cs="Arial" w:eastAsia="Arial" w:hAnsi="Arial"/>
                  <w:sz w:val="12"/>
                  <w:szCs w:val="12"/>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398"/>
        </w:trPr>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100"/>
          </w:cols>
          <w:pgMar w:left="1400" w:top="120" w:right="1399" w:bottom="1440" w:gutter="0" w:footer="0" w:header="0"/>
        </w:sectPr>
      </w:pPr>
    </w:p>
    <w:bookmarkStart w:id="2" w:name="page3"/>
    <w:bookmarkEnd w:id="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1.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USA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4"/>
        </w:trPr>
        <w:tc>
          <w:tcPr>
            <w:tcW w:w="6200" w:type="dxa"/>
            <w:vAlign w:val="bottom"/>
            <w:gridSpan w:val="2"/>
          </w:tcPr>
          <w:p>
            <w:pPr>
              <w:spacing w:after="0"/>
              <w:rPr>
                <w:sz w:val="20"/>
                <w:szCs w:val="20"/>
                <w:color w:val="auto"/>
              </w:rPr>
            </w:pPr>
            <w:r>
              <w:rPr>
                <w:rFonts w:ascii="Arial" w:cs="Arial" w:eastAsia="Arial" w:hAnsi="Arial"/>
                <w:sz w:val="10"/>
                <w:szCs w:val="10"/>
                <w:b w:val="1"/>
                <w:bCs w:val="1"/>
                <w:color w:val="auto"/>
              </w:rPr>
              <w:t>($ in thousands, except shares)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40"/>
              <w:spacing w:after="0"/>
              <w:rPr>
                <w:sz w:val="20"/>
                <w:szCs w:val="20"/>
                <w:color w:val="auto"/>
              </w:rPr>
            </w:pPr>
            <w:r>
              <w:rPr>
                <w:rFonts w:ascii="Arial" w:cs="Arial" w:eastAsia="Arial" w:hAnsi="Arial"/>
                <w:sz w:val="10"/>
                <w:szCs w:val="10"/>
                <w:b w:val="1"/>
                <w:bCs w:val="1"/>
                <w:color w:val="auto"/>
                <w:w w:val="89"/>
              </w:rPr>
              <w:t>2017</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80"/>
              <w:spacing w:after="0"/>
              <w:rPr>
                <w:sz w:val="20"/>
                <w:szCs w:val="20"/>
                <w:color w:val="auto"/>
              </w:rPr>
            </w:pPr>
            <w:r>
              <w:rPr>
                <w:rFonts w:ascii="Arial" w:cs="Arial" w:eastAsia="Arial" w:hAnsi="Arial"/>
                <w:sz w:val="10"/>
                <w:szCs w:val="10"/>
                <w:b w:val="1"/>
                <w:bCs w:val="1"/>
                <w:color w:val="auto"/>
                <w:w w:val="80"/>
              </w:rPr>
              <w:t>2017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40"/>
              <w:spacing w:after="0" w:line="108" w:lineRule="exact"/>
              <w:rPr>
                <w:sz w:val="20"/>
                <w:szCs w:val="20"/>
                <w:color w:val="auto"/>
              </w:rPr>
            </w:pPr>
            <w:r>
              <w:rPr>
                <w:rFonts w:ascii="Arial" w:cs="Arial" w:eastAsia="Arial" w:hAnsi="Arial"/>
                <w:sz w:val="10"/>
                <w:szCs w:val="10"/>
                <w:b w:val="1"/>
                <w:bCs w:val="1"/>
                <w:i w:val="1"/>
                <w:iCs w:val="1"/>
                <w:color w:val="auto"/>
                <w:w w:val="88"/>
              </w:rPr>
              <w:t>(unaudited)</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60"/>
              <w:spacing w:after="0" w:line="108" w:lineRule="exact"/>
              <w:rPr>
                <w:sz w:val="20"/>
                <w:szCs w:val="20"/>
                <w:color w:val="auto"/>
              </w:rPr>
            </w:pPr>
            <w:r>
              <w:rPr>
                <w:rFonts w:ascii="Arial" w:cs="Arial" w:eastAsia="Arial" w:hAnsi="Arial"/>
                <w:sz w:val="10"/>
                <w:szCs w:val="10"/>
                <w:b w:val="1"/>
                <w:bCs w:val="1"/>
                <w:i w:val="1"/>
                <w:iCs w:val="1"/>
                <w:color w:val="auto"/>
                <w:w w:val="85"/>
              </w:rPr>
              <w:t>(audited)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Assets</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line="119" w:lineRule="exact"/>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Cash and cash equivalents</w:t>
            </w:r>
          </w:p>
        </w:tc>
        <w:tc>
          <w:tcPr>
            <w:tcW w:w="380" w:type="dxa"/>
            <w:vAlign w:val="bottom"/>
            <w:gridSpan w:val="2"/>
            <w:shd w:val="clear" w:color="auto" w:fill="CCEEFF"/>
          </w:tcPr>
          <w:p>
            <w:pPr>
              <w:jc w:val="right"/>
              <w:ind w:right="115"/>
              <w:spacing w:after="0" w:line="119" w:lineRule="exact"/>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15,386</w:t>
            </w:r>
          </w:p>
        </w:tc>
        <w:tc>
          <w:tcPr>
            <w:tcW w:w="1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Accounts receivable, less allowance of $3,740 and $3,149, respectively</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15,472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7,193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Finance receivables, less allowance of $49 and $19, respectively</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5,517</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Inventory</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11,215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4,586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Prepaid expenses and other current assets</w:t>
            </w:r>
          </w:p>
        </w:tc>
        <w:tc>
          <w:tcPr>
            <w:tcW w:w="2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1,971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line="108" w:lineRule="exact"/>
              <w:rPr>
                <w:sz w:val="20"/>
                <w:szCs w:val="20"/>
                <w:color w:val="auto"/>
              </w:rPr>
            </w:pPr>
            <w:r>
              <w:rPr>
                <w:rFonts w:ascii="Arial" w:cs="Arial" w:eastAsia="Arial" w:hAnsi="Arial"/>
                <w:sz w:val="12"/>
                <w:szCs w:val="12"/>
                <w:color w:val="auto"/>
              </w:rPr>
              <w:t>Total current assets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Arial" w:cs="Arial" w:eastAsia="Arial" w:hAnsi="Arial"/>
                <w:sz w:val="12"/>
                <w:szCs w:val="12"/>
                <w:color w:val="auto"/>
              </w:rPr>
              <w:t>49,561</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right"/>
              <w:spacing w:after="0" w:line="108" w:lineRule="exact"/>
              <w:rPr>
                <w:sz w:val="20"/>
                <w:szCs w:val="20"/>
                <w:color w:val="auto"/>
              </w:rPr>
            </w:pPr>
            <w:r>
              <w:rPr>
                <w:rFonts w:ascii="Arial" w:cs="Arial" w:eastAsia="Arial" w:hAnsi="Arial"/>
                <w:sz w:val="12"/>
                <w:szCs w:val="12"/>
                <w:color w:val="auto"/>
              </w:rPr>
              <w:t>36,502</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180" w:type="dxa"/>
            <w:vAlign w:val="bottom"/>
          </w:tcPr>
          <w:p>
            <w:pPr>
              <w:spacing w:after="0" w:line="119" w:lineRule="exact"/>
              <w:rPr>
                <w:sz w:val="20"/>
                <w:szCs w:val="20"/>
                <w:color w:val="auto"/>
              </w:rPr>
            </w:pPr>
            <w:r>
              <w:rPr>
                <w:rFonts w:ascii="Arial" w:cs="Arial" w:eastAsia="Arial" w:hAnsi="Arial"/>
                <w:sz w:val="12"/>
                <w:szCs w:val="12"/>
                <w:color w:val="auto"/>
              </w:rPr>
              <w:t>Non-current assets: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Finance receivables, less current portion</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11,215</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8,607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1,120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687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Property and equipment, net</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12,622</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12,111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14,774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27,670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Intangibles, net</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30,910</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Goodwill</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64,449</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11,492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non-current assets</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135,090</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61,189</w:t>
            </w:r>
          </w:p>
        </w:tc>
        <w:tc>
          <w:tcPr>
            <w:tcW w:w="0" w:type="dxa"/>
            <w:vAlign w:val="bottom"/>
          </w:tcPr>
          <w:p>
            <w:pPr>
              <w:spacing w:after="0"/>
              <w:rPr>
                <w:sz w:val="1"/>
                <w:szCs w:val="1"/>
                <w:color w:val="auto"/>
              </w:rPr>
            </w:pPr>
          </w:p>
        </w:tc>
      </w:tr>
      <w:tr>
        <w:trPr>
          <w:trHeight w:val="119"/>
        </w:trPr>
        <w:tc>
          <w:tcPr>
            <w:tcW w:w="62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top w:val="single" w:sz="8" w:color="CCEEFF"/>
              <w:bottom w:val="single" w:sz="8" w:color="CCEEFF"/>
            </w:tcBorders>
            <w:shd w:val="clear" w:color="auto" w:fill="CCEEFF"/>
          </w:tcPr>
          <w:p>
            <w:pPr>
              <w:spacing w:after="0" w:line="108" w:lineRule="exact"/>
              <w:rPr>
                <w:sz w:val="20"/>
                <w:szCs w:val="20"/>
                <w:color w:val="auto"/>
              </w:rPr>
            </w:pPr>
            <w:r>
              <w:rPr>
                <w:rFonts w:ascii="Arial" w:cs="Arial" w:eastAsia="Arial" w:hAnsi="Arial"/>
                <w:sz w:val="12"/>
                <w:szCs w:val="12"/>
                <w:color w:val="auto"/>
              </w:rPr>
              <w:t>Total assets</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184,651</w:t>
            </w: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97,691</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1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Liabilities and shareholders’ equity</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line="119" w:lineRule="exact"/>
              <w:rPr>
                <w:sz w:val="20"/>
                <w:szCs w:val="20"/>
                <w:color w:val="auto"/>
              </w:rPr>
            </w:pPr>
            <w:r>
              <w:rPr>
                <w:rFonts w:ascii="Arial" w:cs="Arial" w:eastAsia="Arial" w:hAnsi="Arial"/>
                <w:sz w:val="12"/>
                <w:szCs w:val="12"/>
                <w:color w:val="auto"/>
              </w:rPr>
              <w:t>Current liabilities: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Accounts payable</w:t>
            </w:r>
          </w:p>
        </w:tc>
        <w:tc>
          <w:tcPr>
            <w:tcW w:w="380" w:type="dxa"/>
            <w:vAlign w:val="bottom"/>
            <w:gridSpan w:val="2"/>
            <w:shd w:val="clear" w:color="auto" w:fill="CCEEFF"/>
          </w:tcPr>
          <w:p>
            <w:pPr>
              <w:jc w:val="right"/>
              <w:ind w:right="115"/>
              <w:spacing w:after="0" w:line="119" w:lineRule="exact"/>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23,775</w:t>
            </w:r>
          </w:p>
        </w:tc>
        <w:tc>
          <w:tcPr>
            <w:tcW w:w="1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16,054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6,798</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4,130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Line of credit, net</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7,036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Capital lease obligations and current obligations under long-term debt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5,121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3,230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Income taxes payable</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595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Deferred gain from sale-leaseback transactions</w:t>
            </w:r>
          </w:p>
        </w:tc>
        <w:tc>
          <w:tcPr>
            <w:tcW w:w="2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198</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line="108" w:lineRule="exact"/>
              <w:rPr>
                <w:sz w:val="20"/>
                <w:szCs w:val="20"/>
                <w:color w:val="auto"/>
              </w:rPr>
            </w:pPr>
            <w:r>
              <w:rPr>
                <w:rFonts w:ascii="Arial" w:cs="Arial" w:eastAsia="Arial" w:hAnsi="Arial"/>
                <w:sz w:val="12"/>
                <w:szCs w:val="12"/>
                <w:color w:val="auto"/>
              </w:rPr>
              <w:t>Total current liabilities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Arial" w:cs="Arial" w:eastAsia="Arial" w:hAnsi="Arial"/>
                <w:sz w:val="12"/>
                <w:szCs w:val="12"/>
                <w:color w:val="auto"/>
              </w:rPr>
              <w:t>36,493</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right"/>
              <w:spacing w:after="0" w:line="108" w:lineRule="exact"/>
              <w:rPr>
                <w:sz w:val="20"/>
                <w:szCs w:val="20"/>
                <w:color w:val="auto"/>
              </w:rPr>
            </w:pPr>
            <w:r>
              <w:rPr>
                <w:rFonts w:ascii="Arial" w:cs="Arial" w:eastAsia="Arial" w:hAnsi="Arial"/>
                <w:sz w:val="12"/>
                <w:szCs w:val="12"/>
                <w:color w:val="auto"/>
              </w:rPr>
              <w:t>30,699</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180" w:type="dxa"/>
            <w:vAlign w:val="bottom"/>
          </w:tcPr>
          <w:p>
            <w:pPr>
              <w:spacing w:after="0" w:line="119" w:lineRule="exact"/>
              <w:rPr>
                <w:sz w:val="20"/>
                <w:szCs w:val="20"/>
                <w:color w:val="auto"/>
              </w:rPr>
            </w:pPr>
            <w:r>
              <w:rPr>
                <w:rFonts w:ascii="Arial" w:cs="Arial" w:eastAsia="Arial" w:hAnsi="Arial"/>
                <w:sz w:val="12"/>
                <w:szCs w:val="12"/>
                <w:color w:val="auto"/>
              </w:rPr>
              <w:t>Long-term liabilities: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Revolving credit facility</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10,000</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ind w:left="40"/>
              <w:spacing w:after="0" w:line="119" w:lineRule="exact"/>
              <w:rPr>
                <w:sz w:val="20"/>
                <w:szCs w:val="20"/>
                <w:color w:val="auto"/>
              </w:rPr>
            </w:pPr>
            <w:r>
              <w:rPr>
                <w:rFonts w:ascii="Arial" w:cs="Arial" w:eastAsia="Arial" w:hAnsi="Arial"/>
                <w:sz w:val="12"/>
                <w:szCs w:val="12"/>
                <w:color w:val="auto"/>
              </w:rPr>
              <w:t>Capital lease obligations and long-term debt, less current portion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Arial" w:cs="Arial" w:eastAsia="Arial" w:hAnsi="Arial"/>
                <w:sz w:val="12"/>
                <w:szCs w:val="12"/>
                <w:color w:val="auto"/>
              </w:rPr>
              <w:t>23,874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2"/>
                <w:szCs w:val="12"/>
                <w:color w:val="auto"/>
              </w:rPr>
              <w:t>1,061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Accrued expenses, less current portion</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65</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Deferred gain from sale-leaseback transactions, less current portion</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49</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long-term liabilities</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33,988</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1,214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liabilities</w:t>
            </w:r>
          </w:p>
        </w:tc>
        <w:tc>
          <w:tcPr>
            <w:tcW w:w="2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70,481</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31,913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1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Commitments and contingencies (Note 13)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line="119" w:lineRule="exact"/>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Preferred stock, no par value, 1,800,000 shares authorized, no shares issued</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180" w:type="dxa"/>
            <w:vAlign w:val="bottom"/>
          </w:tcPr>
          <w:p>
            <w:pPr>
              <w:ind w:left="40"/>
              <w:spacing w:after="0" w:line="101" w:lineRule="exact"/>
              <w:rPr>
                <w:sz w:val="20"/>
                <w:szCs w:val="20"/>
                <w:color w:val="auto"/>
              </w:rPr>
            </w:pPr>
            <w:r>
              <w:rPr>
                <w:rFonts w:ascii="Arial" w:cs="Arial" w:eastAsia="Arial" w:hAnsi="Arial"/>
                <w:sz w:val="11"/>
                <w:szCs w:val="11"/>
                <w:color w:val="auto"/>
                <w:w w:val="99"/>
              </w:rPr>
              <w:t>Series A convertible preferred stock, 900,000 shares authorized, 445,063 issued and outstanding, with liquidation preferences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80" w:type="dxa"/>
            <w:vAlign w:val="bottom"/>
          </w:tcPr>
          <w:p>
            <w:pPr>
              <w:ind w:left="40"/>
              <w:spacing w:after="0" w:line="137" w:lineRule="exact"/>
              <w:rPr>
                <w:sz w:val="20"/>
                <w:szCs w:val="20"/>
                <w:color w:val="auto"/>
              </w:rPr>
            </w:pPr>
            <w:r>
              <w:rPr>
                <w:rFonts w:ascii="Arial" w:cs="Arial" w:eastAsia="Arial" w:hAnsi="Arial"/>
                <w:sz w:val="12"/>
                <w:szCs w:val="12"/>
                <w:color w:val="auto"/>
              </w:rPr>
              <w:t>of $19,109 and $18,775 at December 31, 2017 and June 30, 2017, respectively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180" w:type="dxa"/>
            <w:vAlign w:val="bottom"/>
            <w:shd w:val="clear" w:color="auto" w:fill="CCEEFF"/>
          </w:tcPr>
          <w:p>
            <w:pPr>
              <w:ind w:left="40"/>
              <w:spacing w:after="0" w:line="101" w:lineRule="exact"/>
              <w:rPr>
                <w:sz w:val="20"/>
                <w:szCs w:val="20"/>
                <w:color w:val="auto"/>
              </w:rPr>
            </w:pPr>
            <w:r>
              <w:rPr>
                <w:rFonts w:ascii="Arial" w:cs="Arial" w:eastAsia="Arial" w:hAnsi="Arial"/>
                <w:sz w:val="11"/>
                <w:szCs w:val="11"/>
                <w:color w:val="auto"/>
              </w:rPr>
              <w:t>Common stock, no par value, 640,000,000 shares authorized, 53,619,898 and 40,331,645 shares issued and outstanding at</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307,053</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245,999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80" w:type="dxa"/>
            <w:vAlign w:val="bottom"/>
            <w:shd w:val="clear" w:color="auto" w:fill="CCEEFF"/>
          </w:tcPr>
          <w:p>
            <w:pPr>
              <w:ind w:left="40"/>
              <w:spacing w:after="0" w:line="137" w:lineRule="exact"/>
              <w:rPr>
                <w:sz w:val="20"/>
                <w:szCs w:val="20"/>
                <w:color w:val="auto"/>
              </w:rPr>
            </w:pPr>
            <w:r>
              <w:rPr>
                <w:rFonts w:ascii="Arial" w:cs="Arial" w:eastAsia="Arial" w:hAnsi="Arial"/>
                <w:sz w:val="12"/>
                <w:szCs w:val="12"/>
                <w:color w:val="auto"/>
              </w:rPr>
              <w:t>December 31, 2017 and June 30, 2017, respectively</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Accumulated deficit</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(196,021)</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(183,359)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shareholders’ equity</w:t>
            </w:r>
          </w:p>
        </w:tc>
        <w:tc>
          <w:tcPr>
            <w:tcW w:w="2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114,170</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1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65,778</w:t>
            </w:r>
          </w:p>
        </w:tc>
        <w:tc>
          <w:tcPr>
            <w:tcW w:w="0" w:type="dxa"/>
            <w:vAlign w:val="bottom"/>
          </w:tcPr>
          <w:p>
            <w:pPr>
              <w:spacing w:after="0"/>
              <w:rPr>
                <w:sz w:val="1"/>
                <w:szCs w:val="1"/>
                <w:color w:val="auto"/>
              </w:rPr>
            </w:pPr>
          </w:p>
        </w:tc>
      </w:tr>
      <w:tr>
        <w:trPr>
          <w:trHeight w:val="108"/>
        </w:trPr>
        <w:tc>
          <w:tcPr>
            <w:tcW w:w="6200" w:type="dxa"/>
            <w:vAlign w:val="bottom"/>
            <w:gridSpan w:val="2"/>
          </w:tcPr>
          <w:p>
            <w:pPr>
              <w:spacing w:after="0" w:line="108" w:lineRule="exact"/>
              <w:rPr>
                <w:sz w:val="20"/>
                <w:szCs w:val="20"/>
                <w:color w:val="auto"/>
              </w:rPr>
            </w:pPr>
            <w:r>
              <w:rPr>
                <w:rFonts w:ascii="Arial" w:cs="Arial" w:eastAsia="Arial" w:hAnsi="Arial"/>
                <w:sz w:val="12"/>
                <w:szCs w:val="12"/>
                <w:color w:val="auto"/>
              </w:rPr>
              <w:t>Total liabilities and shareholders’ equity</w:t>
            </w:r>
          </w:p>
        </w:tc>
        <w:tc>
          <w:tcPr>
            <w:tcW w:w="200" w:type="dxa"/>
            <w:vAlign w:val="bottom"/>
          </w:tcPr>
          <w:p>
            <w:pPr>
              <w:spacing w:after="0"/>
              <w:rPr>
                <w:sz w:val="9"/>
                <w:szCs w:val="9"/>
                <w:color w:val="auto"/>
              </w:rPr>
            </w:pPr>
          </w:p>
        </w:tc>
        <w:tc>
          <w:tcPr>
            <w:tcW w:w="180" w:type="dxa"/>
            <w:vAlign w:val="bottom"/>
            <w:tcBorders>
              <w:bottom w:val="single" w:sz="8" w:color="auto"/>
            </w:tcBorders>
          </w:tcPr>
          <w:p>
            <w:pPr>
              <w:jc w:val="right"/>
              <w:ind w:right="115"/>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184,651</w:t>
            </w: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97,691</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 w:name="page4"/>
    <w:bookmarkEnd w:id="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USA Technologies, Inc.</w:t>
      </w:r>
    </w:p>
    <w:p>
      <w:pPr>
        <w:jc w:val="center"/>
        <w:spacing w:after="0" w:line="206" w:lineRule="auto"/>
        <w:rPr>
          <w:sz w:val="20"/>
          <w:szCs w:val="20"/>
          <w:color w:val="auto"/>
        </w:rPr>
      </w:pPr>
      <w:r>
        <w:rPr>
          <w:rFonts w:ascii="Arial" w:cs="Arial" w:eastAsia="Arial" w:hAnsi="Arial"/>
          <w:sz w:val="12"/>
          <w:szCs w:val="12"/>
          <w:b w:val="1"/>
          <w:bCs w:val="1"/>
          <w:color w:val="auto"/>
        </w:rPr>
        <w:t>Consolidated Statements of Operations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Three months ended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Six months ended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 in thousands, except shares and per share data)</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401"/>
              <w:spacing w:after="0" w:line="108" w:lineRule="exact"/>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jc w:val="right"/>
              <w:ind w:right="420"/>
              <w:spacing w:after="0" w:line="108" w:lineRule="exact"/>
              <w:rPr>
                <w:sz w:val="20"/>
                <w:szCs w:val="20"/>
                <w:color w:val="auto"/>
              </w:rPr>
            </w:pPr>
            <w:r>
              <w:rPr>
                <w:rFonts w:ascii="Arial" w:cs="Arial" w:eastAsia="Arial" w:hAnsi="Arial"/>
                <w:sz w:val="10"/>
                <w:szCs w:val="10"/>
                <w:b w:val="1"/>
                <w:bCs w:val="1"/>
                <w:color w:val="auto"/>
              </w:rPr>
              <w:t>2016</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401"/>
              <w:spacing w:after="0" w:line="108" w:lineRule="exact"/>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jc w:val="right"/>
              <w:ind w:right="400"/>
              <w:spacing w:after="0" w:line="108"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Revenues:</w:t>
            </w: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ind w:left="40"/>
              <w:spacing w:after="0" w:line="119" w:lineRule="exact"/>
              <w:rPr>
                <w:sz w:val="20"/>
                <w:szCs w:val="20"/>
                <w:color w:val="auto"/>
              </w:rPr>
            </w:pPr>
            <w:r>
              <w:rPr>
                <w:rFonts w:ascii="Arial" w:cs="Arial" w:eastAsia="Arial" w:hAnsi="Arial"/>
                <w:sz w:val="12"/>
                <w:szCs w:val="12"/>
                <w:color w:val="auto"/>
              </w:rPr>
              <w:t>License and transaction fees</w:t>
            </w:r>
          </w:p>
        </w:tc>
        <w:tc>
          <w:tcPr>
            <w:tcW w:w="420" w:type="dxa"/>
            <w:vAlign w:val="bottom"/>
            <w:gridSpan w:val="2"/>
          </w:tcPr>
          <w:p>
            <w:pPr>
              <w:jc w:val="right"/>
              <w:ind w:right="149"/>
              <w:spacing w:after="0" w:line="119"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22,853</w:t>
            </w:r>
          </w:p>
        </w:tc>
        <w:tc>
          <w:tcPr>
            <w:tcW w:w="560" w:type="dxa"/>
            <w:vAlign w:val="bottom"/>
            <w:gridSpan w:val="2"/>
          </w:tcPr>
          <w:p>
            <w:pPr>
              <w:jc w:val="right"/>
              <w:ind w:right="289"/>
              <w:spacing w:after="0" w:line="119"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16,639</w:t>
            </w:r>
          </w:p>
        </w:tc>
        <w:tc>
          <w:tcPr>
            <w:tcW w:w="400" w:type="dxa"/>
            <w:vAlign w:val="bottom"/>
            <w:gridSpan w:val="2"/>
          </w:tcPr>
          <w:p>
            <w:pPr>
              <w:jc w:val="right"/>
              <w:ind w:right="149"/>
              <w:spacing w:after="0" w:line="119"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42,797</w:t>
            </w:r>
          </w:p>
        </w:tc>
        <w:tc>
          <w:tcPr>
            <w:tcW w:w="520" w:type="dxa"/>
            <w:vAlign w:val="bottom"/>
            <w:gridSpan w:val="2"/>
          </w:tcPr>
          <w:p>
            <w:pPr>
              <w:jc w:val="right"/>
              <w:ind w:right="269"/>
              <w:spacing w:after="0" w:line="119"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33,004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Equipment sales</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9,653</w:t>
            </w:r>
          </w:p>
        </w:tc>
        <w:tc>
          <w:tcPr>
            <w:tcW w:w="1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5,117</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15,326</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10,340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line="108" w:lineRule="exact"/>
              <w:rPr>
                <w:sz w:val="20"/>
                <w:szCs w:val="20"/>
                <w:color w:val="auto"/>
              </w:rPr>
            </w:pPr>
            <w:r>
              <w:rPr>
                <w:rFonts w:ascii="Arial" w:cs="Arial" w:eastAsia="Arial" w:hAnsi="Arial"/>
                <w:sz w:val="12"/>
                <w:szCs w:val="12"/>
                <w:color w:val="auto"/>
              </w:rPr>
              <w:t>Total revenues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32,506</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2"/>
                <w:szCs w:val="12"/>
                <w:color w:val="auto"/>
              </w:rPr>
              <w:t>21,756</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58,123</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2"/>
                <w:szCs w:val="12"/>
                <w:color w:val="auto"/>
              </w:rPr>
              <w:t>43,344</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tcPr>
          <w:p>
            <w:pPr>
              <w:spacing w:after="0" w:line="119" w:lineRule="exact"/>
              <w:rPr>
                <w:sz w:val="20"/>
                <w:szCs w:val="20"/>
                <w:color w:val="auto"/>
              </w:rPr>
            </w:pPr>
            <w:r>
              <w:rPr>
                <w:rFonts w:ascii="Arial" w:cs="Arial" w:eastAsia="Arial" w:hAnsi="Arial"/>
                <w:sz w:val="12"/>
                <w:szCs w:val="12"/>
                <w:color w:val="auto"/>
              </w:rPr>
              <w:t>Costs of sales: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Cost of services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14,362</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11,389</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27,688</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22,632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Cost of equipment</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8,943</w:t>
            </w:r>
          </w:p>
        </w:tc>
        <w:tc>
          <w:tcPr>
            <w:tcW w:w="1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4,033</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14,033</w:t>
            </w: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8,211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costs of sales</w:t>
            </w:r>
          </w:p>
        </w:tc>
        <w:tc>
          <w:tcPr>
            <w:tcW w:w="16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23,305</w:t>
            </w:r>
          </w:p>
        </w:tc>
        <w:tc>
          <w:tcPr>
            <w:tcW w:w="16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15,422</w:t>
            </w:r>
          </w:p>
        </w:tc>
        <w:tc>
          <w:tcPr>
            <w:tcW w:w="14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41,721</w:t>
            </w:r>
          </w:p>
        </w:tc>
        <w:tc>
          <w:tcPr>
            <w:tcW w:w="14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30,843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Gross profit</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9,201</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6,334</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16,402</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12,501</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Operating expenses: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ind w:left="40"/>
              <w:spacing w:after="0" w:line="119" w:lineRule="exact"/>
              <w:rPr>
                <w:sz w:val="20"/>
                <w:szCs w:val="20"/>
                <w:color w:val="auto"/>
              </w:rPr>
            </w:pPr>
            <w:r>
              <w:rPr>
                <w:rFonts w:ascii="Arial" w:cs="Arial" w:eastAsia="Arial" w:hAnsi="Arial"/>
                <w:sz w:val="12"/>
                <w:szCs w:val="12"/>
                <w:color w:val="auto"/>
              </w:rPr>
              <w:t>Selling, general and administrative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8,329</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5,785</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15,075</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12,593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Integration and acquisition costs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3,335</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4,097</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Depreciation and amortization</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737</w:t>
            </w:r>
          </w:p>
        </w:tc>
        <w:tc>
          <w:tcPr>
            <w:tcW w:w="1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307</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982</w:t>
            </w: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operating expenses</w:t>
            </w:r>
          </w:p>
        </w:tc>
        <w:tc>
          <w:tcPr>
            <w:tcW w:w="16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12,401</w:t>
            </w:r>
          </w:p>
        </w:tc>
        <w:tc>
          <w:tcPr>
            <w:tcW w:w="16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6,100</w:t>
            </w:r>
          </w:p>
        </w:tc>
        <w:tc>
          <w:tcPr>
            <w:tcW w:w="14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20,154</w:t>
            </w:r>
          </w:p>
        </w:tc>
        <w:tc>
          <w:tcPr>
            <w:tcW w:w="14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13,217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Operating (loss) income</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(3,200)</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234</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(3,752)</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Other income (expense):</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ind w:left="40"/>
              <w:spacing w:after="0" w:line="119" w:lineRule="exact"/>
              <w:rPr>
                <w:sz w:val="20"/>
                <w:szCs w:val="20"/>
                <w:color w:val="auto"/>
              </w:rPr>
            </w:pPr>
            <w:r>
              <w:rPr>
                <w:rFonts w:ascii="Arial" w:cs="Arial" w:eastAsia="Arial" w:hAnsi="Arial"/>
                <w:sz w:val="12"/>
                <w:szCs w:val="12"/>
                <w:color w:val="auto"/>
              </w:rPr>
              <w:t>Interest income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251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200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331</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Interest expense</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(494)</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(201)</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(703)</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2"/>
                <w:szCs w:val="12"/>
                <w:color w:val="auto"/>
              </w:rPr>
              <w:t>Change in fair value of warrant liabilities</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Total other expense, net</w:t>
            </w:r>
          </w:p>
        </w:tc>
        <w:tc>
          <w:tcPr>
            <w:tcW w:w="16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(243)</w:t>
            </w:r>
          </w:p>
        </w:tc>
        <w:tc>
          <w:tcPr>
            <w:tcW w:w="16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(372)</w:t>
            </w:r>
          </w:p>
        </w:tc>
        <w:tc>
          <w:tcPr>
            <w:tcW w:w="14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(1,630)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(Loss) income before income taxes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(3,443)</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233</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(4,124)</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(2,346)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spacing w:after="0" w:line="119" w:lineRule="exact"/>
              <w:rPr>
                <w:sz w:val="20"/>
                <w:szCs w:val="20"/>
                <w:color w:val="auto"/>
              </w:rPr>
            </w:pPr>
            <w:r>
              <w:rPr>
                <w:rFonts w:ascii="Arial" w:cs="Arial" w:eastAsia="Arial" w:hAnsi="Arial"/>
                <w:sz w:val="12"/>
                <w:szCs w:val="12"/>
                <w:color w:val="auto"/>
              </w:rPr>
              <w:t>(Provision) benefit for income taxes</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(9,073)</w:t>
            </w:r>
          </w:p>
        </w:tc>
        <w:tc>
          <w:tcPr>
            <w:tcW w:w="1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(8,605)</w:t>
            </w: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980" w:type="dxa"/>
            <w:vAlign w:val="bottom"/>
          </w:tcPr>
          <w:p>
            <w:pPr>
              <w:spacing w:after="0" w:line="119" w:lineRule="exact"/>
              <w:rPr>
                <w:sz w:val="20"/>
                <w:szCs w:val="20"/>
                <w:color w:val="auto"/>
              </w:rPr>
            </w:pPr>
            <w:r>
              <w:rPr>
                <w:rFonts w:ascii="Arial" w:cs="Arial" w:eastAsia="Arial" w:hAnsi="Arial"/>
                <w:sz w:val="12"/>
                <w:szCs w:val="12"/>
                <w:color w:val="auto"/>
              </w:rPr>
              <w:t>Net (loss) income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(12,516)</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233</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(12,729)</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Preferred dividends</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(334)</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Borders>
              <w:bottom w:val="single" w:sz="8" w:color="CCEEFF"/>
            </w:tcBorders>
          </w:tcPr>
          <w:p>
            <w:pPr>
              <w:spacing w:after="0" w:line="108" w:lineRule="exact"/>
              <w:rPr>
                <w:sz w:val="20"/>
                <w:szCs w:val="20"/>
                <w:color w:val="auto"/>
              </w:rPr>
            </w:pPr>
            <w:r>
              <w:rPr>
                <w:rFonts w:ascii="Arial" w:cs="Arial" w:eastAsia="Arial" w:hAnsi="Arial"/>
                <w:sz w:val="12"/>
                <w:szCs w:val="12"/>
                <w:color w:val="auto"/>
              </w:rPr>
              <w:t>Net (loss) income applicable to common shares</w:t>
            </w:r>
          </w:p>
        </w:tc>
        <w:tc>
          <w:tcPr>
            <w:tcW w:w="16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49"/>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(12,516)</w:t>
            </w:r>
          </w:p>
        </w:tc>
        <w:tc>
          <w:tcPr>
            <w:tcW w:w="16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right"/>
              <w:ind w:right="289"/>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233</w:t>
            </w:r>
          </w:p>
        </w:tc>
        <w:tc>
          <w:tcPr>
            <w:tcW w:w="14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49"/>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(13,063)</w:t>
            </w:r>
          </w:p>
        </w:tc>
        <w:tc>
          <w:tcPr>
            <w:tcW w:w="1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269"/>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(2,565)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Net (loss) income per common share</w:t>
            </w: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ind w:left="120"/>
              <w:spacing w:after="0" w:line="119" w:lineRule="exact"/>
              <w:rPr>
                <w:sz w:val="20"/>
                <w:szCs w:val="20"/>
                <w:color w:val="auto"/>
              </w:rPr>
            </w:pPr>
            <w:r>
              <w:rPr>
                <w:rFonts w:ascii="Arial" w:cs="Arial" w:eastAsia="Arial" w:hAnsi="Arial"/>
                <w:sz w:val="12"/>
                <w:szCs w:val="12"/>
                <w:color w:val="auto"/>
              </w:rPr>
              <w:t>Basic</w:t>
            </w: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(0.24)</w:t>
            </w:r>
          </w:p>
        </w:tc>
        <w:tc>
          <w:tcPr>
            <w:tcW w:w="1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0.01</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(0.26)</w:t>
            </w: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80" w:type="dxa"/>
            <w:vAlign w:val="bottom"/>
            <w:tcBorders>
              <w:bottom w:val="single" w:sz="8" w:color="CCEEFF"/>
            </w:tcBorders>
            <w:shd w:val="clear" w:color="auto" w:fill="CCEEFF"/>
          </w:tcPr>
          <w:p>
            <w:pPr>
              <w:ind w:left="120"/>
              <w:spacing w:after="0" w:line="117" w:lineRule="exact"/>
              <w:rPr>
                <w:sz w:val="20"/>
                <w:szCs w:val="20"/>
                <w:color w:val="auto"/>
              </w:rPr>
            </w:pPr>
            <w:r>
              <w:rPr>
                <w:rFonts w:ascii="Arial" w:cs="Arial" w:eastAsia="Arial" w:hAnsi="Arial"/>
                <w:sz w:val="12"/>
                <w:szCs w:val="12"/>
                <w:color w:val="auto"/>
              </w:rPr>
              <w:t>Diluted</w:t>
            </w: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(0.24)</w:t>
            </w: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0.01</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(0.26)</w:t>
            </w:r>
          </w:p>
        </w:tc>
        <w:tc>
          <w:tcPr>
            <w:tcW w:w="1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80" w:type="dxa"/>
            <w:vAlign w:val="bottom"/>
          </w:tcPr>
          <w:p>
            <w:pPr>
              <w:spacing w:after="0" w:line="97" w:lineRule="exact"/>
              <w:rPr>
                <w:sz w:val="20"/>
                <w:szCs w:val="20"/>
                <w:color w:val="auto"/>
              </w:rPr>
            </w:pPr>
            <w:r>
              <w:rPr>
                <w:rFonts w:ascii="Arial" w:cs="Arial" w:eastAsia="Arial" w:hAnsi="Arial"/>
                <w:sz w:val="11"/>
                <w:szCs w:val="11"/>
                <w:color w:val="auto"/>
              </w:rPr>
              <w:t>Weighted average number of common shares outstanding</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Borders>
              <w:bottom w:val="single" w:sz="8" w:color="CCEEFF"/>
            </w:tcBorders>
            <w:shd w:val="clear" w:color="auto" w:fill="CCEEFF"/>
          </w:tcPr>
          <w:p>
            <w:pPr>
              <w:ind w:left="120"/>
              <w:spacing w:after="0" w:line="119" w:lineRule="exact"/>
              <w:rPr>
                <w:sz w:val="20"/>
                <w:szCs w:val="20"/>
                <w:color w:val="auto"/>
              </w:rPr>
            </w:pPr>
            <w:r>
              <w:rPr>
                <w:rFonts w:ascii="Arial" w:cs="Arial" w:eastAsia="Arial" w:hAnsi="Arial"/>
                <w:sz w:val="12"/>
                <w:szCs w:val="12"/>
                <w:color w:val="auto"/>
              </w:rPr>
              <w:t>Basic</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52,150,106</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40,308,934</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49,861,735</w:t>
            </w: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39,398,469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80" w:type="dxa"/>
            <w:vAlign w:val="bottom"/>
          </w:tcPr>
          <w:p>
            <w:pPr>
              <w:ind w:left="120"/>
              <w:spacing w:after="0" w:line="97" w:lineRule="exact"/>
              <w:rPr>
                <w:sz w:val="20"/>
                <w:szCs w:val="20"/>
                <w:color w:val="auto"/>
              </w:rPr>
            </w:pPr>
            <w:r>
              <w:rPr>
                <w:rFonts w:ascii="Arial" w:cs="Arial" w:eastAsia="Arial" w:hAnsi="Arial"/>
                <w:sz w:val="11"/>
                <w:szCs w:val="11"/>
                <w:color w:val="auto"/>
              </w:rPr>
              <w:t>Diluted</w:t>
            </w: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52,150,106</w:t>
            </w: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40,730,712</w:t>
            </w:r>
          </w:p>
        </w:tc>
        <w:tc>
          <w:tcPr>
            <w:tcW w:w="1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49,861,735</w:t>
            </w:r>
          </w:p>
        </w:tc>
        <w:tc>
          <w:tcPr>
            <w:tcW w:w="1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39,398,469</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 w:name="page5"/>
    <w:bookmarkEnd w:id="4"/>
    <w:p>
      <w:pPr>
        <w:ind w:left="5"/>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USA Technologies, Inc.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Consolidated Statement of Shareholders’ Equity</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(Unaudited)</w:t>
      </w:r>
    </w:p>
    <w:p>
      <w:pPr>
        <w:spacing w:after="0" w:line="158" w:lineRule="exact"/>
        <w:rPr>
          <w:sz w:val="20"/>
          <w:szCs w:val="20"/>
          <w:color w:val="auto"/>
        </w:rPr>
      </w:pPr>
    </w:p>
    <w:tbl>
      <w:tblPr>
        <w:tblLayout w:type="fixed"/>
        <w:tblInd w:w="5" w:type="dxa"/>
        <w:tblCellMar>
          <w:top w:w="0" w:type="dxa"/>
          <w:left w:w="0" w:type="dxa"/>
          <w:bottom w:w="0" w:type="dxa"/>
          <w:right w:w="0" w:type="dxa"/>
        </w:tblCellMar>
      </w:tblPr>
      <w:tr>
        <w:trPr>
          <w:trHeight w:val="119"/>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left="604"/>
              <w:spacing w:after="0"/>
              <w:rPr>
                <w:sz w:val="20"/>
                <w:szCs w:val="20"/>
                <w:color w:val="auto"/>
              </w:rPr>
            </w:pPr>
            <w:r>
              <w:rPr>
                <w:rFonts w:ascii="Arial" w:cs="Arial" w:eastAsia="Arial" w:hAnsi="Arial"/>
                <w:sz w:val="10"/>
                <w:szCs w:val="10"/>
                <w:b w:val="1"/>
                <w:bCs w:val="1"/>
                <w:color w:val="auto"/>
                <w:w w:val="84"/>
              </w:rPr>
              <w:t>Series 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9"/>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left="604"/>
              <w:spacing w:after="0"/>
              <w:rPr>
                <w:sz w:val="20"/>
                <w:szCs w:val="20"/>
                <w:color w:val="auto"/>
              </w:rPr>
            </w:pPr>
            <w:r>
              <w:rPr>
                <w:rFonts w:ascii="Arial" w:cs="Arial" w:eastAsia="Arial" w:hAnsi="Arial"/>
                <w:sz w:val="10"/>
                <w:szCs w:val="10"/>
                <w:b w:val="1"/>
                <w:bCs w:val="1"/>
                <w:color w:val="auto"/>
                <w:w w:val="90"/>
              </w:rPr>
              <w:t>Convertible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4"/>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88"/>
              </w:rPr>
              <w:t>Preferred Stock</w:t>
            </w:r>
          </w:p>
        </w:tc>
        <w:tc>
          <w:tcPr>
            <w:tcW w:w="1300" w:type="dxa"/>
            <w:vAlign w:val="bottom"/>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22"/>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08"/>
        </w:trPr>
        <w:tc>
          <w:tcPr>
            <w:tcW w:w="32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 in thousands, except shares)</w:t>
            </w:r>
          </w:p>
        </w:tc>
        <w:tc>
          <w:tcPr>
            <w:tcW w:w="860" w:type="dxa"/>
            <w:vAlign w:val="bottom"/>
            <w:tcBorders>
              <w:top w:val="single" w:sz="8" w:color="auto"/>
            </w:tcBorders>
          </w:tcPr>
          <w:p>
            <w:pPr>
              <w:jc w:val="right"/>
              <w:ind w:right="244"/>
              <w:spacing w:after="0" w:line="108"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221"/>
              <w:spacing w:after="0" w:line="108" w:lineRule="exact"/>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9"/>
                <w:szCs w:val="9"/>
                <w:color w:val="auto"/>
              </w:rPr>
            </w:pPr>
          </w:p>
        </w:tc>
        <w:tc>
          <w:tcPr>
            <w:tcW w:w="940" w:type="dxa"/>
            <w:vAlign w:val="bottom"/>
            <w:tcBorders>
              <w:top w:val="single" w:sz="8" w:color="auto"/>
            </w:tcBorders>
          </w:tcPr>
          <w:p>
            <w:pPr>
              <w:jc w:val="right"/>
              <w:ind w:right="282"/>
              <w:spacing w:after="0" w:line="108"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221"/>
              <w:spacing w:after="0" w:line="108"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ind w:right="262"/>
              <w:spacing w:after="0" w:line="108"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ind w:right="281"/>
              <w:spacing w:after="0" w:line="108" w:lineRule="exact"/>
              <w:rPr>
                <w:sz w:val="20"/>
                <w:szCs w:val="20"/>
                <w:color w:val="auto"/>
              </w:rPr>
            </w:pPr>
            <w:r>
              <w:rPr>
                <w:rFonts w:ascii="Arial" w:cs="Arial" w:eastAsia="Arial" w:hAnsi="Arial"/>
                <w:sz w:val="10"/>
                <w:szCs w:val="10"/>
                <w:b w:val="1"/>
                <w:bCs w:val="1"/>
                <w:color w:val="auto"/>
              </w:rPr>
              <w:t>Total</w:t>
            </w:r>
          </w:p>
        </w:tc>
      </w:tr>
      <w:tr>
        <w:trPr>
          <w:trHeight w:val="108"/>
        </w:trPr>
        <w:tc>
          <w:tcPr>
            <w:tcW w:w="312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Balance, June 30, 2017</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445,063</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ind w:right="129"/>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3,138</w:t>
            </w: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40,331,645</w:t>
            </w: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ind w:right="149"/>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245,999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(183,359)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89"/>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65,778</w:t>
            </w:r>
          </w:p>
        </w:tc>
      </w:tr>
      <w:tr>
        <w:trPr>
          <w:trHeight w:val="101"/>
        </w:trPr>
        <w:tc>
          <w:tcPr>
            <w:tcW w:w="3220" w:type="dxa"/>
            <w:vAlign w:val="bottom"/>
            <w:gridSpan w:val="2"/>
          </w:tcPr>
          <w:p>
            <w:pPr>
              <w:spacing w:after="0" w:line="101" w:lineRule="exact"/>
              <w:rPr>
                <w:sz w:val="20"/>
                <w:szCs w:val="20"/>
                <w:color w:val="auto"/>
              </w:rPr>
            </w:pPr>
            <w:r>
              <w:rPr>
                <w:rFonts w:ascii="Arial" w:cs="Arial" w:eastAsia="Arial" w:hAnsi="Arial"/>
                <w:sz w:val="11"/>
                <w:szCs w:val="11"/>
                <w:color w:val="auto"/>
              </w:rPr>
              <w:t>Issuance of common stock in relation to public offering, net of</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55"/>
        </w:trPr>
        <w:tc>
          <w:tcPr>
            <w:tcW w:w="3220" w:type="dxa"/>
            <w:vAlign w:val="bottom"/>
            <w:gridSpan w:val="2"/>
          </w:tcPr>
          <w:p>
            <w:pPr>
              <w:spacing w:after="0"/>
              <w:rPr>
                <w:sz w:val="20"/>
                <w:szCs w:val="20"/>
                <w:color w:val="auto"/>
              </w:rPr>
            </w:pPr>
            <w:r>
              <w:rPr>
                <w:rFonts w:ascii="Arial" w:cs="Arial" w:eastAsia="Arial" w:hAnsi="Arial"/>
                <w:sz w:val="12"/>
                <w:szCs w:val="12"/>
                <w:color w:val="auto"/>
              </w:rPr>
              <w:t xml:space="preserve">offering costs incurred of $3,237 </w:t>
            </w:r>
            <w:r>
              <w:rPr>
                <w:rFonts w:ascii="Arial" w:cs="Arial" w:eastAsia="Arial" w:hAnsi="Arial"/>
                <w:sz w:val="6"/>
                <w:szCs w:val="6"/>
                <w:color w:val="auto"/>
              </w:rPr>
              <w:t>(a)</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9,583,332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39,888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39,888</w:t>
            </w:r>
          </w:p>
        </w:tc>
      </w:tr>
      <w:tr>
        <w:trPr>
          <w:trHeight w:val="137"/>
        </w:trPr>
        <w:tc>
          <w:tcPr>
            <w:tcW w:w="32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Issuance of common stock as merger consideration</w:t>
            </w:r>
            <w:r>
              <w:rPr>
                <w:rFonts w:ascii="Arial" w:cs="Arial" w:eastAsia="Arial" w:hAnsi="Arial"/>
                <w:sz w:val="6"/>
                <w:szCs w:val="6"/>
                <w:color w:val="auto"/>
              </w:rPr>
              <w:t>(b)</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3,423,367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19,810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19,810</w:t>
            </w:r>
          </w:p>
        </w:tc>
      </w:tr>
      <w:tr>
        <w:trPr>
          <w:trHeight w:val="119"/>
        </w:trPr>
        <w:tc>
          <w:tcPr>
            <w:tcW w:w="3220" w:type="dxa"/>
            <w:vAlign w:val="bottom"/>
            <w:gridSpan w:val="2"/>
          </w:tcPr>
          <w:p>
            <w:pPr>
              <w:spacing w:after="0" w:line="119" w:lineRule="exact"/>
              <w:rPr>
                <w:sz w:val="20"/>
                <w:szCs w:val="20"/>
                <w:color w:val="auto"/>
              </w:rPr>
            </w:pPr>
            <w:r>
              <w:rPr>
                <w:rFonts w:ascii="Arial" w:cs="Arial" w:eastAsia="Arial" w:hAnsi="Arial"/>
                <w:sz w:val="12"/>
                <w:szCs w:val="12"/>
                <w:color w:val="auto"/>
              </w:rPr>
              <w:t>Stock based compensation</w:t>
            </w: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9" w:lineRule="exact"/>
              <w:rPr>
                <w:sz w:val="20"/>
                <w:szCs w:val="20"/>
                <w:color w:val="auto"/>
              </w:rPr>
            </w:pPr>
            <w:r>
              <w:rPr>
                <w:rFonts w:ascii="Arial" w:cs="Arial" w:eastAsia="Arial" w:hAnsi="Arial"/>
                <w:sz w:val="12"/>
                <w:szCs w:val="12"/>
                <w:color w:val="auto"/>
              </w:rPr>
              <w:t>281,554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2"/>
                <w:szCs w:val="12"/>
                <w:color w:val="auto"/>
              </w:rPr>
              <w:t>1,356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2"/>
                <w:szCs w:val="12"/>
                <w:color w:val="auto"/>
              </w:rPr>
              <w:t>1,356</w:t>
            </w:r>
          </w:p>
        </w:tc>
      </w:tr>
      <w:tr>
        <w:trPr>
          <w:trHeight w:val="137"/>
        </w:trPr>
        <w:tc>
          <w:tcPr>
            <w:tcW w:w="32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Excess tax benefit from stock plans</w:t>
            </w:r>
            <w:r>
              <w:rPr>
                <w:rFonts w:ascii="Arial" w:cs="Arial" w:eastAsia="Arial" w:hAnsi="Arial"/>
                <w:sz w:val="6"/>
                <w:szCs w:val="6"/>
                <w:color w:val="auto"/>
              </w:rPr>
              <w:t>(c)</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67</w:t>
            </w:r>
          </w:p>
        </w:tc>
      </w:tr>
      <w:tr>
        <w:trPr>
          <w:trHeight w:val="119"/>
        </w:trPr>
        <w:tc>
          <w:tcPr>
            <w:tcW w:w="3220" w:type="dxa"/>
            <w:vAlign w:val="bottom"/>
            <w:gridSpan w:val="2"/>
          </w:tcPr>
          <w:p>
            <w:pPr>
              <w:spacing w:after="0" w:line="119" w:lineRule="exact"/>
              <w:rPr>
                <w:sz w:val="20"/>
                <w:szCs w:val="20"/>
                <w:color w:val="auto"/>
              </w:rPr>
            </w:pPr>
            <w:r>
              <w:rPr>
                <w:rFonts w:ascii="Arial" w:cs="Arial" w:eastAsia="Arial" w:hAnsi="Arial"/>
                <w:sz w:val="12"/>
                <w:szCs w:val="12"/>
                <w:color w:val="auto"/>
              </w:rPr>
              <w:t>Net loss</w:t>
            </w:r>
          </w:p>
        </w:tc>
        <w:tc>
          <w:tcPr>
            <w:tcW w:w="8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(12,729)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2"/>
                <w:szCs w:val="12"/>
                <w:color w:val="auto"/>
              </w:rPr>
              <w:t>(12,729)</w:t>
            </w:r>
          </w:p>
        </w:tc>
      </w:tr>
      <w:tr>
        <w:trPr>
          <w:trHeight w:val="108"/>
        </w:trPr>
        <w:tc>
          <w:tcPr>
            <w:tcW w:w="3220" w:type="dxa"/>
            <w:vAlign w:val="bottom"/>
            <w:tcBorders>
              <w:top w:val="single" w:sz="8" w:color="CCEEFF"/>
              <w:bottom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Balance, December 31, 2017</w:t>
            </w:r>
          </w:p>
        </w:tc>
        <w:tc>
          <w:tcPr>
            <w:tcW w:w="8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445,063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ind w:right="129"/>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3,138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94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53,619,898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49"/>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307,053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(196,021)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9"/>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114,170</w:t>
            </w:r>
          </w:p>
        </w:tc>
      </w:tr>
    </w:tbl>
    <w:p>
      <w:pPr>
        <w:ind w:left="225" w:hanging="225"/>
        <w:spacing w:after="0" w:line="230" w:lineRule="auto"/>
        <w:tabs>
          <w:tab w:leader="none" w:pos="225" w:val="left"/>
        </w:tabs>
        <w:numPr>
          <w:ilvl w:val="0"/>
          <w:numId w:val="3"/>
        </w:numPr>
        <w:rPr>
          <w:rFonts w:ascii="Arial" w:cs="Arial" w:eastAsia="Arial" w:hAnsi="Arial"/>
          <w:sz w:val="24"/>
          <w:szCs w:val="24"/>
          <w:color w:val="auto"/>
          <w:vertAlign w:val="subscript"/>
        </w:rPr>
      </w:pPr>
      <w:r>
        <w:rPr>
          <w:rFonts w:ascii="Arial" w:cs="Arial" w:eastAsia="Arial" w:hAnsi="Arial"/>
          <w:sz w:val="10"/>
          <w:szCs w:val="10"/>
          <w:color w:val="auto"/>
        </w:rPr>
        <w:t>Refer to Note 12 regarding the public offering issued during July 2017.</w:t>
      </w:r>
    </w:p>
    <w:p>
      <w:pPr>
        <w:spacing w:after="0" w:line="31" w:lineRule="exact"/>
        <w:rPr>
          <w:rFonts w:ascii="Arial" w:cs="Arial" w:eastAsia="Arial" w:hAnsi="Arial"/>
          <w:sz w:val="24"/>
          <w:szCs w:val="24"/>
          <w:color w:val="auto"/>
          <w:vertAlign w:val="subscript"/>
        </w:rPr>
      </w:pPr>
    </w:p>
    <w:p>
      <w:pPr>
        <w:ind w:left="225" w:hanging="225"/>
        <w:spacing w:after="0" w:line="184" w:lineRule="auto"/>
        <w:tabs>
          <w:tab w:leader="none" w:pos="225" w:val="left"/>
        </w:tabs>
        <w:numPr>
          <w:ilvl w:val="0"/>
          <w:numId w:val="3"/>
        </w:numPr>
        <w:rPr>
          <w:rFonts w:ascii="Arial" w:cs="Arial" w:eastAsia="Arial" w:hAnsi="Arial"/>
          <w:sz w:val="13"/>
          <w:szCs w:val="13"/>
          <w:color w:val="auto"/>
          <w:vertAlign w:val="subscript"/>
        </w:rPr>
      </w:pPr>
      <w:r>
        <w:rPr>
          <w:rFonts w:ascii="Arial" w:cs="Arial" w:eastAsia="Arial" w:hAnsi="Arial"/>
          <w:sz w:val="7"/>
          <w:szCs w:val="7"/>
          <w:color w:val="auto"/>
        </w:rPr>
        <w:t>Refer to Note 3 regarding the business acquisition executed during November 2017.</w:t>
      </w:r>
    </w:p>
    <w:p>
      <w:pPr>
        <w:spacing w:after="0" w:line="31" w:lineRule="exact"/>
        <w:rPr>
          <w:rFonts w:ascii="Arial" w:cs="Arial" w:eastAsia="Arial" w:hAnsi="Arial"/>
          <w:sz w:val="13"/>
          <w:szCs w:val="13"/>
          <w:color w:val="auto"/>
          <w:vertAlign w:val="subscript"/>
        </w:rPr>
      </w:pPr>
    </w:p>
    <w:p>
      <w:pPr>
        <w:ind w:left="225" w:hanging="225"/>
        <w:spacing w:after="0" w:line="184" w:lineRule="auto"/>
        <w:tabs>
          <w:tab w:leader="none" w:pos="225" w:val="left"/>
        </w:tabs>
        <w:numPr>
          <w:ilvl w:val="0"/>
          <w:numId w:val="3"/>
        </w:numPr>
        <w:rPr>
          <w:rFonts w:ascii="Arial" w:cs="Arial" w:eastAsia="Arial" w:hAnsi="Arial"/>
          <w:sz w:val="13"/>
          <w:szCs w:val="13"/>
          <w:color w:val="auto"/>
          <w:vertAlign w:val="subscript"/>
        </w:rPr>
      </w:pPr>
      <w:r>
        <w:rPr>
          <w:rFonts w:ascii="Arial" w:cs="Arial" w:eastAsia="Arial" w:hAnsi="Arial"/>
          <w:sz w:val="7"/>
          <w:szCs w:val="7"/>
          <w:color w:val="auto"/>
        </w:rPr>
        <w:t>Refer to Note 2 regarding the adoption of ASU 2016-09.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578548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5485" cy="5715"/>
                    </a:xfrm>
                    <a:prstGeom prst="rect">
                      <a:avLst/>
                    </a:prstGeom>
                    <a:noFill/>
                  </pic:spPr>
                </pic:pic>
              </a:graphicData>
            </a:graphic>
          </wp:anchor>
        </w:drawing>
      </w:r>
    </w:p>
    <w:p>
      <w:pPr>
        <w:spacing w:after="0" w:line="153" w:lineRule="exact"/>
        <w:rPr>
          <w:sz w:val="20"/>
          <w:szCs w:val="20"/>
          <w:color w:val="auto"/>
        </w:rPr>
      </w:pPr>
    </w:p>
    <w:p>
      <w:pPr>
        <w:ind w:left="5"/>
        <w:spacing w:after="0"/>
        <w:rPr>
          <w:sz w:val="20"/>
          <w:szCs w:val="20"/>
          <w:color w:val="auto"/>
        </w:rPr>
      </w:pPr>
      <w:r>
        <w:rPr>
          <w:rFonts w:ascii="Arial" w:cs="Arial" w:eastAsia="Arial" w:hAnsi="Arial"/>
          <w:sz w:val="12"/>
          <w:szCs w:val="12"/>
          <w:i w:val="1"/>
          <w:iCs w:val="1"/>
          <w:color w:val="auto"/>
        </w:rPr>
        <w:t>See accompanying notes.</w:t>
      </w:r>
    </w:p>
    <w:p>
      <w:pPr>
        <w:spacing w:after="0" w:line="318" w:lineRule="exact"/>
        <w:rPr>
          <w:sz w:val="20"/>
          <w:szCs w:val="20"/>
          <w:color w:val="auto"/>
        </w:rPr>
      </w:pPr>
    </w:p>
    <w:p>
      <w:pPr>
        <w:jc w:val="center"/>
        <w:ind w:right="-4"/>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57854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05"/>
          </w:cols>
          <w:pgMar w:left="1395" w:top="131" w:right="1399" w:bottom="1440" w:gutter="0" w:footer="0" w:header="0"/>
        </w:sectPr>
      </w:pPr>
    </w:p>
    <w:bookmarkStart w:id="5" w:name="page6"/>
    <w:bookmarkEnd w:id="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USA Technologies, Inc.</w:t>
      </w:r>
    </w:p>
    <w:p>
      <w:pPr>
        <w:jc w:val="center"/>
        <w:spacing w:after="0" w:line="206" w:lineRule="auto"/>
        <w:rPr>
          <w:sz w:val="20"/>
          <w:szCs w:val="20"/>
          <w:color w:val="auto"/>
        </w:rPr>
      </w:pPr>
      <w:r>
        <w:rPr>
          <w:rFonts w:ascii="Arial" w:cs="Arial" w:eastAsia="Arial" w:hAnsi="Arial"/>
          <w:sz w:val="12"/>
          <w:szCs w:val="12"/>
          <w:b w:val="1"/>
          <w:bCs w:val="1"/>
          <w:color w:val="auto"/>
        </w:rPr>
        <w:t>Consolidated Statements of Cash Flows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0"/>
                <w:szCs w:val="10"/>
                <w:b w:val="1"/>
                <w:bCs w:val="1"/>
                <w:color w:val="auto"/>
              </w:rPr>
              <w:t>December 31,</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 in thousands)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ind w:right="420"/>
              <w:spacing w:after="0" w:line="108" w:lineRule="exact"/>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right"/>
              <w:ind w:right="420"/>
              <w:spacing w:after="0" w:line="108"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OPERATING ACTIVITIES:</w:t>
            </w: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Net loss</w:t>
            </w:r>
          </w:p>
        </w:tc>
        <w:tc>
          <w:tcPr>
            <w:tcW w:w="420" w:type="dxa"/>
            <w:vAlign w:val="bottom"/>
            <w:gridSpan w:val="2"/>
          </w:tcPr>
          <w:p>
            <w:pPr>
              <w:jc w:val="right"/>
              <w:ind w:right="149"/>
              <w:spacing w:after="0" w:line="119"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(12,729)</w:t>
            </w:r>
          </w:p>
        </w:tc>
        <w:tc>
          <w:tcPr>
            <w:tcW w:w="520" w:type="dxa"/>
            <w:vAlign w:val="bottom"/>
            <w:gridSpan w:val="2"/>
          </w:tcPr>
          <w:p>
            <w:pPr>
              <w:jc w:val="right"/>
              <w:ind w:right="269"/>
              <w:spacing w:after="0" w:line="119"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Non-cash stock based compensation</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1,356</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Gain on disposal of property and equipment</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(83)</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Non-cash interest and amortization of debt discount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86</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Bad debt expense</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291</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3,476</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2,564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Change in fair value of warrant liabilities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Excess tax benefits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67</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Deferred income taxes, net</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8,537</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Recognition of deferred gain from sale-leaseback transactions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(93)</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(430)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Changes in operating assets and liabilities: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Accounts receivable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(5,290)</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(2,347)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Finance receivables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7,958</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2,119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Inventory</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(5,822)</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(2,689)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Prepaid expenses and other current assets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(606)</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ind w:left="40"/>
              <w:spacing w:after="0" w:line="119" w:lineRule="exact"/>
              <w:rPr>
                <w:sz w:val="20"/>
                <w:szCs w:val="20"/>
                <w:color w:val="auto"/>
              </w:rPr>
            </w:pPr>
            <w:r>
              <w:rPr>
                <w:rFonts w:ascii="Arial" w:cs="Arial" w:eastAsia="Arial" w:hAnsi="Arial"/>
                <w:sz w:val="12"/>
                <w:szCs w:val="12"/>
                <w:color w:val="auto"/>
              </w:rPr>
              <w:t>Accounts payable and accrued expenses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6,950</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(3,840)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ind w:left="40"/>
              <w:spacing w:after="0" w:line="119" w:lineRule="exact"/>
              <w:rPr>
                <w:sz w:val="20"/>
                <w:szCs w:val="20"/>
                <w:color w:val="auto"/>
              </w:rPr>
            </w:pPr>
            <w:r>
              <w:rPr>
                <w:rFonts w:ascii="Arial" w:cs="Arial" w:eastAsia="Arial" w:hAnsi="Arial"/>
                <w:sz w:val="12"/>
                <w:szCs w:val="12"/>
                <w:color w:val="auto"/>
              </w:rPr>
              <w:t>Income taxes payable</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40</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line="108" w:lineRule="exact"/>
              <w:rPr>
                <w:sz w:val="20"/>
                <w:szCs w:val="20"/>
                <w:color w:val="auto"/>
              </w:rPr>
            </w:pPr>
            <w:r>
              <w:rPr>
                <w:rFonts w:ascii="Arial" w:cs="Arial" w:eastAsia="Arial" w:hAnsi="Arial"/>
                <w:sz w:val="12"/>
                <w:szCs w:val="12"/>
                <w:color w:val="auto"/>
              </w:rPr>
              <w:t>Net cash provided by (used in) operating activities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4,138</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(5,143)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INVESTING ACTIVITIES: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Purchase of property and equipment, including rentals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(1,767)</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(1,944)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Proceeds from sale of property and equipment, including rentals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157</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Cash used for Cantaloupe acquisition</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(65,181)</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line="108" w:lineRule="exact"/>
              <w:rPr>
                <w:sz w:val="20"/>
                <w:szCs w:val="20"/>
                <w:color w:val="auto"/>
              </w:rPr>
            </w:pPr>
            <w:r>
              <w:rPr>
                <w:rFonts w:ascii="Arial" w:cs="Arial" w:eastAsia="Arial" w:hAnsi="Arial"/>
                <w:sz w:val="12"/>
                <w:szCs w:val="12"/>
                <w:color w:val="auto"/>
              </w:rPr>
              <w:t>Net cash used in investing activities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(66,791)</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(1,883)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FINANCING ACTIVITIES: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Cash used in retirement of common stock</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Proceeds from exercise of common stock warrants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6,193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Payment of debt issuance costs</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(445)</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Proceeds from issuance of long-term debt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25,100</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Proceeds from revolving credit facility</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10,000</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Issuance of common stock in public offering, net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39,888</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Repayment of capital lease obligations and long-term debt</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(9,249)</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line="108" w:lineRule="exact"/>
              <w:rPr>
                <w:sz w:val="20"/>
                <w:szCs w:val="20"/>
                <w:color w:val="auto"/>
              </w:rPr>
            </w:pPr>
            <w:r>
              <w:rPr>
                <w:rFonts w:ascii="Arial" w:cs="Arial" w:eastAsia="Arial" w:hAnsi="Arial"/>
                <w:sz w:val="12"/>
                <w:szCs w:val="12"/>
                <w:color w:val="auto"/>
              </w:rPr>
              <w:t>Net cash provided by financing activities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65,294</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5,788</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Net increase (decrease) in cash and cash equivalents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2,641</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(1,238)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Cash and cash equivalents at beginning of year</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12,745</w:t>
            </w:r>
          </w:p>
        </w:tc>
        <w:tc>
          <w:tcPr>
            <w:tcW w:w="1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19,272</w:t>
            </w:r>
          </w:p>
        </w:tc>
        <w:tc>
          <w:tcPr>
            <w:tcW w:w="0" w:type="dxa"/>
            <w:vAlign w:val="bottom"/>
          </w:tcPr>
          <w:p>
            <w:pPr>
              <w:spacing w:after="0"/>
              <w:rPr>
                <w:sz w:val="1"/>
                <w:szCs w:val="1"/>
                <w:color w:val="auto"/>
              </w:rPr>
            </w:pPr>
          </w:p>
        </w:tc>
      </w:tr>
      <w:tr>
        <w:trPr>
          <w:trHeight w:val="108"/>
        </w:trPr>
        <w:tc>
          <w:tcPr>
            <w:tcW w:w="6520" w:type="dxa"/>
            <w:vAlign w:val="bottom"/>
            <w:gridSpan w:val="2"/>
          </w:tcPr>
          <w:p>
            <w:pPr>
              <w:spacing w:after="0" w:line="108" w:lineRule="exact"/>
              <w:rPr>
                <w:sz w:val="20"/>
                <w:szCs w:val="20"/>
                <w:color w:val="auto"/>
              </w:rPr>
            </w:pPr>
            <w:r>
              <w:rPr>
                <w:rFonts w:ascii="Arial" w:cs="Arial" w:eastAsia="Arial" w:hAnsi="Arial"/>
                <w:sz w:val="12"/>
                <w:szCs w:val="12"/>
                <w:color w:val="auto"/>
              </w:rPr>
              <w:t>Cash and cash equivalents at end of period</w:t>
            </w:r>
          </w:p>
        </w:tc>
        <w:tc>
          <w:tcPr>
            <w:tcW w:w="160" w:type="dxa"/>
            <w:vAlign w:val="bottom"/>
          </w:tcPr>
          <w:p>
            <w:pPr>
              <w:spacing w:after="0"/>
              <w:rPr>
                <w:sz w:val="9"/>
                <w:szCs w:val="9"/>
                <w:color w:val="auto"/>
              </w:rPr>
            </w:pPr>
          </w:p>
        </w:tc>
        <w:tc>
          <w:tcPr>
            <w:tcW w:w="260" w:type="dxa"/>
            <w:vAlign w:val="bottom"/>
          </w:tcPr>
          <w:p>
            <w:pPr>
              <w:jc w:val="right"/>
              <w:ind w:right="149"/>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15,386</w:t>
            </w:r>
          </w:p>
        </w:tc>
        <w:tc>
          <w:tcPr>
            <w:tcW w:w="140" w:type="dxa"/>
            <w:vAlign w:val="bottom"/>
          </w:tcPr>
          <w:p>
            <w:pPr>
              <w:spacing w:after="0"/>
              <w:rPr>
                <w:sz w:val="9"/>
                <w:szCs w:val="9"/>
                <w:color w:val="auto"/>
              </w:rPr>
            </w:pPr>
          </w:p>
        </w:tc>
        <w:tc>
          <w:tcPr>
            <w:tcW w:w="380" w:type="dxa"/>
            <w:vAlign w:val="bottom"/>
          </w:tcPr>
          <w:p>
            <w:pPr>
              <w:jc w:val="right"/>
              <w:ind w:right="269"/>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18,034</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5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i w:val="1"/>
                <w:iCs w:val="1"/>
                <w:color w:val="auto"/>
              </w:rPr>
              <w:t>Supplemental disclosures of cash flow information</w:t>
            </w: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Interest paid in cash</w:t>
            </w:r>
          </w:p>
        </w:tc>
        <w:tc>
          <w:tcPr>
            <w:tcW w:w="420" w:type="dxa"/>
            <w:vAlign w:val="bottom"/>
            <w:gridSpan w:val="2"/>
            <w:shd w:val="clear" w:color="auto" w:fill="CCEEFF"/>
          </w:tcPr>
          <w:p>
            <w:pPr>
              <w:jc w:val="right"/>
              <w:ind w:right="149"/>
              <w:spacing w:after="0" w:line="119"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557</w:t>
            </w:r>
          </w:p>
        </w:tc>
        <w:tc>
          <w:tcPr>
            <w:tcW w:w="520" w:type="dxa"/>
            <w:vAlign w:val="bottom"/>
            <w:gridSpan w:val="2"/>
            <w:shd w:val="clear" w:color="auto" w:fill="CCEEFF"/>
          </w:tcPr>
          <w:p>
            <w:pPr>
              <w:jc w:val="right"/>
              <w:ind w:right="269"/>
              <w:spacing w:after="0" w:line="11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20" w:type="dxa"/>
            <w:vAlign w:val="bottom"/>
            <w:gridSpan w:val="2"/>
          </w:tcPr>
          <w:p>
            <w:pPr>
              <w:spacing w:after="0" w:line="97" w:lineRule="exact"/>
              <w:rPr>
                <w:sz w:val="20"/>
                <w:szCs w:val="20"/>
                <w:color w:val="auto"/>
              </w:rPr>
            </w:pPr>
            <w:r>
              <w:rPr>
                <w:rFonts w:ascii="Arial" w:cs="Arial" w:eastAsia="Arial" w:hAnsi="Arial"/>
                <w:sz w:val="11"/>
                <w:szCs w:val="11"/>
                <w:color w:val="auto"/>
              </w:rPr>
              <w:t>Income taxes paid in cash (refund), net</w:t>
            </w:r>
          </w:p>
        </w:tc>
        <w:tc>
          <w:tcPr>
            <w:tcW w:w="160" w:type="dxa"/>
            <w:vAlign w:val="bottom"/>
          </w:tcPr>
          <w:p>
            <w:pPr>
              <w:spacing w:after="0"/>
              <w:rPr>
                <w:sz w:val="8"/>
                <w:szCs w:val="8"/>
                <w:color w:val="auto"/>
              </w:rPr>
            </w:pPr>
          </w:p>
        </w:tc>
        <w:tc>
          <w:tcPr>
            <w:tcW w:w="260" w:type="dxa"/>
            <w:vAlign w:val="bottom"/>
          </w:tcPr>
          <w:p>
            <w:pPr>
              <w:jc w:val="right"/>
              <w:ind w:right="149"/>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380" w:type="dxa"/>
            <w:vAlign w:val="bottom"/>
          </w:tcPr>
          <w:p>
            <w:pPr>
              <w:jc w:val="right"/>
              <w:ind w:right="269"/>
              <w:spacing w:after="0" w:line="97" w:lineRule="exact"/>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0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2"/>
                <w:szCs w:val="12"/>
                <w:i w:val="1"/>
                <w:iCs w:val="1"/>
                <w:color w:val="auto"/>
              </w:rPr>
              <w:t>Supplemental disclosures of noncash financing and investing activities:</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line="119" w:lineRule="exact"/>
              <w:rPr>
                <w:sz w:val="20"/>
                <w:szCs w:val="20"/>
                <w:color w:val="auto"/>
              </w:rPr>
            </w:pPr>
            <w:r>
              <w:rPr>
                <w:rFonts w:ascii="Arial" w:cs="Arial" w:eastAsia="Arial" w:hAnsi="Arial"/>
                <w:sz w:val="12"/>
                <w:szCs w:val="12"/>
                <w:color w:val="auto"/>
              </w:rPr>
              <w:t>Equity issued in connection with Cantaloupe Acquisition</w:t>
            </w:r>
          </w:p>
        </w:tc>
        <w:tc>
          <w:tcPr>
            <w:tcW w:w="420" w:type="dxa"/>
            <w:vAlign w:val="bottom"/>
            <w:gridSpan w:val="2"/>
          </w:tcPr>
          <w:p>
            <w:pPr>
              <w:jc w:val="right"/>
              <w:ind w:right="149"/>
              <w:spacing w:after="0" w:line="119"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19,810</w:t>
            </w:r>
          </w:p>
        </w:tc>
        <w:tc>
          <w:tcPr>
            <w:tcW w:w="520" w:type="dxa"/>
            <w:vAlign w:val="bottom"/>
            <w:gridSpan w:val="2"/>
          </w:tcPr>
          <w:p>
            <w:pPr>
              <w:jc w:val="right"/>
              <w:ind w:right="269"/>
              <w:spacing w:after="0" w:line="119"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00" w:type="dxa"/>
            <w:vAlign w:val="bottom"/>
            <w:tcBorders>
              <w:top w:val="single" w:sz="8" w:color="CCEEFF"/>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Equipment and software acquired under capital lease</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227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5485" cy="11430"/>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 w:name="page7"/>
    <w:bookmarkEnd w:id="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USA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BUSINESS</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3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combination also marries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INTERIM FINANCIAL INFORMATION</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2017. In the opinion of management, all adjustments considered necessary for a fair presentation, consisting of normal recurring adjustments, have been included. Operating results for the three and six months ended December 31, 2017 are not necessarily indicative of the results that may be expected for the year ending June 30, 2018. The balance sheet at June 30, 2017 has been derived from the audited consolidated financial statements at that date, but does not include all disclosures required by accounting principles generally accepted in the United States of America.</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OF PRESENTATION</w:t>
      </w:r>
    </w:p>
    <w:p>
      <w:pPr>
        <w:spacing w:after="0" w:line="63" w:lineRule="exact"/>
        <w:rPr>
          <w:sz w:val="20"/>
          <w:szCs w:val="20"/>
          <w:color w:val="auto"/>
        </w:rPr>
      </w:pPr>
    </w:p>
    <w:p>
      <w:pPr>
        <w:jc w:val="both"/>
        <w:ind w:right="20"/>
        <w:spacing w:after="0" w:line="303" w:lineRule="auto"/>
        <w:rPr>
          <w:sz w:val="20"/>
          <w:szCs w:val="20"/>
          <w:color w:val="auto"/>
        </w:rPr>
      </w:pPr>
      <w:r>
        <w:rPr>
          <w:rFonts w:ascii="Arial" w:cs="Arial" w:eastAsia="Arial" w:hAnsi="Arial"/>
          <w:sz w:val="11"/>
          <w:szCs w:val="11"/>
          <w:color w:val="auto"/>
        </w:rPr>
        <w:t>Certain reclassifications of prior year’s data have been made to conform to current year’s presentation. As disclosed in Note 3, the Company incurred integration and acquisition expenses during the current period and deemed it appropriate to have such costs individually captioned within the statement of operations. Accordingly, the Company retrospectively reclassified integration and acquisition costs incurred in the corresponding periods from the previous fiscal year to conform to the current period’s presentation.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 w:name="page8"/>
    <w:bookmarkEnd w:id="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pronouncements adopted in fiscal year 2018</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In January 2017, the Financial Accounting Standards Board (the "FASB") issued Accounting Standards Update No. 2017-04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consolidated financial statements.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$16 thousand of excess tax benefits in the Company's provision for income taxes for the six months ended December 31, 2017.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adoption of ASU No. 2016-09 did not impact our statement of cash flows for the three and six months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pronouncements to be adopted.</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In May 2014, the FASB issued ASU 2014-09, “Revenue from Contracts with Customers (Topic 606) (“the New Standard”).” This ASU was amended by ASU No. 2015-14, issued in August 2015, which deferred the original effective date by one year. The new guidance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arising from contracts with customers. The ASU is now effective for fiscal years, and interim reporting periods within those years, beginning with the year ending June 30, 2019.</w:t>
      </w:r>
    </w:p>
    <w:p>
      <w:pPr>
        <w:spacing w:after="0" w:line="128" w:lineRule="exact"/>
        <w:rPr>
          <w:sz w:val="20"/>
          <w:szCs w:val="20"/>
          <w:color w:val="auto"/>
        </w:rPr>
      </w:pPr>
    </w:p>
    <w:p>
      <w:pPr>
        <w:jc w:val="both"/>
        <w:ind w:right="20"/>
        <w:spacing w:after="0" w:line="294" w:lineRule="auto"/>
        <w:rPr>
          <w:sz w:val="20"/>
          <w:szCs w:val="20"/>
          <w:color w:val="auto"/>
        </w:rPr>
      </w:pPr>
      <w:r>
        <w:rPr>
          <w:rFonts w:ascii="Arial" w:cs="Arial" w:eastAsia="Arial" w:hAnsi="Arial"/>
          <w:sz w:val="11"/>
          <w:szCs w:val="11"/>
          <w:color w:val="auto"/>
        </w:rPr>
        <w:t>The Company’s project plan includes a three-phase approach to implementing this standard update. The Company is currently evaluating the impact of the potential changes identified by its initial phase one assessment work which included internal surveys of the business, holding revenue recognition workshops with sales and business unit finance leadership, and reviewing a representative sample of revenue arrangements across the business to initially identify a set of applicable qualitative revenue recognition changes related to the new standard update. During the quarter, the Company completed an acquisition of Cantaloupe and has commenced the phase one assessment of the recently acquired business.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8" w:name="page9"/>
    <w:bookmarkEnd w:id="8"/>
    <w:p>
      <w:pPr>
        <w:ind w:left="5"/>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73" w:lineRule="exact"/>
        <w:rPr>
          <w:sz w:val="20"/>
          <w:szCs w:val="20"/>
          <w:color w:val="auto"/>
        </w:rPr>
      </w:pPr>
    </w:p>
    <w:p>
      <w:pPr>
        <w:jc w:val="both"/>
        <w:ind w:left="5"/>
        <w:spacing w:after="0" w:line="331" w:lineRule="auto"/>
        <w:rPr>
          <w:sz w:val="20"/>
          <w:szCs w:val="20"/>
          <w:color w:val="auto"/>
        </w:rPr>
      </w:pPr>
      <w:r>
        <w:rPr>
          <w:rFonts w:ascii="Arial" w:cs="Arial" w:eastAsia="Arial" w:hAnsi="Arial"/>
          <w:sz w:val="10"/>
          <w:szCs w:val="10"/>
          <w:color w:val="auto"/>
        </w:rPr>
        <w:t>The objectives for the second phase of the project will be to establish and document key accounting policies and assess disclosures, business process and control impacts resulting from the New Standard. New policies and procedures identified during phase two will be applied to both historical Company revenue streams and those of the recently acquired business to ensure compliance with the New Standard. Lastly, the objectives of phase three will comprise effectively implementing the new standard update and embedding the new accounting treatment into the Company’s business processes and controls to support the financial reporting requirements. Phase three is expected to be completed in the fourth quarter of fiscal year 2018.</w:t>
      </w:r>
    </w:p>
    <w:p>
      <w:pPr>
        <w:spacing w:after="0" w:line="95" w:lineRule="exact"/>
        <w:rPr>
          <w:sz w:val="20"/>
          <w:szCs w:val="20"/>
          <w:color w:val="auto"/>
        </w:rPr>
      </w:pPr>
    </w:p>
    <w:p>
      <w:pPr>
        <w:jc w:val="both"/>
        <w:ind w:left="5" w:right="20"/>
        <w:spacing w:after="0" w:line="310" w:lineRule="auto"/>
        <w:rPr>
          <w:sz w:val="20"/>
          <w:szCs w:val="20"/>
          <w:color w:val="auto"/>
        </w:rPr>
      </w:pPr>
      <w:r>
        <w:rPr>
          <w:rFonts w:ascii="Arial" w:cs="Arial" w:eastAsia="Arial" w:hAnsi="Arial"/>
          <w:sz w:val="10"/>
          <w:szCs w:val="10"/>
          <w:color w:val="auto"/>
        </w:rPr>
        <w:t>The Company is still evaluating the impact that the New Standard will have on the Company’s consolidated financial statements and will be unable to quantify its impact until the third phase of the project has been completed. The standard is expected to impact the Company’s revenue recognition processes, primarily in the areas of the allocation of contract revenues. An entity can elect to apply the guidance under one of the following two methods: (i) retrospectively to each prior reporting period presented – referred to as the full retrospective method; or</w:t>
      </w:r>
    </w:p>
    <w:p>
      <w:pPr>
        <w:spacing w:after="0" w:line="1" w:lineRule="exact"/>
        <w:rPr>
          <w:sz w:val="20"/>
          <w:szCs w:val="20"/>
          <w:color w:val="auto"/>
        </w:rPr>
      </w:pPr>
    </w:p>
    <w:p>
      <w:pPr>
        <w:ind w:left="5" w:right="20" w:hanging="5"/>
        <w:spacing w:after="0" w:line="313" w:lineRule="auto"/>
        <w:tabs>
          <w:tab w:leader="none" w:pos="189" w:val="left"/>
        </w:tabs>
        <w:numPr>
          <w:ilvl w:val="0"/>
          <w:numId w:val="4"/>
        </w:numPr>
        <w:rPr>
          <w:rFonts w:ascii="Arial" w:cs="Arial" w:eastAsia="Arial" w:hAnsi="Arial"/>
          <w:sz w:val="11"/>
          <w:szCs w:val="11"/>
          <w:color w:val="auto"/>
        </w:rPr>
      </w:pPr>
      <w:r>
        <w:rPr>
          <w:rFonts w:ascii="Arial" w:cs="Arial" w:eastAsia="Arial" w:hAnsi="Arial"/>
          <w:sz w:val="11"/>
          <w:szCs w:val="11"/>
          <w:color w:val="auto"/>
        </w:rPr>
        <w:t>retrospectively with the cumulative effect of initially applying the standard recognized at the date of initial application in retained earnings – referred to as the modified retrospective method. The method of adoption has not yet been determined and is not expected to be finalized until the second phase of the project plan has been completed.</w:t>
      </w:r>
    </w:p>
    <w:p>
      <w:pPr>
        <w:spacing w:after="0" w:line="99" w:lineRule="exact"/>
        <w:rPr>
          <w:sz w:val="20"/>
          <w:szCs w:val="20"/>
          <w:color w:val="auto"/>
        </w:rPr>
      </w:pPr>
    </w:p>
    <w:p>
      <w:pPr>
        <w:jc w:val="both"/>
        <w:ind w:left="5"/>
        <w:spacing w:after="0" w:line="287" w:lineRule="auto"/>
        <w:rPr>
          <w:sz w:val="20"/>
          <w:szCs w:val="20"/>
          <w:color w:val="auto"/>
        </w:rPr>
      </w:pPr>
      <w:r>
        <w:rPr>
          <w:rFonts w:ascii="Arial" w:cs="Arial" w:eastAsia="Arial" w:hAnsi="Arial"/>
          <w:sz w:val="11"/>
          <w:szCs w:val="11"/>
          <w:color w:val="222222"/>
        </w:rPr>
        <w:t>In February 2016, the FASB issued ASU 2016-02, "Leases (Topic 842)."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company is the lessee under various agreements which are accounted for as operating leases. This amendment will be effective for the Company beginning with the year ending June 30, 2020, including interim periods within those fiscal years. Early application is permitted.</w:t>
      </w:r>
    </w:p>
    <w:p>
      <w:pPr>
        <w:spacing w:after="0" w:line="114" w:lineRule="exact"/>
        <w:rPr>
          <w:sz w:val="20"/>
          <w:szCs w:val="20"/>
          <w:color w:val="auto"/>
        </w:rPr>
      </w:pPr>
    </w:p>
    <w:p>
      <w:pPr>
        <w:jc w:val="both"/>
        <w:ind w:left="5" w:right="20"/>
        <w:spacing w:after="0" w:line="267" w:lineRule="auto"/>
        <w:rPr>
          <w:sz w:val="20"/>
          <w:szCs w:val="20"/>
          <w:color w:val="auto"/>
        </w:rPr>
      </w:pPr>
      <w:r>
        <w:rPr>
          <w:rFonts w:ascii="Arial" w:cs="Arial" w:eastAsia="Arial" w:hAnsi="Arial"/>
          <w:sz w:val="12"/>
          <w:szCs w:val="12"/>
          <w:color w:val="auto"/>
        </w:rPr>
        <w:t>In June 2016, the FASB issued ASU No. 2016-13, “Financial Instruments – Credit Losses (Topic 326).” The new guidance introduces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w:t>
      </w:r>
    </w:p>
    <w:p>
      <w:pPr>
        <w:spacing w:after="0" w:line="123" w:lineRule="exact"/>
        <w:rPr>
          <w:sz w:val="20"/>
          <w:szCs w:val="20"/>
          <w:color w:val="auto"/>
        </w:rPr>
      </w:pPr>
    </w:p>
    <w:p>
      <w:pPr>
        <w:jc w:val="both"/>
        <w:ind w:left="5"/>
        <w:spacing w:after="0" w:line="258" w:lineRule="auto"/>
        <w:rPr>
          <w:sz w:val="20"/>
          <w:szCs w:val="20"/>
          <w:color w:val="auto"/>
        </w:rPr>
      </w:pPr>
      <w:r>
        <w:rPr>
          <w:rFonts w:ascii="Arial" w:cs="Arial" w:eastAsia="Arial" w:hAnsi="Arial"/>
          <w:sz w:val="12"/>
          <w:szCs w:val="12"/>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This pronouncement will be effective for the Company beginning with the year ending June 30, 2019, and interim periods within that fiscal year.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 impracticable to apply, in which case the company would be required to apply the amendments prospectively as of the earliest date practicable. Upon adoption, the Company does not anticipate significant changes to the Company's existing accounting policies or presentation of the Statement of Cash Flows.</w:t>
      </w:r>
    </w:p>
    <w:p>
      <w:pPr>
        <w:spacing w:after="0" w:line="129" w:lineRule="exact"/>
        <w:rPr>
          <w:sz w:val="20"/>
          <w:szCs w:val="20"/>
          <w:color w:val="auto"/>
        </w:rPr>
      </w:pPr>
    </w:p>
    <w:p>
      <w:pPr>
        <w:jc w:val="both"/>
        <w:ind w:left="5"/>
        <w:spacing w:after="0" w:line="303" w:lineRule="auto"/>
        <w:rPr>
          <w:sz w:val="20"/>
          <w:szCs w:val="20"/>
          <w:color w:val="auto"/>
        </w:rPr>
      </w:pPr>
      <w:r>
        <w:rPr>
          <w:rFonts w:ascii="Arial" w:cs="Arial" w:eastAsia="Arial" w:hAnsi="Arial"/>
          <w:sz w:val="11"/>
          <w:szCs w:val="11"/>
          <w:color w:val="auto"/>
        </w:rPr>
        <w:t>In January 2017, the FASB issued ASU No. 2017-01, “Business Combinations (Topic 805), Clarifying the Definition of a Business.” ASU 2017-01 provides guidance in ascertaining whether a collection of assets and activities is considered a business. Adoption of the amendment will be applied prospectively effective for annual periods beginning after December 15, 2017 with early adoption permissible for specific transactions. Adoption is not expected to have a material effect on the Company’s consolidated financial statements.</w:t>
      </w:r>
    </w:p>
    <w:p>
      <w:pPr>
        <w:spacing w:after="0" w:line="105" w:lineRule="exact"/>
        <w:rPr>
          <w:sz w:val="20"/>
          <w:szCs w:val="20"/>
          <w:color w:val="auto"/>
        </w:rPr>
      </w:pPr>
    </w:p>
    <w:p>
      <w:pPr>
        <w:jc w:val="both"/>
        <w:ind w:left="5"/>
        <w:spacing w:after="0" w:line="260" w:lineRule="auto"/>
        <w:rPr>
          <w:sz w:val="20"/>
          <w:szCs w:val="20"/>
          <w:color w:val="auto"/>
        </w:rPr>
      </w:pPr>
      <w:r>
        <w:rPr>
          <w:rFonts w:ascii="Arial" w:cs="Arial" w:eastAsia="Arial" w:hAnsi="Arial"/>
          <w:sz w:val="12"/>
          <w:szCs w:val="12"/>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This ASU is effective for annual periods and interim periods beginning after December 15, 2017, with early adoption permissible. The guidance is required to be applied prospectively to awards modified on or after the effective date. Historically, modifications to our share-based payment awards have been limited. As such, we do not expect the application of this standard to have a material effect on our results of operations or financial position.</w:t>
      </w:r>
    </w:p>
    <w:p>
      <w:pPr>
        <w:spacing w:after="0" w:line="128" w:lineRule="exact"/>
        <w:rPr>
          <w:sz w:val="20"/>
          <w:szCs w:val="20"/>
          <w:color w:val="auto"/>
        </w:rPr>
      </w:pPr>
    </w:p>
    <w:p>
      <w:pPr>
        <w:jc w:val="center"/>
        <w:ind w:right="-4"/>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57854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5"/>
          </w:cols>
          <w:pgMar w:left="1395" w:top="131" w:right="1379" w:bottom="1440" w:gutter="0" w:footer="0" w:header="0"/>
        </w:sectPr>
      </w:pPr>
    </w:p>
    <w:bookmarkStart w:id="9" w:name="page10"/>
    <w:bookmarkEnd w:id="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ACQUISITION OF CANTALOUPE SYSTEMS, INC.</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On November 9, 2017, the Company acquired all of the outstanding equity interests of Cantaloupe pursuant to the Merger Agreement, for approximately $85.0 million in aggregate consideration, net of cash acquired. Cantaloupe is a premier provider of cloud and mobile solutions for vending, micro markets, and office coffee service.</w:t>
      </w:r>
    </w:p>
    <w:p>
      <w:pPr>
        <w:spacing w:after="0" w:line="22"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preliminary fair value of the purchase price consideration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48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r>
      <w:tr>
        <w:trPr>
          <w:trHeight w:val="135"/>
        </w:trPr>
        <w:tc>
          <w:tcPr>
            <w:tcW w:w="6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Cash consideration, net of cash acquired </w:t>
            </w:r>
            <w:r>
              <w:rPr>
                <w:rFonts w:ascii="Arial" w:cs="Arial" w:eastAsia="Arial" w:hAnsi="Arial"/>
                <w:sz w:val="12"/>
                <w:szCs w:val="12"/>
                <w:color w:val="auto"/>
                <w:vertAlign w:val="superscript"/>
              </w:rPr>
              <w:t>(1)</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(65,181)</w:t>
            </w:r>
          </w:p>
        </w:tc>
      </w:tr>
      <w:tr>
        <w:trPr>
          <w:trHeight w:val="146"/>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 xml:space="preserve">USAT shares issued as stock consideration </w:t>
            </w:r>
            <w:r>
              <w:rPr>
                <w:rFonts w:ascii="Arial" w:cs="Arial" w:eastAsia="Arial" w:hAnsi="Arial"/>
                <w:sz w:val="12"/>
                <w:szCs w:val="12"/>
                <w:color w:val="auto"/>
                <w:vertAlign w:val="superscript"/>
              </w:rPr>
              <w:t>(2)</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(19,810)</w:t>
            </w:r>
          </w:p>
        </w:tc>
      </w:tr>
      <w:tr>
        <w:trPr>
          <w:trHeight w:val="135"/>
        </w:trPr>
        <w:tc>
          <w:tcPr>
            <w:tcW w:w="68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Total consideration</w:t>
            </w:r>
          </w:p>
        </w:tc>
        <w:tc>
          <w:tcPr>
            <w:tcW w:w="48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(84,991)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78548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5485" cy="5715"/>
                    </a:xfrm>
                    <a:prstGeom prst="rect">
                      <a:avLst/>
                    </a:prstGeom>
                    <a:noFill/>
                  </pic:spPr>
                </pic:pic>
              </a:graphicData>
            </a:graphic>
          </wp:anchor>
        </w:drawing>
      </w:r>
    </w:p>
    <w:p>
      <w:pPr>
        <w:spacing w:after="0" w:line="305" w:lineRule="exact"/>
        <w:rPr>
          <w:sz w:val="20"/>
          <w:szCs w:val="20"/>
          <w:color w:val="auto"/>
        </w:rPr>
      </w:pPr>
    </w:p>
    <w:p>
      <w:pPr>
        <w:ind w:left="600" w:hanging="222"/>
        <w:spacing w:after="0"/>
        <w:tabs>
          <w:tab w:leader="none" w:pos="600"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 Cash Consideration is subject to certain post-closing adjustments, including with respect to the Company’s net working capital, as set forth in the Merger Agreement.</w:t>
      </w:r>
    </w:p>
    <w:p>
      <w:pPr>
        <w:spacing w:after="0" w:line="103" w:lineRule="exact"/>
        <w:rPr>
          <w:rFonts w:ascii="Arial" w:cs="Arial" w:eastAsia="Arial" w:hAnsi="Arial"/>
          <w:sz w:val="10"/>
          <w:szCs w:val="10"/>
          <w:color w:val="auto"/>
        </w:rPr>
      </w:pPr>
    </w:p>
    <w:p>
      <w:pPr>
        <w:jc w:val="both"/>
        <w:ind w:left="600" w:right="20" w:hanging="222"/>
        <w:spacing w:after="0" w:line="221" w:lineRule="auto"/>
        <w:tabs>
          <w:tab w:leader="none" w:pos="600" w:val="left"/>
        </w:tabs>
        <w:numPr>
          <w:ilvl w:val="0"/>
          <w:numId w:val="5"/>
        </w:numPr>
        <w:rPr>
          <w:rFonts w:ascii="Arial" w:cs="Arial" w:eastAsia="Arial" w:hAnsi="Arial"/>
          <w:sz w:val="10"/>
          <w:szCs w:val="10"/>
          <w:color w:val="auto"/>
        </w:rPr>
      </w:pPr>
      <w:r>
        <w:rPr>
          <w:rFonts w:ascii="Arial" w:cs="Arial" w:eastAsia="Arial" w:hAnsi="Arial"/>
          <w:sz w:val="10"/>
          <w:szCs w:val="10"/>
          <w:color w:val="auto"/>
        </w:rPr>
        <w:t>Represents the stock consideration amount pursuant to the terms and conditions of the Merger Agreement equal to the 3,423,367 USAT Shares issued by the Company, multiplied by the fair market value per share of the USAT common stock, as determined by the Merger Agreement. Pursuant to an Escrow Agreement, 1,496,707 of the USAT Shares, with a value of $8.7 million as determined under the Merger Agreement, were not delivered to the former stockholders or warrant holders of Cantaloupe but are to be held in escrow for a minimum of fifteen months following the acquisition as partial security for certain indemnification obligations of the former stockholders and warrant holders of Cantaloupe under the Merger Agreement.</w:t>
      </w:r>
    </w:p>
    <w:p>
      <w:pPr>
        <w:spacing w:after="0" w:line="36"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9 for additional details.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not finalized its valuation of certain assets and liabilities recorded in connection with this transaction. Thus, the estimated measurements recorded to date are subject to change and any changes will be recorded as adjustments to the fair value of those assets and liabilities and residual amounts will be allocated to goodwill. The final valuation adjustments may also require adjustment to the consolidated statements of operations and cash flows. The final determination of these fair values will be completed as soon as possible but no later than one year from the acquisition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0" w:name="page11"/>
    <w:bookmarkEnd w:id="1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The following table summarizes the fair value of total consideration transferred to the holders of all of the outstanding equity interests of Cantaloupe at the acquisition date of November 9, 2017: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ind w:right="280"/>
              <w:spacing w:after="0"/>
              <w:rPr>
                <w:sz w:val="20"/>
                <w:szCs w:val="20"/>
                <w:color w:val="auto"/>
              </w:rPr>
            </w:pPr>
            <w:r>
              <w:rPr>
                <w:rFonts w:ascii="Arial" w:cs="Arial" w:eastAsia="Arial" w:hAnsi="Arial"/>
                <w:sz w:val="10"/>
                <w:szCs w:val="10"/>
                <w:b w:val="1"/>
                <w:bCs w:val="1"/>
                <w:color w:val="auto"/>
              </w:rPr>
              <w:t>Cantaloupe</w:t>
            </w:r>
          </w:p>
        </w:tc>
      </w:tr>
      <w:tr>
        <w:trPr>
          <w:trHeight w:val="115"/>
        </w:trPr>
        <w:tc>
          <w:tcPr>
            <w:tcW w:w="59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1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Systems, Inc.</w:t>
            </w:r>
          </w:p>
        </w:tc>
      </w:tr>
      <w:tr>
        <w:trPr>
          <w:trHeight w:val="135"/>
        </w:trPr>
        <w:tc>
          <w:tcPr>
            <w:tcW w:w="594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Accounts receivable</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3,232</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Finance receivables, current portion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1,640</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Inventory</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Prepaid expense and other current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682</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Finance receivables, less current portion</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3,483</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Other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Property and equipment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1,573</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Intangibles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30,800</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52,957</w:t>
            </w:r>
          </w:p>
        </w:tc>
      </w:tr>
      <w:tr>
        <w:trPr>
          <w:trHeight w:val="135"/>
        </w:trPr>
        <w:tc>
          <w:tcPr>
            <w:tcW w:w="594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2"/>
                <w:szCs w:val="12"/>
                <w:color w:val="auto"/>
              </w:rPr>
              <w:t>Total assets acquired</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95,199</w:t>
            </w:r>
          </w:p>
        </w:tc>
      </w:tr>
      <w:tr>
        <w:trPr>
          <w:trHeight w:val="135"/>
        </w:trPr>
        <w:tc>
          <w:tcPr>
            <w:tcW w:w="594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(1,591)</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Accrued expenses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(1,832)</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Deferred revenue</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w:t>
            </w:r>
          </w:p>
        </w:tc>
      </w:tr>
      <w:tr>
        <w:trPr>
          <w:trHeight w:val="146"/>
        </w:trPr>
        <w:tc>
          <w:tcPr>
            <w:tcW w:w="5940" w:type="dxa"/>
            <w:vAlign w:val="bottom"/>
          </w:tcPr>
          <w:p>
            <w:pPr>
              <w:ind w:left="60"/>
              <w:spacing w:after="0"/>
              <w:rPr>
                <w:sz w:val="20"/>
                <w:szCs w:val="20"/>
                <w:color w:val="auto"/>
              </w:rPr>
            </w:pPr>
            <w:r>
              <w:rPr>
                <w:rFonts w:ascii="Arial" w:cs="Arial" w:eastAsia="Arial" w:hAnsi="Arial"/>
                <w:sz w:val="12"/>
                <w:szCs w:val="12"/>
                <w:color w:val="auto"/>
              </w:rPr>
              <w:t>Capital lease obligations and current obligations under long-term debt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(666)</w:t>
            </w:r>
          </w:p>
        </w:tc>
      </w:tr>
      <w:tr>
        <w:trPr>
          <w:trHeight w:val="146"/>
        </w:trPr>
        <w:tc>
          <w:tcPr>
            <w:tcW w:w="5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Capital lease obligations and long-term debt, less current portion</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(1,134)</w:t>
            </w:r>
          </w:p>
        </w:tc>
      </w:tr>
      <w:tr>
        <w:trPr>
          <w:trHeight w:val="146"/>
        </w:trPr>
        <w:tc>
          <w:tcPr>
            <w:tcW w:w="59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Deferred income tax liabilities</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(4,359)</w:t>
            </w:r>
          </w:p>
        </w:tc>
      </w:tr>
      <w:tr>
        <w:trPr>
          <w:trHeight w:val="135"/>
        </w:trPr>
        <w:tc>
          <w:tcPr>
            <w:tcW w:w="5940" w:type="dxa"/>
            <w:vAlign w:val="bottom"/>
            <w:tcBorders>
              <w:bottom w:val="single" w:sz="8" w:color="CCEEFF"/>
            </w:tcBorders>
            <w:shd w:val="clear" w:color="auto" w:fill="CCEEFF"/>
          </w:tcPr>
          <w:p>
            <w:pPr>
              <w:ind w:left="140"/>
              <w:spacing w:after="0" w:line="135" w:lineRule="exact"/>
              <w:rPr>
                <w:sz w:val="20"/>
                <w:szCs w:val="20"/>
                <w:color w:val="auto"/>
              </w:rPr>
            </w:pPr>
            <w:r>
              <w:rPr>
                <w:rFonts w:ascii="Arial" w:cs="Arial" w:eastAsia="Arial" w:hAnsi="Arial"/>
                <w:sz w:val="12"/>
                <w:szCs w:val="12"/>
                <w:color w:val="auto"/>
              </w:rPr>
              <w:t>Total net assets acquired</w:t>
            </w: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84,991</w:t>
            </w:r>
          </w:p>
        </w:tc>
      </w:tr>
    </w:tbl>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43" w:lineRule="exact"/>
        <w:rPr>
          <w:sz w:val="20"/>
          <w:szCs w:val="20"/>
          <w:color w:val="auto"/>
        </w:rPr>
      </w:pPr>
    </w:p>
    <w:p>
      <w:pPr>
        <w:jc w:val="both"/>
        <w:ind w:right="20"/>
        <w:spacing w:after="0" w:line="329" w:lineRule="auto"/>
        <w:rPr>
          <w:sz w:val="20"/>
          <w:szCs w:val="20"/>
          <w:color w:val="auto"/>
        </w:rPr>
      </w:pPr>
      <w:r>
        <w:rPr>
          <w:rFonts w:ascii="Arial" w:cs="Arial" w:eastAsia="Arial" w:hAnsi="Arial"/>
          <w:sz w:val="11"/>
          <w:szCs w:val="11"/>
          <w:color w:val="auto"/>
        </w:rPr>
        <w:t>Goodwill of $53.0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9"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The amount of Cantaloupe revenues included in the Company’s Consolidated Statements of Operations for both the three and six months ended December 31, 2017 is $4.7 million. The amount of Cantaloupe earnings included in the Company’s Consolidated Statements of Operations for both the three and six months ended December 31, 2017 is $1.8 million, which was primarily driven by an income tax benefit of $1.7 million.</w:t>
      </w:r>
    </w:p>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As a result of the acquisition of Cantaloupe, the Company incurred the following integration and acquisition costs and other one-time charges related to the acquisition in the three and six months ended December 31,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ind w:right="423"/>
              <w:spacing w:after="0"/>
              <w:rPr>
                <w:sz w:val="20"/>
                <w:szCs w:val="20"/>
                <w:color w:val="auto"/>
              </w:rPr>
            </w:pPr>
            <w:r>
              <w:rPr>
                <w:rFonts w:ascii="Arial" w:cs="Arial" w:eastAsia="Arial" w:hAnsi="Arial"/>
                <w:sz w:val="10"/>
                <w:szCs w:val="10"/>
                <w:b w:val="1"/>
                <w:bCs w:val="1"/>
                <w:color w:val="auto"/>
              </w:rPr>
              <w:t>Six months ended</w:t>
            </w:r>
          </w:p>
        </w:tc>
        <w:tc>
          <w:tcPr>
            <w:tcW w:w="900" w:type="dxa"/>
            <w:vAlign w:val="bottom"/>
          </w:tcPr>
          <w:p>
            <w:pPr>
              <w:spacing w:after="0"/>
              <w:rPr>
                <w:sz w:val="10"/>
                <w:szCs w:val="10"/>
                <w:color w:val="auto"/>
              </w:rPr>
            </w:pPr>
          </w:p>
        </w:tc>
      </w:tr>
      <w:tr>
        <w:trPr>
          <w:trHeight w:val="115"/>
        </w:trPr>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December 31, 2017</w:t>
            </w: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December 31, 2017</w:t>
            </w:r>
          </w:p>
        </w:tc>
        <w:tc>
          <w:tcPr>
            <w:tcW w:w="900" w:type="dxa"/>
            <w:vAlign w:val="bottom"/>
          </w:tcPr>
          <w:p>
            <w:pPr>
              <w:spacing w:after="0"/>
              <w:rPr>
                <w:sz w:val="9"/>
                <w:szCs w:val="9"/>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Cost of equipment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900" w:type="dxa"/>
            <w:vAlign w:val="bottom"/>
          </w:tcPr>
          <w:p>
            <w:pPr>
              <w:spacing w:after="0"/>
              <w:rPr>
                <w:sz w:val="11"/>
                <w:szCs w:val="11"/>
                <w:color w:val="auto"/>
              </w:rPr>
            </w:pPr>
          </w:p>
        </w:tc>
      </w:tr>
      <w:tr>
        <w:trPr>
          <w:trHeight w:val="146"/>
        </w:trPr>
        <w:tc>
          <w:tcPr>
            <w:tcW w:w="3440" w:type="dxa"/>
            <w:vAlign w:val="bottom"/>
          </w:tcPr>
          <w:p>
            <w:pPr>
              <w:ind w:left="60"/>
              <w:spacing w:after="0"/>
              <w:rPr>
                <w:sz w:val="20"/>
                <w:szCs w:val="20"/>
                <w:color w:val="auto"/>
              </w:rPr>
            </w:pPr>
            <w:r>
              <w:rPr>
                <w:rFonts w:ascii="Arial" w:cs="Arial" w:eastAsia="Arial" w:hAnsi="Arial"/>
                <w:sz w:val="12"/>
                <w:szCs w:val="12"/>
                <w:color w:val="auto"/>
              </w:rPr>
              <w:t>Acquired inventory fair market value step-up</w:t>
            </w:r>
          </w:p>
        </w:tc>
        <w:tc>
          <w:tcPr>
            <w:tcW w:w="2580" w:type="dxa"/>
            <w:vAlign w:val="bottom"/>
            <w:gridSpan w:val="3"/>
          </w:tcPr>
          <w:p>
            <w:pPr>
              <w:jc w:val="right"/>
              <w:ind w:right="119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23</w:t>
            </w:r>
          </w:p>
        </w:tc>
        <w:tc>
          <w:tcPr>
            <w:tcW w:w="40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23</w:t>
            </w:r>
          </w:p>
        </w:tc>
        <w:tc>
          <w:tcPr>
            <w:tcW w:w="900" w:type="dxa"/>
            <w:vAlign w:val="bottom"/>
          </w:tcPr>
          <w:p>
            <w:pPr>
              <w:spacing w:after="0"/>
              <w:rPr>
                <w:sz w:val="12"/>
                <w:szCs w:val="12"/>
                <w:color w:val="auto"/>
              </w:rPr>
            </w:pPr>
          </w:p>
        </w:tc>
      </w:tr>
      <w:tr>
        <w:trPr>
          <w:trHeight w:val="146"/>
        </w:trPr>
        <w:tc>
          <w:tcPr>
            <w:tcW w:w="3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00" w:type="dxa"/>
            <w:vAlign w:val="bottom"/>
          </w:tcPr>
          <w:p>
            <w:pPr>
              <w:spacing w:after="0"/>
              <w:rPr>
                <w:sz w:val="12"/>
                <w:szCs w:val="12"/>
                <w:color w:val="auto"/>
              </w:rPr>
            </w:pPr>
          </w:p>
        </w:tc>
      </w:tr>
      <w:tr>
        <w:trPr>
          <w:trHeight w:val="146"/>
        </w:trPr>
        <w:tc>
          <w:tcPr>
            <w:tcW w:w="3440" w:type="dxa"/>
            <w:vAlign w:val="bottom"/>
          </w:tcPr>
          <w:p>
            <w:pPr>
              <w:ind w:left="60"/>
              <w:spacing w:after="0"/>
              <w:rPr>
                <w:sz w:val="20"/>
                <w:szCs w:val="20"/>
                <w:color w:val="auto"/>
              </w:rPr>
            </w:pPr>
            <w:r>
              <w:rPr>
                <w:rFonts w:ascii="Arial" w:cs="Arial" w:eastAsia="Arial" w:hAnsi="Arial"/>
                <w:sz w:val="12"/>
                <w:szCs w:val="12"/>
                <w:color w:val="auto"/>
              </w:rPr>
              <w:t>Integration and acquisition costs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3,335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4,097</w:t>
            </w:r>
          </w:p>
        </w:tc>
        <w:tc>
          <w:tcPr>
            <w:tcW w:w="900" w:type="dxa"/>
            <w:vAlign w:val="bottom"/>
          </w:tcPr>
          <w:p>
            <w:pPr>
              <w:spacing w:after="0"/>
              <w:rPr>
                <w:sz w:val="12"/>
                <w:szCs w:val="12"/>
                <w:color w:val="auto"/>
              </w:rPr>
            </w:pPr>
          </w:p>
        </w:tc>
      </w:tr>
      <w:tr>
        <w:trPr>
          <w:trHeight w:val="146"/>
        </w:trPr>
        <w:tc>
          <w:tcPr>
            <w:tcW w:w="3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expense</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00" w:type="dxa"/>
            <w:vAlign w:val="bottom"/>
          </w:tcPr>
          <w:p>
            <w:pPr>
              <w:spacing w:after="0"/>
              <w:rPr>
                <w:sz w:val="12"/>
                <w:szCs w:val="12"/>
                <w:color w:val="auto"/>
              </w:rPr>
            </w:pPr>
          </w:p>
        </w:tc>
      </w:tr>
      <w:tr>
        <w:trPr>
          <w:trHeight w:val="146"/>
        </w:trPr>
        <w:tc>
          <w:tcPr>
            <w:tcW w:w="34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Write-off of deferred financing costs</w:t>
            </w:r>
          </w:p>
        </w:tc>
        <w:tc>
          <w:tcPr>
            <w:tcW w:w="1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900" w:type="dxa"/>
            <w:vAlign w:val="bottom"/>
          </w:tcPr>
          <w:p>
            <w:pPr>
              <w:spacing w:after="0"/>
              <w:rPr>
                <w:sz w:val="12"/>
                <w:szCs w:val="12"/>
                <w:color w:val="auto"/>
              </w:rPr>
            </w:pPr>
          </w:p>
        </w:tc>
      </w:tr>
      <w:tr>
        <w:trPr>
          <w:trHeight w:val="155"/>
        </w:trPr>
        <w:tc>
          <w:tcPr>
            <w:tcW w:w="34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integration and acquisition-related costs</w:t>
            </w:r>
          </w:p>
        </w:tc>
        <w:tc>
          <w:tcPr>
            <w:tcW w:w="1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3,413</w:t>
            </w:r>
          </w:p>
        </w:tc>
        <w:tc>
          <w:tcPr>
            <w:tcW w:w="1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4,175</w:t>
            </w:r>
          </w:p>
        </w:tc>
        <w:tc>
          <w:tcPr>
            <w:tcW w:w="900" w:type="dxa"/>
            <w:vAlign w:val="bottom"/>
          </w:tcPr>
          <w:p>
            <w:pPr>
              <w:spacing w:after="0"/>
              <w:rPr>
                <w:sz w:val="13"/>
                <w:szCs w:val="13"/>
                <w:color w:val="auto"/>
              </w:rPr>
            </w:pPr>
          </w:p>
        </w:tc>
      </w:tr>
      <w:tr>
        <w:trPr>
          <w:trHeight w:val="479"/>
        </w:trPr>
        <w:tc>
          <w:tcPr>
            <w:tcW w:w="344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9"/>
        </w:trPr>
        <w:tc>
          <w:tcPr>
            <w:tcW w:w="3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bl>
    <w:p>
      <w:pPr>
        <w:sectPr>
          <w:pgSz w:w="11900" w:h="16838" w:orient="portrait"/>
          <w:cols w:equalWidth="0" w:num="1">
            <w:col w:w="9120"/>
          </w:cols>
          <w:pgMar w:left="1400" w:top="131" w:right="1379" w:bottom="1440" w:gutter="0" w:footer="0" w:header="0"/>
        </w:sectPr>
      </w:pPr>
    </w:p>
    <w:bookmarkStart w:id="11" w:name="page12"/>
    <w:bookmarkEnd w:id="1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Supplemental disclosure of pro forma information</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pro forma results include adjustments for the preliminary purchase accounting impact of the Cantaloupe acquisition (including, but not limited to, amortization associated with the acquired intangible assets, and the interest expense and amortization of deferred financing fees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0"/>
                <w:szCs w:val="10"/>
                <w:b w:val="1"/>
                <w:bCs w:val="1"/>
                <w:color w:val="auto"/>
              </w:rPr>
              <w:t>Three months ended December 31,</w:t>
            </w: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0"/>
                <w:szCs w:val="10"/>
                <w:b w:val="1"/>
                <w:bCs w:val="1"/>
                <w:color w:val="auto"/>
              </w:rPr>
              <w:t>Six months ended December 31,</w:t>
            </w:r>
          </w:p>
        </w:tc>
        <w:tc>
          <w:tcPr>
            <w:tcW w:w="0" w:type="dxa"/>
            <w:vAlign w:val="bottom"/>
          </w:tcPr>
          <w:p>
            <w:pPr>
              <w:spacing w:after="0"/>
              <w:rPr>
                <w:sz w:val="1"/>
                <w:szCs w:val="1"/>
                <w:color w:val="auto"/>
              </w:rPr>
            </w:pPr>
          </w:p>
        </w:tc>
      </w:tr>
      <w:tr>
        <w:trPr>
          <w:trHeight w:val="89"/>
        </w:trPr>
        <w:tc>
          <w:tcPr>
            <w:tcW w:w="31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jc w:val="right"/>
              <w:ind w:right="523"/>
              <w:spacing w:after="0" w:line="90"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21"/>
              <w:spacing w:after="0" w:line="90"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23"/>
              <w:spacing w:after="0" w:line="90"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01"/>
              <w:spacing w:after="0" w:line="90"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35"/>
        </w:trPr>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Revenues</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34,772</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27,521</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67,642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54,704</w:t>
            </w:r>
          </w:p>
        </w:tc>
        <w:tc>
          <w:tcPr>
            <w:tcW w:w="0" w:type="dxa"/>
            <w:vAlign w:val="bottom"/>
          </w:tcPr>
          <w:p>
            <w:pPr>
              <w:spacing w:after="0"/>
              <w:rPr>
                <w:sz w:val="1"/>
                <w:szCs w:val="1"/>
                <w:color w:val="auto"/>
              </w:rPr>
            </w:pPr>
          </w:p>
        </w:tc>
      </w:tr>
      <w:tr>
        <w:trPr>
          <w:trHeight w:val="146"/>
        </w:trPr>
        <w:tc>
          <w:tcPr>
            <w:tcW w:w="3180" w:type="dxa"/>
            <w:vAlign w:val="bottom"/>
          </w:tcPr>
          <w:p>
            <w:pPr>
              <w:spacing w:after="0"/>
              <w:rPr>
                <w:sz w:val="20"/>
                <w:szCs w:val="20"/>
                <w:color w:val="auto"/>
              </w:rPr>
            </w:pPr>
            <w:r>
              <w:rPr>
                <w:rFonts w:ascii="Arial" w:cs="Arial" w:eastAsia="Arial" w:hAnsi="Arial"/>
                <w:sz w:val="12"/>
                <w:szCs w:val="12"/>
                <w:color w:val="auto"/>
              </w:rPr>
              <w:t>Net loss attributable to USAT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(10,632)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(428)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(10,552)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(5,458)</w:t>
            </w:r>
          </w:p>
        </w:tc>
        <w:tc>
          <w:tcPr>
            <w:tcW w:w="0" w:type="dxa"/>
            <w:vAlign w:val="bottom"/>
          </w:tcPr>
          <w:p>
            <w:pPr>
              <w:spacing w:after="0"/>
              <w:rPr>
                <w:sz w:val="1"/>
                <w:szCs w:val="1"/>
                <w:color w:val="auto"/>
              </w:rPr>
            </w:pPr>
          </w:p>
        </w:tc>
      </w:tr>
      <w:tr>
        <w:trPr>
          <w:trHeight w:val="146"/>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USAT common shares</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(10,632)</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(10,886)</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(5,792)</w:t>
            </w:r>
          </w:p>
        </w:tc>
        <w:tc>
          <w:tcPr>
            <w:tcW w:w="0" w:type="dxa"/>
            <w:vAlign w:val="bottom"/>
          </w:tcPr>
          <w:p>
            <w:pPr>
              <w:spacing w:after="0"/>
              <w:rPr>
                <w:sz w:val="1"/>
                <w:szCs w:val="1"/>
                <w:color w:val="auto"/>
              </w:rPr>
            </w:pPr>
          </w:p>
        </w:tc>
      </w:tr>
      <w:tr>
        <w:trPr>
          <w:trHeight w:val="144"/>
        </w:trPr>
        <w:tc>
          <w:tcPr>
            <w:tcW w:w="3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 per share - basic and diluted</w:t>
            </w: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(0.20)</w:t>
            </w: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(0.20)</w:t>
            </w: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26"/>
        </w:trPr>
        <w:tc>
          <w:tcPr>
            <w:tcW w:w="31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90"/>
              </w:rPr>
              <w:t>Weighted average number of common shares outstanding - basic</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53,619,921</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53,315,633</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53,584,368</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52,369,824</w:t>
            </w:r>
          </w:p>
        </w:tc>
        <w:tc>
          <w:tcPr>
            <w:tcW w:w="0" w:type="dxa"/>
            <w:vAlign w:val="bottom"/>
          </w:tcPr>
          <w:p>
            <w:pPr>
              <w:spacing w:after="0"/>
              <w:rPr>
                <w:sz w:val="1"/>
                <w:szCs w:val="1"/>
                <w:color w:val="auto"/>
              </w:rPr>
            </w:pPr>
          </w:p>
        </w:tc>
      </w:tr>
      <w:tr>
        <w:trPr>
          <w:trHeight w:val="146"/>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and diluted</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The supplemental unaudited pro forma earnings for the three and six months ended December 31, 2017 were adjusted to exclude $3.3 million and $4.1 million of integration and acquisition costs,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The supplemental unaudited pro forma earnings for the six months ended December 31, 2016 were adjusted to include $4.1 million of integration and acquisition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FINANCE RECEIVABLES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Finance receivables consist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504"/>
              <w:spacing w:after="0"/>
              <w:rPr>
                <w:sz w:val="20"/>
                <w:szCs w:val="20"/>
                <w:color w:val="auto"/>
              </w:rPr>
            </w:pPr>
            <w:r>
              <w:rPr>
                <w:rFonts w:ascii="Arial" w:cs="Arial" w:eastAsia="Arial" w:hAnsi="Arial"/>
                <w:sz w:val="10"/>
                <w:szCs w:val="10"/>
                <w:b w:val="1"/>
                <w:bCs w:val="1"/>
                <w:color w:val="auto"/>
              </w:rPr>
              <w:t>June 30,</w:t>
            </w:r>
          </w:p>
        </w:tc>
      </w:tr>
      <w:tr>
        <w:trPr>
          <w:trHeight w:val="115"/>
        </w:trPr>
        <w:tc>
          <w:tcPr>
            <w:tcW w:w="408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180" w:type="dxa"/>
            <w:vAlign w:val="bottom"/>
            <w:gridSpan w:val="2"/>
          </w:tcPr>
          <w:p>
            <w:pPr>
              <w:jc w:val="right"/>
              <w:ind w:right="170"/>
              <w:spacing w:after="0"/>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jc w:val="right"/>
              <w:ind w:right="564"/>
              <w:spacing w:after="0"/>
              <w:rPr>
                <w:sz w:val="20"/>
                <w:szCs w:val="20"/>
                <w:color w:val="auto"/>
              </w:rPr>
            </w:pPr>
            <w:r>
              <w:rPr>
                <w:rFonts w:ascii="Arial" w:cs="Arial" w:eastAsia="Arial" w:hAnsi="Arial"/>
                <w:sz w:val="10"/>
                <w:szCs w:val="10"/>
                <w:b w:val="1"/>
                <w:bCs w:val="1"/>
                <w:color w:val="auto"/>
              </w:rPr>
              <w:t>2017</w:t>
            </w:r>
          </w:p>
        </w:tc>
      </w:tr>
      <w:tr>
        <w:trPr>
          <w:trHeight w:val="135"/>
        </w:trPr>
        <w:tc>
          <w:tcPr>
            <w:tcW w:w="40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Total finance receivables</w:t>
            </w: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16,732</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19,617</w:t>
            </w:r>
          </w:p>
        </w:tc>
      </w:tr>
      <w:tr>
        <w:trPr>
          <w:trHeight w:val="146"/>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current portion</w:t>
            </w: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5,517</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11,010</w:t>
            </w:r>
          </w:p>
        </w:tc>
      </w:tr>
      <w:tr>
        <w:trPr>
          <w:trHeight w:val="135"/>
        </w:trPr>
        <w:tc>
          <w:tcPr>
            <w:tcW w:w="40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Non-current portion of finance receivables</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11,215</w:t>
            </w:r>
          </w:p>
        </w:tc>
        <w:tc>
          <w:tcPr>
            <w:tcW w:w="1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8,607</w:t>
            </w:r>
          </w:p>
        </w:tc>
      </w:tr>
    </w:tbl>
    <w:p>
      <w:pPr>
        <w:spacing w:after="0" w:line="137"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Company accounts for their finance receivables using delinquency and nonaccrual data as key performance indicators. The Company classified $407 thousand and $102 thousand as outstanding and nonperforming as of December 31, 2017 and June 30, 2017, respectively. The Company expects to collect on their outstanding finance receivables, less any portion currently reserved, without the contracting of third parties. At December 31, 2017 and June 30, 2017, credit quality indicators consisted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504"/>
              <w:spacing w:after="0"/>
              <w:rPr>
                <w:sz w:val="20"/>
                <w:szCs w:val="20"/>
                <w:color w:val="auto"/>
              </w:rPr>
            </w:pPr>
            <w:r>
              <w:rPr>
                <w:rFonts w:ascii="Arial" w:cs="Arial" w:eastAsia="Arial" w:hAnsi="Arial"/>
                <w:sz w:val="10"/>
                <w:szCs w:val="10"/>
                <w:b w:val="1"/>
                <w:bCs w:val="1"/>
                <w:color w:val="auto"/>
              </w:rPr>
              <w:t>June 30,</w:t>
            </w:r>
          </w:p>
        </w:tc>
        <w:tc>
          <w:tcPr>
            <w:tcW w:w="1820" w:type="dxa"/>
            <w:vAlign w:val="bottom"/>
          </w:tcPr>
          <w:p>
            <w:pPr>
              <w:spacing w:after="0"/>
              <w:rPr>
                <w:sz w:val="10"/>
                <w:szCs w:val="10"/>
                <w:color w:val="auto"/>
              </w:rPr>
            </w:pPr>
          </w:p>
        </w:tc>
      </w:tr>
      <w:tr>
        <w:trPr>
          <w:trHeight w:val="115"/>
        </w:trPr>
        <w:tc>
          <w:tcPr>
            <w:tcW w:w="408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180" w:type="dxa"/>
            <w:vAlign w:val="bottom"/>
            <w:gridSpan w:val="2"/>
          </w:tcPr>
          <w:p>
            <w:pPr>
              <w:jc w:val="right"/>
              <w:ind w:right="170"/>
              <w:spacing w:after="0"/>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jc w:val="right"/>
              <w:ind w:right="564"/>
              <w:spacing w:after="0"/>
              <w:rPr>
                <w:sz w:val="20"/>
                <w:szCs w:val="20"/>
                <w:color w:val="auto"/>
              </w:rPr>
            </w:pPr>
            <w:r>
              <w:rPr>
                <w:rFonts w:ascii="Arial" w:cs="Arial" w:eastAsia="Arial" w:hAnsi="Arial"/>
                <w:sz w:val="10"/>
                <w:szCs w:val="10"/>
                <w:b w:val="1"/>
                <w:bCs w:val="1"/>
                <w:color w:val="auto"/>
              </w:rPr>
              <w:t>2017</w:t>
            </w:r>
          </w:p>
        </w:tc>
        <w:tc>
          <w:tcPr>
            <w:tcW w:w="1820" w:type="dxa"/>
            <w:vAlign w:val="bottom"/>
          </w:tcPr>
          <w:p>
            <w:pPr>
              <w:spacing w:after="0"/>
              <w:rPr>
                <w:sz w:val="9"/>
                <w:szCs w:val="9"/>
                <w:color w:val="auto"/>
              </w:rPr>
            </w:pPr>
          </w:p>
        </w:tc>
      </w:tr>
      <w:tr>
        <w:trPr>
          <w:trHeight w:val="135"/>
        </w:trPr>
        <w:tc>
          <w:tcPr>
            <w:tcW w:w="40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Performing</w:t>
            </w: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16,325</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19,515</w:t>
            </w:r>
          </w:p>
        </w:tc>
        <w:tc>
          <w:tcPr>
            <w:tcW w:w="1820" w:type="dxa"/>
            <w:vAlign w:val="bottom"/>
          </w:tcPr>
          <w:p>
            <w:pPr>
              <w:spacing w:after="0"/>
              <w:rPr>
                <w:sz w:val="11"/>
                <w:szCs w:val="11"/>
                <w:color w:val="auto"/>
              </w:rPr>
            </w:pPr>
          </w:p>
        </w:tc>
      </w:tr>
      <w:tr>
        <w:trPr>
          <w:trHeight w:val="146"/>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Nonperforming</w:t>
            </w: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1820" w:type="dxa"/>
            <w:vAlign w:val="bottom"/>
          </w:tcPr>
          <w:p>
            <w:pPr>
              <w:spacing w:after="0"/>
              <w:rPr>
                <w:sz w:val="12"/>
                <w:szCs w:val="12"/>
                <w:color w:val="auto"/>
              </w:rPr>
            </w:pPr>
          </w:p>
        </w:tc>
      </w:tr>
      <w:tr>
        <w:trPr>
          <w:trHeight w:val="135"/>
        </w:trPr>
        <w:tc>
          <w:tcPr>
            <w:tcW w:w="40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16,732</w:t>
            </w:r>
          </w:p>
        </w:tc>
        <w:tc>
          <w:tcPr>
            <w:tcW w:w="1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19,617</w:t>
            </w:r>
          </w:p>
        </w:tc>
        <w:tc>
          <w:tcPr>
            <w:tcW w:w="1820" w:type="dxa"/>
            <w:vAlign w:val="bottom"/>
          </w:tcPr>
          <w:p>
            <w:pPr>
              <w:spacing w:after="0"/>
              <w:rPr>
                <w:sz w:val="11"/>
                <w:szCs w:val="11"/>
                <w:color w:val="auto"/>
              </w:rPr>
            </w:pPr>
          </w:p>
        </w:tc>
      </w:tr>
      <w:tr>
        <w:trPr>
          <w:trHeight w:val="436"/>
        </w:trPr>
        <w:tc>
          <w:tcPr>
            <w:tcW w:w="4080" w:type="dxa"/>
            <w:vAlign w:val="bottom"/>
          </w:tcPr>
          <w:p>
            <w:pPr>
              <w:spacing w:after="0"/>
              <w:rPr>
                <w:sz w:val="24"/>
                <w:szCs w:val="24"/>
                <w:color w:val="auto"/>
              </w:rPr>
            </w:pPr>
          </w:p>
        </w:tc>
        <w:tc>
          <w:tcPr>
            <w:tcW w:w="1180" w:type="dxa"/>
            <w:vAlign w:val="bottom"/>
            <w:gridSpan w:val="2"/>
          </w:tcPr>
          <w:p>
            <w:pPr>
              <w:jc w:val="right"/>
              <w:ind w:right="590"/>
              <w:spacing w:after="0"/>
              <w:rPr>
                <w:sz w:val="20"/>
                <w:szCs w:val="20"/>
                <w:color w:val="auto"/>
              </w:rPr>
            </w:pPr>
            <w:r>
              <w:rPr>
                <w:rFonts w:ascii="Arial" w:cs="Arial" w:eastAsia="Arial" w:hAnsi="Arial"/>
                <w:sz w:val="12"/>
                <w:szCs w:val="12"/>
                <w:color w:val="auto"/>
              </w:rPr>
              <w:t>12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7"/>
        </w:trPr>
        <w:tc>
          <w:tcPr>
            <w:tcW w:w="4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bl>
    <w:p>
      <w:pPr>
        <w:sectPr>
          <w:pgSz w:w="11900" w:h="16838" w:orient="portrait"/>
          <w:cols w:equalWidth="0" w:num="1">
            <w:col w:w="9120"/>
          </w:cols>
          <w:pgMar w:left="1400" w:top="131" w:right="1379" w:bottom="1440" w:gutter="0" w:footer="0" w:header="0"/>
        </w:sectPr>
      </w:pPr>
    </w:p>
    <w:bookmarkStart w:id="12" w:name="page13"/>
    <w:bookmarkEnd w:id="1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Age Analysis of Past Due Finance Receivables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of 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88"/>
              <w:spacing w:after="0"/>
              <w:rPr>
                <w:sz w:val="20"/>
                <w:szCs w:val="20"/>
                <w:color w:val="auto"/>
              </w:rPr>
            </w:pPr>
            <w:r>
              <w:rPr>
                <w:rFonts w:ascii="Arial" w:cs="Arial" w:eastAsia="Arial" w:hAnsi="Arial"/>
                <w:sz w:val="10"/>
                <w:szCs w:val="10"/>
                <w:b w:val="1"/>
                <w:bCs w:val="1"/>
                <w:color w:val="auto"/>
                <w:w w:val="88"/>
              </w:rPr>
              <w:t>30 and Under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107"/>
              <w:spacing w:after="0"/>
              <w:rPr>
                <w:sz w:val="20"/>
                <w:szCs w:val="20"/>
                <w:color w:val="auto"/>
              </w:rPr>
            </w:pPr>
            <w:r>
              <w:rPr>
                <w:rFonts w:ascii="Arial" w:cs="Arial" w:eastAsia="Arial" w:hAnsi="Arial"/>
                <w:sz w:val="10"/>
                <w:szCs w:val="10"/>
                <w:b w:val="1"/>
                <w:bCs w:val="1"/>
                <w:color w:val="auto"/>
                <w:w w:val="89"/>
              </w:rPr>
              <w:t>31 – 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88"/>
              <w:spacing w:after="0"/>
              <w:rPr>
                <w:sz w:val="20"/>
                <w:szCs w:val="20"/>
                <w:color w:val="auto"/>
              </w:rPr>
            </w:pPr>
            <w:r>
              <w:rPr>
                <w:rFonts w:ascii="Arial" w:cs="Arial" w:eastAsia="Arial" w:hAnsi="Arial"/>
                <w:sz w:val="10"/>
                <w:szCs w:val="10"/>
                <w:b w:val="1"/>
                <w:bCs w:val="1"/>
                <w:color w:val="auto"/>
                <w:w w:val="89"/>
              </w:rPr>
              <w:t>61 – 90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88"/>
              <w:spacing w:after="0"/>
              <w:rPr>
                <w:sz w:val="20"/>
                <w:szCs w:val="20"/>
                <w:color w:val="auto"/>
              </w:rPr>
            </w:pPr>
            <w:r>
              <w:rPr>
                <w:rFonts w:ascii="Arial" w:cs="Arial" w:eastAsia="Arial" w:hAnsi="Arial"/>
                <w:sz w:val="10"/>
                <w:szCs w:val="10"/>
                <w:b w:val="1"/>
                <w:bCs w:val="1"/>
                <w:color w:val="auto"/>
                <w:w w:val="90"/>
              </w:rPr>
              <w:t>Greater than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88"/>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48"/>
              <w:spacing w:after="0"/>
              <w:rPr>
                <w:sz w:val="20"/>
                <w:szCs w:val="20"/>
                <w:color w:val="auto"/>
              </w:rPr>
            </w:pPr>
            <w:r>
              <w:rPr>
                <w:rFonts w:ascii="Arial" w:cs="Arial" w:eastAsia="Arial" w:hAnsi="Arial"/>
                <w:sz w:val="10"/>
                <w:szCs w:val="10"/>
                <w:b w:val="1"/>
                <w:bCs w:val="1"/>
                <w:color w:val="auto"/>
                <w:w w:val="83"/>
              </w:rPr>
              <w:t>Total</w:t>
            </w:r>
          </w:p>
        </w:tc>
      </w:tr>
      <w:tr>
        <w:trPr>
          <w:trHeight w:val="100"/>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right="88"/>
              <w:spacing w:after="0" w:line="101" w:lineRule="exact"/>
              <w:rPr>
                <w:sz w:val="20"/>
                <w:szCs w:val="20"/>
                <w:color w:val="auto"/>
              </w:rPr>
            </w:pPr>
            <w:r>
              <w:rPr>
                <w:rFonts w:ascii="Arial" w:cs="Arial" w:eastAsia="Arial" w:hAnsi="Arial"/>
                <w:sz w:val="10"/>
                <w:szCs w:val="10"/>
                <w:b w:val="1"/>
                <w:bCs w:val="1"/>
                <w:color w:val="auto"/>
                <w:w w:val="83"/>
              </w:rPr>
              <w:t>Days Past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right="107"/>
              <w:spacing w:after="0" w:line="101" w:lineRule="exact"/>
              <w:rPr>
                <w:sz w:val="20"/>
                <w:szCs w:val="20"/>
                <w:color w:val="auto"/>
              </w:rPr>
            </w:pPr>
            <w:r>
              <w:rPr>
                <w:rFonts w:ascii="Arial" w:cs="Arial" w:eastAsia="Arial" w:hAnsi="Arial"/>
                <w:sz w:val="10"/>
                <w:szCs w:val="10"/>
                <w:b w:val="1"/>
                <w:bCs w:val="1"/>
                <w:color w:val="auto"/>
                <w:w w:val="87"/>
              </w:rPr>
              <w:t>Days Past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108"/>
              <w:spacing w:after="0" w:line="101" w:lineRule="exact"/>
              <w:rPr>
                <w:sz w:val="20"/>
                <w:szCs w:val="20"/>
                <w:color w:val="auto"/>
              </w:rPr>
            </w:pPr>
            <w:r>
              <w:rPr>
                <w:rFonts w:ascii="Arial" w:cs="Arial" w:eastAsia="Arial" w:hAnsi="Arial"/>
                <w:sz w:val="10"/>
                <w:szCs w:val="10"/>
                <w:b w:val="1"/>
                <w:bCs w:val="1"/>
                <w:color w:val="auto"/>
                <w:w w:val="83"/>
              </w:rPr>
              <w:t>Days Past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68"/>
              <w:spacing w:after="0" w:line="101" w:lineRule="exact"/>
              <w:rPr>
                <w:sz w:val="20"/>
                <w:szCs w:val="20"/>
                <w:color w:val="auto"/>
              </w:rPr>
            </w:pPr>
            <w:r>
              <w:rPr>
                <w:rFonts w:ascii="Arial" w:cs="Arial" w:eastAsia="Arial" w:hAnsi="Arial"/>
                <w:sz w:val="10"/>
                <w:szCs w:val="10"/>
                <w:b w:val="1"/>
                <w:bCs w:val="1"/>
                <w:color w:val="auto"/>
                <w:w w:val="84"/>
              </w:rPr>
              <w:t>90 Days Past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center"/>
              <w:ind w:right="108"/>
              <w:spacing w:after="0" w:line="101" w:lineRule="exact"/>
              <w:rPr>
                <w:sz w:val="20"/>
                <w:szCs w:val="20"/>
                <w:color w:val="auto"/>
              </w:rPr>
            </w:pPr>
            <w:r>
              <w:rPr>
                <w:rFonts w:ascii="Arial" w:cs="Arial" w:eastAsia="Arial" w:hAnsi="Arial"/>
                <w:sz w:val="10"/>
                <w:szCs w:val="10"/>
                <w:b w:val="1"/>
                <w:bCs w:val="1"/>
                <w:color w:val="auto"/>
                <w:w w:val="87"/>
              </w:rPr>
              <w:t>Non-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48"/>
              <w:spacing w:after="0" w:line="101" w:lineRule="exact"/>
              <w:rPr>
                <w:sz w:val="20"/>
                <w:szCs w:val="20"/>
                <w:color w:val="auto"/>
              </w:rPr>
            </w:pPr>
            <w:r>
              <w:rPr>
                <w:rFonts w:ascii="Arial" w:cs="Arial" w:eastAsia="Arial" w:hAnsi="Arial"/>
                <w:sz w:val="10"/>
                <w:szCs w:val="10"/>
                <w:b w:val="1"/>
                <w:bCs w:val="1"/>
                <w:color w:val="auto"/>
                <w:w w:val="84"/>
              </w:rPr>
              <w:t>Finance</w:t>
            </w:r>
          </w:p>
        </w:tc>
      </w:tr>
      <w:tr>
        <w:trPr>
          <w:trHeight w:val="115"/>
        </w:trPr>
        <w:tc>
          <w:tcPr>
            <w:tcW w:w="1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84"/>
              </w:rPr>
              <w:t>Due</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107"/>
              <w:spacing w:after="0"/>
              <w:rPr>
                <w:sz w:val="20"/>
                <w:szCs w:val="20"/>
                <w:color w:val="auto"/>
              </w:rPr>
            </w:pPr>
            <w:r>
              <w:rPr>
                <w:rFonts w:ascii="Arial" w:cs="Arial" w:eastAsia="Arial" w:hAnsi="Arial"/>
                <w:sz w:val="10"/>
                <w:szCs w:val="10"/>
                <w:b w:val="1"/>
                <w:bCs w:val="1"/>
                <w:color w:val="auto"/>
                <w:w w:val="95"/>
              </w:rPr>
              <w:t>Due</w:t>
            </w: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4"/>
              </w:rPr>
              <w:t>Due</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84"/>
              </w:rPr>
              <w:t>Due</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9"/>
              </w:rPr>
              <w:t>Performing</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Performing</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2"/>
              </w:rPr>
              <w:t>Receivables</w:t>
            </w:r>
          </w:p>
        </w:tc>
      </w:tr>
      <w:tr>
        <w:trPr>
          <w:trHeight w:val="135"/>
        </w:trPr>
        <w:tc>
          <w:tcPr>
            <w:tcW w:w="19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QuickStart Leases</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40</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407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16,325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16,732</w:t>
            </w:r>
          </w:p>
        </w:tc>
      </w:tr>
      <w:tr>
        <w:trPr>
          <w:trHeight w:val="281"/>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7"/>
          </w:tcPr>
          <w:p>
            <w:pPr>
              <w:jc w:val="right"/>
              <w:ind w:right="448"/>
              <w:spacing w:after="0"/>
              <w:rPr>
                <w:sz w:val="20"/>
                <w:szCs w:val="20"/>
                <w:color w:val="auto"/>
              </w:rPr>
            </w:pPr>
            <w:r>
              <w:rPr>
                <w:rFonts w:ascii="Arial" w:cs="Arial" w:eastAsia="Arial" w:hAnsi="Arial"/>
                <w:sz w:val="12"/>
                <w:szCs w:val="12"/>
                <w:color w:val="auto"/>
                <w:w w:val="94"/>
              </w:rPr>
              <w:t>Age Analysis of Past Due Finance Receivables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4"/>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4"/>
          </w:tcPr>
          <w:p>
            <w:pPr>
              <w:jc w:val="right"/>
              <w:ind w:right="68"/>
              <w:spacing w:after="0"/>
              <w:rPr>
                <w:sz w:val="20"/>
                <w:szCs w:val="20"/>
                <w:color w:val="auto"/>
              </w:rPr>
            </w:pPr>
            <w:r>
              <w:rPr>
                <w:rFonts w:ascii="Arial" w:cs="Arial" w:eastAsia="Arial" w:hAnsi="Arial"/>
                <w:sz w:val="12"/>
                <w:szCs w:val="12"/>
                <w:color w:val="auto"/>
              </w:rPr>
              <w:t>As of June 30, 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41"/>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88"/>
              <w:spacing w:after="0"/>
              <w:rPr>
                <w:sz w:val="20"/>
                <w:szCs w:val="20"/>
                <w:color w:val="auto"/>
              </w:rPr>
            </w:pPr>
            <w:r>
              <w:rPr>
                <w:rFonts w:ascii="Arial" w:cs="Arial" w:eastAsia="Arial" w:hAnsi="Arial"/>
                <w:sz w:val="10"/>
                <w:szCs w:val="10"/>
                <w:b w:val="1"/>
                <w:bCs w:val="1"/>
                <w:color w:val="auto"/>
                <w:w w:val="88"/>
              </w:rPr>
              <w:t>30 and Under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107"/>
              <w:spacing w:after="0"/>
              <w:rPr>
                <w:sz w:val="20"/>
                <w:szCs w:val="20"/>
                <w:color w:val="auto"/>
              </w:rPr>
            </w:pPr>
            <w:r>
              <w:rPr>
                <w:rFonts w:ascii="Arial" w:cs="Arial" w:eastAsia="Arial" w:hAnsi="Arial"/>
                <w:sz w:val="10"/>
                <w:szCs w:val="10"/>
                <w:b w:val="1"/>
                <w:bCs w:val="1"/>
                <w:color w:val="auto"/>
                <w:w w:val="89"/>
              </w:rPr>
              <w:t>31 – 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88"/>
              <w:spacing w:after="0"/>
              <w:rPr>
                <w:sz w:val="20"/>
                <w:szCs w:val="20"/>
                <w:color w:val="auto"/>
              </w:rPr>
            </w:pPr>
            <w:r>
              <w:rPr>
                <w:rFonts w:ascii="Arial" w:cs="Arial" w:eastAsia="Arial" w:hAnsi="Arial"/>
                <w:sz w:val="10"/>
                <w:szCs w:val="10"/>
                <w:b w:val="1"/>
                <w:bCs w:val="1"/>
                <w:color w:val="auto"/>
                <w:w w:val="89"/>
              </w:rPr>
              <w:t>61 – 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88"/>
              <w:spacing w:after="0"/>
              <w:rPr>
                <w:sz w:val="20"/>
                <w:szCs w:val="20"/>
                <w:color w:val="auto"/>
              </w:rPr>
            </w:pPr>
            <w:r>
              <w:rPr>
                <w:rFonts w:ascii="Arial" w:cs="Arial" w:eastAsia="Arial" w:hAnsi="Arial"/>
                <w:sz w:val="10"/>
                <w:szCs w:val="10"/>
                <w:b w:val="1"/>
                <w:bCs w:val="1"/>
                <w:color w:val="auto"/>
                <w:w w:val="90"/>
              </w:rPr>
              <w:t>Greater than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88"/>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ind w:right="48"/>
              <w:spacing w:after="0"/>
              <w:rPr>
                <w:sz w:val="20"/>
                <w:szCs w:val="20"/>
                <w:color w:val="auto"/>
              </w:rPr>
            </w:pPr>
            <w:r>
              <w:rPr>
                <w:rFonts w:ascii="Arial" w:cs="Arial" w:eastAsia="Arial" w:hAnsi="Arial"/>
                <w:sz w:val="10"/>
                <w:szCs w:val="10"/>
                <w:b w:val="1"/>
                <w:bCs w:val="1"/>
                <w:color w:val="auto"/>
                <w:w w:val="83"/>
              </w:rPr>
              <w:t>Total</w:t>
            </w:r>
          </w:p>
        </w:tc>
      </w:tr>
      <w:tr>
        <w:trPr>
          <w:trHeight w:val="100"/>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right="88"/>
              <w:spacing w:after="0" w:line="101" w:lineRule="exact"/>
              <w:rPr>
                <w:sz w:val="20"/>
                <w:szCs w:val="20"/>
                <w:color w:val="auto"/>
              </w:rPr>
            </w:pPr>
            <w:r>
              <w:rPr>
                <w:rFonts w:ascii="Arial" w:cs="Arial" w:eastAsia="Arial" w:hAnsi="Arial"/>
                <w:sz w:val="10"/>
                <w:szCs w:val="10"/>
                <w:b w:val="1"/>
                <w:bCs w:val="1"/>
                <w:color w:val="auto"/>
                <w:w w:val="83"/>
              </w:rPr>
              <w:t>Days Past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right="107"/>
              <w:spacing w:after="0" w:line="101" w:lineRule="exact"/>
              <w:rPr>
                <w:sz w:val="20"/>
                <w:szCs w:val="20"/>
                <w:color w:val="auto"/>
              </w:rPr>
            </w:pPr>
            <w:r>
              <w:rPr>
                <w:rFonts w:ascii="Arial" w:cs="Arial" w:eastAsia="Arial" w:hAnsi="Arial"/>
                <w:sz w:val="10"/>
                <w:szCs w:val="10"/>
                <w:b w:val="1"/>
                <w:bCs w:val="1"/>
                <w:color w:val="auto"/>
                <w:w w:val="87"/>
              </w:rPr>
              <w:t>Days Past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108"/>
              <w:spacing w:after="0" w:line="101" w:lineRule="exact"/>
              <w:rPr>
                <w:sz w:val="20"/>
                <w:szCs w:val="20"/>
                <w:color w:val="auto"/>
              </w:rPr>
            </w:pPr>
            <w:r>
              <w:rPr>
                <w:rFonts w:ascii="Arial" w:cs="Arial" w:eastAsia="Arial" w:hAnsi="Arial"/>
                <w:sz w:val="10"/>
                <w:szCs w:val="10"/>
                <w:b w:val="1"/>
                <w:bCs w:val="1"/>
                <w:color w:val="auto"/>
                <w:w w:val="83"/>
              </w:rPr>
              <w:t>Days Past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68"/>
              <w:spacing w:after="0" w:line="101" w:lineRule="exact"/>
              <w:rPr>
                <w:sz w:val="20"/>
                <w:szCs w:val="20"/>
                <w:color w:val="auto"/>
              </w:rPr>
            </w:pPr>
            <w:r>
              <w:rPr>
                <w:rFonts w:ascii="Arial" w:cs="Arial" w:eastAsia="Arial" w:hAnsi="Arial"/>
                <w:sz w:val="10"/>
                <w:szCs w:val="10"/>
                <w:b w:val="1"/>
                <w:bCs w:val="1"/>
                <w:color w:val="auto"/>
                <w:w w:val="84"/>
              </w:rPr>
              <w:t>90 Days Past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center"/>
              <w:ind w:right="108"/>
              <w:spacing w:after="0" w:line="101" w:lineRule="exact"/>
              <w:rPr>
                <w:sz w:val="20"/>
                <w:szCs w:val="20"/>
                <w:color w:val="auto"/>
              </w:rPr>
            </w:pPr>
            <w:r>
              <w:rPr>
                <w:rFonts w:ascii="Arial" w:cs="Arial" w:eastAsia="Arial" w:hAnsi="Arial"/>
                <w:sz w:val="10"/>
                <w:szCs w:val="10"/>
                <w:b w:val="1"/>
                <w:bCs w:val="1"/>
                <w:color w:val="auto"/>
                <w:w w:val="87"/>
              </w:rPr>
              <w:t>Non-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48"/>
              <w:spacing w:after="0" w:line="101" w:lineRule="exact"/>
              <w:rPr>
                <w:sz w:val="20"/>
                <w:szCs w:val="20"/>
                <w:color w:val="auto"/>
              </w:rPr>
            </w:pPr>
            <w:r>
              <w:rPr>
                <w:rFonts w:ascii="Arial" w:cs="Arial" w:eastAsia="Arial" w:hAnsi="Arial"/>
                <w:sz w:val="10"/>
                <w:szCs w:val="10"/>
                <w:b w:val="1"/>
                <w:bCs w:val="1"/>
                <w:color w:val="auto"/>
                <w:w w:val="84"/>
              </w:rPr>
              <w:t>Finance</w:t>
            </w:r>
          </w:p>
        </w:tc>
      </w:tr>
      <w:tr>
        <w:trPr>
          <w:trHeight w:val="115"/>
        </w:trPr>
        <w:tc>
          <w:tcPr>
            <w:tcW w:w="1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84"/>
              </w:rPr>
              <w:t>Due</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107"/>
              <w:spacing w:after="0"/>
              <w:rPr>
                <w:sz w:val="20"/>
                <w:szCs w:val="20"/>
                <w:color w:val="auto"/>
              </w:rPr>
            </w:pPr>
            <w:r>
              <w:rPr>
                <w:rFonts w:ascii="Arial" w:cs="Arial" w:eastAsia="Arial" w:hAnsi="Arial"/>
                <w:sz w:val="10"/>
                <w:szCs w:val="10"/>
                <w:b w:val="1"/>
                <w:bCs w:val="1"/>
                <w:color w:val="auto"/>
                <w:w w:val="95"/>
              </w:rPr>
              <w:t>Due</w:t>
            </w: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4"/>
              </w:rPr>
              <w:t>Due</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84"/>
              </w:rPr>
              <w:t>Due</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9"/>
              </w:rPr>
              <w:t>Performing</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Performing</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2"/>
              </w:rPr>
              <w:t>Receivables</w:t>
            </w:r>
          </w:p>
        </w:tc>
      </w:tr>
      <w:tr>
        <w:trPr>
          <w:trHeight w:val="135"/>
        </w:trPr>
        <w:tc>
          <w:tcPr>
            <w:tcW w:w="19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QuickStart Leases</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19,515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19,617</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INVENTORY</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Inventory, net of reserves, was $11.2 million and $4.6 million as of December 31, 2017 and June 30, 2017, respectively. Inventory consists of finished goods. The Company's inventories are valued at the lower of cost or net realizable value.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The Company establishes allowances for obsolescence of inventory based upon quality considerations and assumptions about future demand and market conditions.</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fair value of Cantaloupe inventories acquired included a fair market value step-up of $23 thousand. In the three and six months ended December 31, 2017, the Company recognized the $23 thousand fair market value step-up as a component of cost of equipment, as the inventory acquired was sold to the Company’s customers.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calculation of basic earnings per share (“EPS”) and diluted EPS are presented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December 31,</w:t>
            </w: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right"/>
              <w:ind w:right="306"/>
              <w:spacing w:after="0" w:line="90"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0"/>
              </w:rPr>
              <w:t>2016</w:t>
            </w: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jc w:val="center"/>
              <w:ind w:right="220"/>
              <w:spacing w:after="0" w:line="75" w:lineRule="exact"/>
              <w:rPr>
                <w:sz w:val="20"/>
                <w:szCs w:val="20"/>
                <w:color w:val="auto"/>
              </w:rPr>
            </w:pPr>
            <w:r>
              <w:rPr>
                <w:rFonts w:ascii="Arial" w:cs="Arial" w:eastAsia="Arial" w:hAnsi="Arial"/>
                <w:sz w:val="7"/>
                <w:szCs w:val="7"/>
                <w:b w:val="1"/>
                <w:bCs w:val="1"/>
                <w:color w:val="auto"/>
              </w:rPr>
              <w:t>Net Loss</w:t>
            </w:r>
          </w:p>
        </w:tc>
        <w:tc>
          <w:tcPr>
            <w:tcW w:w="1040" w:type="dxa"/>
            <w:vAlign w:val="bottom"/>
            <w:gridSpan w:val="2"/>
          </w:tcPr>
          <w:p>
            <w:pPr>
              <w:jc w:val="center"/>
              <w:ind w:right="120"/>
              <w:spacing w:after="0" w:line="75" w:lineRule="exact"/>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jc w:val="right"/>
              <w:ind w:right="169"/>
              <w:spacing w:after="0" w:line="75" w:lineRule="exact"/>
              <w:rPr>
                <w:sz w:val="20"/>
                <w:szCs w:val="20"/>
                <w:color w:val="auto"/>
              </w:rPr>
            </w:pPr>
            <w:r>
              <w:rPr>
                <w:rFonts w:ascii="Arial" w:cs="Arial" w:eastAsia="Arial" w:hAnsi="Arial"/>
                <w:sz w:val="7"/>
                <w:szCs w:val="7"/>
                <w:b w:val="1"/>
                <w:bCs w:val="1"/>
                <w:color w:val="auto"/>
              </w:rPr>
              <w:t>Per-Share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tcPr>
          <w:p>
            <w:pPr>
              <w:jc w:val="center"/>
              <w:ind w:right="200"/>
              <w:spacing w:after="0" w:line="75" w:lineRule="exact"/>
              <w:rPr>
                <w:sz w:val="20"/>
                <w:szCs w:val="20"/>
                <w:color w:val="auto"/>
              </w:rPr>
            </w:pPr>
            <w:r>
              <w:rPr>
                <w:rFonts w:ascii="Arial" w:cs="Arial" w:eastAsia="Arial" w:hAnsi="Arial"/>
                <w:sz w:val="7"/>
                <w:szCs w:val="7"/>
                <w:b w:val="1"/>
                <w:bCs w:val="1"/>
                <w:color w:val="auto"/>
              </w:rPr>
              <w:t>Net Income</w:t>
            </w:r>
          </w:p>
        </w:tc>
        <w:tc>
          <w:tcPr>
            <w:tcW w:w="96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jc w:val="right"/>
              <w:ind w:right="148"/>
              <w:spacing w:after="0" w:line="75" w:lineRule="exact"/>
              <w:rPr>
                <w:sz w:val="20"/>
                <w:szCs w:val="20"/>
                <w:color w:val="auto"/>
              </w:rPr>
            </w:pPr>
            <w:r>
              <w:rPr>
                <w:rFonts w:ascii="Arial" w:cs="Arial" w:eastAsia="Arial" w:hAnsi="Arial"/>
                <w:sz w:val="7"/>
                <w:szCs w:val="7"/>
                <w:b w:val="1"/>
                <w:bCs w:val="1"/>
                <w:color w:val="auto"/>
              </w:rPr>
              <w:t>Per-Share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(Numerator)</w:t>
            </w:r>
          </w:p>
        </w:tc>
        <w:tc>
          <w:tcPr>
            <w:tcW w:w="10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(Denominator)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ind w:right="209"/>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(Numerator)</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0"/>
              </w:rPr>
              <w:t>(Denominator)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188"/>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(loss) income from continuing operations</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(12,516)</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233</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Preferred stock dividends</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tcPr>
          <w:p>
            <w:pPr>
              <w:spacing w:after="0"/>
              <w:rPr>
                <w:sz w:val="20"/>
                <w:szCs w:val="20"/>
                <w:color w:val="auto"/>
              </w:rPr>
            </w:pPr>
            <w:r>
              <w:rPr>
                <w:rFonts w:ascii="Arial" w:cs="Arial" w:eastAsia="Arial" w:hAnsi="Arial"/>
                <w:sz w:val="12"/>
                <w:szCs w:val="12"/>
                <w:b w:val="1"/>
                <w:bCs w:val="1"/>
                <w:color w:val="auto"/>
              </w:rPr>
              <w:t>Basic EPS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Net (loss) income available to common shareholders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52,150,106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40,308,934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Effect of Dilutive Securities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rPr>
                <w:sz w:val="20"/>
                <w:szCs w:val="20"/>
                <w:color w:val="auto"/>
              </w:rPr>
            </w:pPr>
            <w:r>
              <w:rPr>
                <w:rFonts w:ascii="Arial" w:cs="Arial" w:eastAsia="Arial" w:hAnsi="Arial"/>
                <w:sz w:val="12"/>
                <w:szCs w:val="12"/>
                <w:color w:val="auto"/>
              </w:rPr>
              <w:t>Incremental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40" w:type="dxa"/>
            <w:vAlign w:val="bottom"/>
            <w:gridSpan w:val="2"/>
          </w:tcPr>
          <w:p>
            <w:pPr>
              <w:ind w:left="8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6"/>
                <w:szCs w:val="6"/>
                <w:color w:val="auto"/>
              </w:rPr>
              <w:t>(a)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421,778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tcPr>
          <w:p>
            <w:pPr>
              <w:spacing w:after="0"/>
              <w:rPr>
                <w:sz w:val="20"/>
                <w:szCs w:val="20"/>
                <w:color w:val="auto"/>
              </w:rPr>
            </w:pPr>
            <w:r>
              <w:rPr>
                <w:rFonts w:ascii="Arial" w:cs="Arial" w:eastAsia="Arial" w:hAnsi="Arial"/>
                <w:sz w:val="12"/>
                <w:szCs w:val="12"/>
                <w:b w:val="1"/>
                <w:bCs w:val="1"/>
                <w:color w:val="auto"/>
              </w:rPr>
              <w:t>Diluted EPS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w w:val="98"/>
              </w:rPr>
              <w:t>Net (loss) income available to common shareholders plus</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(12,516)</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52,150,106</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40,730,712</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assumed conversions</w:t>
            </w:r>
          </w:p>
        </w:tc>
        <w:tc>
          <w:tcPr>
            <w:tcW w:w="34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30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jc w:val="right"/>
              <w:ind w:right="506"/>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13" w:name="page14"/>
    <w:bookmarkEnd w:id="1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20"/>
        <w:spacing w:after="0" w:line="347" w:lineRule="auto"/>
        <w:rPr>
          <w:sz w:val="20"/>
          <w:szCs w:val="20"/>
          <w:color w:val="auto"/>
        </w:rPr>
      </w:pPr>
      <w:r>
        <w:rPr>
          <w:rFonts w:ascii="Arial" w:cs="Arial" w:eastAsia="Arial" w:hAnsi="Arial"/>
          <w:sz w:val="11"/>
          <w:szCs w:val="11"/>
          <w:color w:val="auto"/>
        </w:rPr>
        <w:t>Net loss from continuing operations Less: Preferred stock dividends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Basic EPS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Net loss available to common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Effect of Dilutive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Incremental shares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w:t>
      </w:r>
    </w:p>
    <w:p>
      <w:pPr>
        <w:spacing w:after="0" w:line="20"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Net loss available to common shareholders plus assumed conversions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240"/>
        <w:spacing w:after="0"/>
        <w:rPr>
          <w:sz w:val="20"/>
          <w:szCs w:val="20"/>
          <w:color w:val="auto"/>
        </w:rPr>
      </w:pPr>
      <w:r>
        <w:rPr>
          <w:rFonts w:ascii="Arial" w:cs="Arial" w:eastAsia="Arial" w:hAnsi="Arial"/>
          <w:sz w:val="10"/>
          <w:szCs w:val="10"/>
          <w:b w:val="1"/>
          <w:bCs w:val="1"/>
          <w:color w:val="auto"/>
        </w:rPr>
        <w:t>Six months ended December 31,</w:t>
      </w:r>
    </w:p>
    <w:tbl>
      <w:tblPr>
        <w:tblLayout w:type="fixed"/>
        <w:tblInd w:w="0" w:type="dxa"/>
        <w:tblCellMar>
          <w:top w:w="0" w:type="dxa"/>
          <w:left w:w="0" w:type="dxa"/>
          <w:bottom w:w="0" w:type="dxa"/>
          <w:right w:w="0" w:type="dxa"/>
        </w:tblCellMar>
      </w:tblPr>
      <w:tr>
        <w:trPr>
          <w:trHeight w:val="89"/>
        </w:trPr>
        <w:tc>
          <w:tcPr>
            <w:tcW w:w="2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60" w:type="dxa"/>
            <w:vAlign w:val="bottom"/>
            <w:tcBorders>
              <w:top w:val="single" w:sz="8" w:color="auto"/>
              <w:bottom w:val="single" w:sz="8" w:color="auto"/>
            </w:tcBorders>
          </w:tcPr>
          <w:p>
            <w:pPr>
              <w:jc w:val="right"/>
              <w:ind w:right="287"/>
              <w:spacing w:after="0" w:line="90"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9"/>
              </w:rPr>
              <w:t>2016</w:t>
            </w:r>
          </w:p>
        </w:tc>
        <w:tc>
          <w:tcPr>
            <w:tcW w:w="14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jc w:val="center"/>
              <w:ind w:right="180"/>
              <w:spacing w:after="0" w:line="75" w:lineRule="exact"/>
              <w:rPr>
                <w:sz w:val="20"/>
                <w:szCs w:val="20"/>
                <w:color w:val="auto"/>
              </w:rPr>
            </w:pPr>
            <w:r>
              <w:rPr>
                <w:rFonts w:ascii="Arial" w:cs="Arial" w:eastAsia="Arial" w:hAnsi="Arial"/>
                <w:sz w:val="7"/>
                <w:szCs w:val="7"/>
                <w:b w:val="1"/>
                <w:bCs w:val="1"/>
                <w:color w:val="auto"/>
              </w:rPr>
              <w:t>Net Loss</w:t>
            </w:r>
          </w:p>
        </w:tc>
        <w:tc>
          <w:tcPr>
            <w:tcW w:w="1060" w:type="dxa"/>
            <w:vAlign w:val="bottom"/>
            <w:gridSpan w:val="2"/>
          </w:tcPr>
          <w:p>
            <w:pPr>
              <w:jc w:val="center"/>
              <w:ind w:right="100"/>
              <w:spacing w:after="0" w:line="75" w:lineRule="exact"/>
              <w:rPr>
                <w:sz w:val="20"/>
                <w:szCs w:val="20"/>
                <w:color w:val="auto"/>
              </w:rPr>
            </w:pPr>
            <w:r>
              <w:rPr>
                <w:rFonts w:ascii="Arial" w:cs="Arial" w:eastAsia="Arial" w:hAnsi="Arial"/>
                <w:sz w:val="7"/>
                <w:szCs w:val="7"/>
                <w:b w:val="1"/>
                <w:bCs w:val="1"/>
                <w:color w:val="auto"/>
              </w:rPr>
              <w:t>Shares</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jc w:val="right"/>
              <w:ind w:right="168"/>
              <w:spacing w:after="0" w:line="75" w:lineRule="exact"/>
              <w:rPr>
                <w:sz w:val="20"/>
                <w:szCs w:val="20"/>
                <w:color w:val="auto"/>
              </w:rPr>
            </w:pPr>
            <w:r>
              <w:rPr>
                <w:rFonts w:ascii="Arial" w:cs="Arial" w:eastAsia="Arial" w:hAnsi="Arial"/>
                <w:sz w:val="7"/>
                <w:szCs w:val="7"/>
                <w:b w:val="1"/>
                <w:bCs w:val="1"/>
                <w:color w:val="auto"/>
              </w:rPr>
              <w:t>Per-Share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tcPr>
          <w:p>
            <w:pPr>
              <w:jc w:val="center"/>
              <w:ind w:right="200"/>
              <w:spacing w:after="0" w:line="75" w:lineRule="exact"/>
              <w:rPr>
                <w:sz w:val="20"/>
                <w:szCs w:val="20"/>
                <w:color w:val="auto"/>
              </w:rPr>
            </w:pPr>
            <w:r>
              <w:rPr>
                <w:rFonts w:ascii="Arial" w:cs="Arial" w:eastAsia="Arial" w:hAnsi="Arial"/>
                <w:sz w:val="7"/>
                <w:szCs w:val="7"/>
                <w:b w:val="1"/>
                <w:bCs w:val="1"/>
                <w:color w:val="auto"/>
              </w:rPr>
              <w:t>Net Loss</w:t>
            </w:r>
          </w:p>
        </w:tc>
        <w:tc>
          <w:tcPr>
            <w:tcW w:w="1100" w:type="dxa"/>
            <w:vAlign w:val="bottom"/>
            <w:gridSpan w:val="2"/>
          </w:tcPr>
          <w:p>
            <w:pPr>
              <w:jc w:val="center"/>
              <w:ind w:right="140"/>
              <w:spacing w:after="0" w:line="75" w:lineRule="exact"/>
              <w:rPr>
                <w:sz w:val="20"/>
                <w:szCs w:val="20"/>
                <w:color w:val="auto"/>
              </w:rPr>
            </w:pPr>
            <w:r>
              <w:rPr>
                <w:rFonts w:ascii="Arial" w:cs="Arial" w:eastAsia="Arial" w:hAnsi="Arial"/>
                <w:sz w:val="7"/>
                <w:szCs w:val="7"/>
                <w:b w:val="1"/>
                <w:bCs w:val="1"/>
                <w:color w:val="auto"/>
              </w:rPr>
              <w:t>Shares</w:t>
            </w:r>
          </w:p>
        </w:tc>
        <w:tc>
          <w:tcPr>
            <w:tcW w:w="120" w:type="dxa"/>
            <w:vAlign w:val="bottom"/>
          </w:tcPr>
          <w:p>
            <w:pPr>
              <w:spacing w:after="0"/>
              <w:rPr>
                <w:sz w:val="6"/>
                <w:szCs w:val="6"/>
                <w:color w:val="auto"/>
              </w:rPr>
            </w:pPr>
          </w:p>
        </w:tc>
        <w:tc>
          <w:tcPr>
            <w:tcW w:w="700" w:type="dxa"/>
            <w:vAlign w:val="bottom"/>
          </w:tcPr>
          <w:p>
            <w:pPr>
              <w:jc w:val="right"/>
              <w:ind w:right="148"/>
              <w:spacing w:after="0" w:line="75" w:lineRule="exact"/>
              <w:rPr>
                <w:sz w:val="20"/>
                <w:szCs w:val="20"/>
                <w:color w:val="auto"/>
              </w:rPr>
            </w:pPr>
            <w:r>
              <w:rPr>
                <w:rFonts w:ascii="Arial" w:cs="Arial" w:eastAsia="Arial" w:hAnsi="Arial"/>
                <w:sz w:val="7"/>
                <w:szCs w:val="7"/>
                <w:b w:val="1"/>
                <w:bCs w:val="1"/>
                <w:color w:val="auto"/>
              </w:rPr>
              <w:t>Per-Share</w:t>
            </w: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(Numerator)</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(Denominator)</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ind w:right="208"/>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(Numerator)</w:t>
            </w:r>
          </w:p>
        </w:tc>
        <w:tc>
          <w:tcPr>
            <w:tcW w:w="11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(Denominator)</w:t>
            </w:r>
          </w:p>
        </w:tc>
        <w:tc>
          <w:tcPr>
            <w:tcW w:w="120" w:type="dxa"/>
            <w:vAlign w:val="bottom"/>
          </w:tcPr>
          <w:p>
            <w:pPr>
              <w:spacing w:after="0"/>
              <w:rPr>
                <w:sz w:val="9"/>
                <w:szCs w:val="9"/>
                <w:color w:val="auto"/>
              </w:rPr>
            </w:pPr>
          </w:p>
        </w:tc>
        <w:tc>
          <w:tcPr>
            <w:tcW w:w="700" w:type="dxa"/>
            <w:vAlign w:val="bottom"/>
          </w:tcPr>
          <w:p>
            <w:pPr>
              <w:jc w:val="right"/>
              <w:ind w:right="188"/>
              <w:spacing w:after="0"/>
              <w:rPr>
                <w:sz w:val="20"/>
                <w:szCs w:val="20"/>
                <w:color w:val="auto"/>
              </w:rPr>
            </w:pPr>
            <w:r>
              <w:rPr>
                <w:rFonts w:ascii="Arial" w:cs="Arial" w:eastAsia="Arial" w:hAnsi="Arial"/>
                <w:sz w:val="10"/>
                <w:szCs w:val="10"/>
                <w:b w:val="1"/>
                <w:bCs w:val="1"/>
                <w:color w:val="auto"/>
              </w:rPr>
              <w:t>Amount</w:t>
            </w:r>
          </w:p>
        </w:tc>
      </w:tr>
      <w:tr>
        <w:trPr>
          <w:trHeight w:val="126"/>
        </w:trPr>
        <w:tc>
          <w:tcPr>
            <w:tcW w:w="20" w:type="dxa"/>
            <w:vAlign w:val="bottom"/>
          </w:tcPr>
          <w:p>
            <w:pPr>
              <w:spacing w:after="0"/>
              <w:rPr>
                <w:sz w:val="10"/>
                <w:szCs w:val="10"/>
                <w:color w:val="auto"/>
              </w:rPr>
            </w:pPr>
          </w:p>
        </w:tc>
        <w:tc>
          <w:tcPr>
            <w:tcW w:w="80" w:type="dxa"/>
            <w:vAlign w:val="bottom"/>
            <w:tcBorders>
              <w:top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(12,729)</w:t>
            </w: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(2,231)</w:t>
            </w: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2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(13,063)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49,861,735</w:t>
            </w:r>
          </w:p>
        </w:tc>
        <w:tc>
          <w:tcPr>
            <w:tcW w:w="10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(2,565)</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39,398,469</w:t>
            </w:r>
          </w:p>
        </w:tc>
        <w:tc>
          <w:tcPr>
            <w:tcW w:w="140" w:type="dxa"/>
            <w:vAlign w:val="bottom"/>
          </w:tcPr>
          <w:p>
            <w:pPr>
              <w:spacing w:after="0"/>
              <w:rPr>
                <w:sz w:val="24"/>
                <w:szCs w:val="24"/>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(0.07)</w:t>
            </w:r>
          </w:p>
        </w:tc>
      </w:tr>
      <w:tr>
        <w:trPr>
          <w:trHeight w:val="43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60" w:type="dxa"/>
            <w:vAlign w:val="bottom"/>
            <w:gridSpan w:val="2"/>
          </w:tcPr>
          <w:p>
            <w:pPr>
              <w:ind w:left="8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6"/>
                <w:szCs w:val="6"/>
                <w:color w:val="auto"/>
              </w:rPr>
              <w:t>(a)</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100" w:type="dxa"/>
            <w:vAlign w:val="bottom"/>
            <w:gridSpan w:val="2"/>
          </w:tcPr>
          <w:p>
            <w:pPr>
              <w:ind w:left="8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6"/>
                <w:szCs w:val="6"/>
                <w:color w:val="auto"/>
              </w:rPr>
              <w:t>(a)</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64"/>
        </w:trPr>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(13,063)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49,861,735</w:t>
            </w:r>
          </w:p>
        </w:tc>
        <w:tc>
          <w:tcPr>
            <w:tcW w:w="10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(0.26)</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(2,565)</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39,398,469</w:t>
            </w:r>
          </w:p>
        </w:tc>
        <w:tc>
          <w:tcPr>
            <w:tcW w:w="140" w:type="dxa"/>
            <w:vAlign w:val="bottom"/>
          </w:tcPr>
          <w:p>
            <w:pPr>
              <w:spacing w:after="0"/>
              <w:rPr>
                <w:sz w:val="24"/>
                <w:szCs w:val="24"/>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(0.07)</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-1146175</wp:posOffset>
            </wp:positionV>
            <wp:extent cx="5785485" cy="98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5485" cy="9842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-955040</wp:posOffset>
            </wp:positionV>
            <wp:extent cx="5785485" cy="98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5485" cy="9842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-763905</wp:posOffset>
            </wp:positionV>
            <wp:extent cx="5785485" cy="98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5485" cy="9842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-567055</wp:posOffset>
            </wp:positionV>
            <wp:extent cx="5785485" cy="92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5485" cy="92710"/>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-381635</wp:posOffset>
            </wp:positionV>
            <wp:extent cx="5785485" cy="98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5485" cy="9842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-190500</wp:posOffset>
            </wp:positionV>
            <wp:extent cx="5785485" cy="185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5485" cy="185420"/>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133350</wp:posOffset>
            </wp:positionV>
            <wp:extent cx="578548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5485" cy="571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2760" w:space="520"/>
            <w:col w:w="5840"/>
          </w:cols>
          <w:pgMar w:left="1400" w:top="131" w:right="1379" w:bottom="1440" w:gutter="0" w:footer="0" w:header="0"/>
        </w:sectPr>
      </w:pPr>
    </w:p>
    <w:p>
      <w:pPr>
        <w:spacing w:after="0" w:line="119" w:lineRule="exact"/>
        <w:rPr>
          <w:sz w:val="20"/>
          <w:szCs w:val="20"/>
          <w:color w:val="auto"/>
        </w:rPr>
      </w:pPr>
    </w:p>
    <w:p>
      <w:pPr>
        <w:ind w:left="440" w:hanging="226"/>
        <w:spacing w:after="0"/>
        <w:tabs>
          <w:tab w:leader="none" w:pos="440" w:val="left"/>
        </w:tabs>
        <w:numPr>
          <w:ilvl w:val="0"/>
          <w:numId w:val="6"/>
        </w:numPr>
        <w:rPr>
          <w:rFonts w:ascii="Arial" w:cs="Arial" w:eastAsia="Arial" w:hAnsi="Arial"/>
          <w:sz w:val="9"/>
          <w:szCs w:val="9"/>
          <w:color w:val="auto"/>
        </w:rPr>
      </w:pPr>
      <w:r>
        <w:rPr>
          <w:rFonts w:ascii="Arial" w:cs="Arial" w:eastAsia="Arial" w:hAnsi="Arial"/>
          <w:sz w:val="9"/>
          <w:szCs w:val="9"/>
          <w:color w:val="auto"/>
        </w:rPr>
        <w:t>645,417, 581,621, and 851,407 shares were excluded for the three and six months ended December 31, 2017 and six months ended December 31, 2016, respectively, as the effects would be anti-dilutive.</w:t>
      </w:r>
    </w:p>
    <w:p>
      <w:pPr>
        <w:spacing w:after="0" w:line="27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changes in the average number of shares that were anti-dilutive in the three and six months ended December 31, 2017 compared to the same period last year, were due to warrants exercised in connection with our common stock during September 2016.</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GOODWILL AND INTANGIBLES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 balances and goodwill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0"/>
                <w:szCs w:val="10"/>
                <w:b w:val="1"/>
                <w:bCs w:val="1"/>
                <w:color w:val="auto"/>
                <w:w w:val="88"/>
              </w:rPr>
              <w:t>As of December 31, 2017</w:t>
            </w: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jc w:val="right"/>
              <w:ind w:right="283"/>
              <w:spacing w:after="0" w:line="75" w:lineRule="exact"/>
              <w:rPr>
                <w:sz w:val="20"/>
                <w:szCs w:val="20"/>
                <w:color w:val="auto"/>
              </w:rPr>
            </w:pPr>
            <w:r>
              <w:rPr>
                <w:rFonts w:ascii="Arial" w:cs="Arial" w:eastAsia="Arial" w:hAnsi="Arial"/>
                <w:sz w:val="7"/>
                <w:szCs w:val="7"/>
                <w:b w:val="1"/>
                <w:bCs w:val="1"/>
                <w:color w:val="auto"/>
              </w:rPr>
              <w:t>Accumulated</w:t>
            </w: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40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right"/>
              <w:ind w:right="461"/>
              <w:spacing w:after="0"/>
              <w:rPr>
                <w:sz w:val="20"/>
                <w:szCs w:val="20"/>
                <w:color w:val="auto"/>
              </w:rPr>
            </w:pPr>
            <w:r>
              <w:rPr>
                <w:rFonts w:ascii="Arial" w:cs="Arial" w:eastAsia="Arial" w:hAnsi="Arial"/>
                <w:sz w:val="10"/>
                <w:szCs w:val="10"/>
                <w:b w:val="1"/>
                <w:bCs w:val="1"/>
                <w:color w:val="auto"/>
              </w:rPr>
              <w:t>Gross</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right"/>
              <w:ind w:right="283"/>
              <w:spacing w:after="0"/>
              <w:rPr>
                <w:sz w:val="20"/>
                <w:szCs w:val="20"/>
                <w:color w:val="auto"/>
              </w:rPr>
            </w:pPr>
            <w:r>
              <w:rPr>
                <w:rFonts w:ascii="Arial" w:cs="Arial" w:eastAsia="Arial" w:hAnsi="Arial"/>
                <w:sz w:val="10"/>
                <w:szCs w:val="10"/>
                <w:b w:val="1"/>
                <w:bCs w:val="1"/>
                <w:color w:val="auto"/>
              </w:rPr>
              <w:t>Amortization</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jc w:val="right"/>
              <w:ind w:right="481"/>
              <w:spacing w:after="0"/>
              <w:rPr>
                <w:sz w:val="20"/>
                <w:szCs w:val="20"/>
                <w:color w:val="auto"/>
              </w:rPr>
            </w:pPr>
            <w:r>
              <w:rPr>
                <w:rFonts w:ascii="Arial" w:cs="Arial" w:eastAsia="Arial" w:hAnsi="Arial"/>
                <w:sz w:val="10"/>
                <w:szCs w:val="10"/>
                <w:b w:val="1"/>
                <w:bCs w:val="1"/>
                <w:color w:val="auto"/>
              </w:rPr>
              <w:t>Net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center"/>
              <w:ind w:right="262"/>
              <w:spacing w:after="0"/>
              <w:rPr>
                <w:sz w:val="20"/>
                <w:szCs w:val="20"/>
                <w:color w:val="auto"/>
              </w:rPr>
            </w:pPr>
            <w:r>
              <w:rPr>
                <w:rFonts w:ascii="Arial" w:cs="Arial" w:eastAsia="Arial" w:hAnsi="Arial"/>
                <w:sz w:val="10"/>
                <w:szCs w:val="10"/>
                <w:b w:val="1"/>
                <w:bCs w:val="1"/>
                <w:color w:val="auto"/>
                <w:w w:val="89"/>
              </w:rPr>
              <w:t>Period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Intangible assets:</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Non-compete agreements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2"/>
                <w:szCs w:val="12"/>
                <w:color w:val="auto"/>
              </w:rPr>
              <w:t>2 years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Brand and tradenames</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- 7 years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Developed technology</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10,939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10,440</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w:t>
            </w:r>
          </w:p>
        </w:tc>
        <w:tc>
          <w:tcPr>
            <w:tcW w:w="680" w:type="dxa"/>
            <w:vAlign w:val="bottom"/>
          </w:tcPr>
          <w:p>
            <w:pPr>
              <w:ind w:left="20"/>
              <w:spacing w:after="0"/>
              <w:rPr>
                <w:sz w:val="20"/>
                <w:szCs w:val="20"/>
                <w:color w:val="auto"/>
              </w:rPr>
            </w:pPr>
            <w:r>
              <w:rPr>
                <w:rFonts w:ascii="Arial" w:cs="Arial" w:eastAsia="Arial" w:hAnsi="Arial"/>
                <w:sz w:val="12"/>
                <w:szCs w:val="12"/>
                <w:color w:val="auto"/>
              </w:rPr>
              <w:t>- 6 years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Customer relationships</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19,049</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- 18 years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line="135" w:lineRule="exact"/>
              <w:rPr>
                <w:sz w:val="20"/>
                <w:szCs w:val="20"/>
                <w:color w:val="auto"/>
              </w:rPr>
            </w:pPr>
            <w:r>
              <w:rPr>
                <w:rFonts w:ascii="Arial" w:cs="Arial" w:eastAsia="Arial" w:hAnsi="Arial"/>
                <w:sz w:val="12"/>
                <w:szCs w:val="12"/>
                <w:color w:val="auto"/>
              </w:rPr>
              <w:t>Total intangible assets</w:t>
            </w:r>
          </w:p>
        </w:tc>
        <w:tc>
          <w:tcPr>
            <w:tcW w:w="160" w:type="dxa"/>
            <w:vAlign w:val="bottom"/>
          </w:tcPr>
          <w:p>
            <w:pPr>
              <w:spacing w:after="0"/>
              <w:rPr>
                <w:sz w:val="11"/>
                <w:szCs w:val="11"/>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31,685</w:t>
            </w:r>
          </w:p>
        </w:tc>
        <w:tc>
          <w:tcPr>
            <w:tcW w:w="140" w:type="dxa"/>
            <w:vAlign w:val="bottom"/>
          </w:tcPr>
          <w:p>
            <w:pPr>
              <w:spacing w:after="0"/>
              <w:rPr>
                <w:sz w:val="11"/>
                <w:szCs w:val="11"/>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(775)</w:t>
            </w:r>
          </w:p>
        </w:tc>
        <w:tc>
          <w:tcPr>
            <w:tcW w:w="140" w:type="dxa"/>
            <w:vAlign w:val="bottom"/>
          </w:tcPr>
          <w:p>
            <w:pPr>
              <w:spacing w:after="0"/>
              <w:rPr>
                <w:sz w:val="11"/>
                <w:szCs w:val="11"/>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30,910</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Goodwill</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64,449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64,449</w:t>
            </w:r>
          </w:p>
        </w:tc>
        <w:tc>
          <w:tcPr>
            <w:tcW w:w="14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2"/>
                <w:szCs w:val="12"/>
                <w:color w:val="auto"/>
                <w:w w:val="98"/>
              </w:rPr>
              <w:t>Indefinite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line="135" w:lineRule="exact"/>
              <w:rPr>
                <w:sz w:val="20"/>
                <w:szCs w:val="20"/>
                <w:color w:val="auto"/>
              </w:rPr>
            </w:pPr>
            <w:r>
              <w:rPr>
                <w:rFonts w:ascii="Arial" w:cs="Arial" w:eastAsia="Arial" w:hAnsi="Arial"/>
                <w:sz w:val="12"/>
                <w:szCs w:val="12"/>
                <w:color w:val="auto"/>
              </w:rPr>
              <w:t>Total intangible assets &amp; goodwill</w:t>
            </w:r>
          </w:p>
        </w:tc>
        <w:tc>
          <w:tcPr>
            <w:tcW w:w="160" w:type="dxa"/>
            <w:vAlign w:val="bottom"/>
          </w:tcPr>
          <w:p>
            <w:pPr>
              <w:spacing w:after="0"/>
              <w:rPr>
                <w:sz w:val="11"/>
                <w:szCs w:val="1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96,134</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(775)</w:t>
            </w:r>
          </w:p>
        </w:tc>
        <w:tc>
          <w:tcPr>
            <w:tcW w:w="140" w:type="dxa"/>
            <w:vAlign w:val="bottom"/>
          </w:tcPr>
          <w:p>
            <w:pPr>
              <w:spacing w:after="0"/>
              <w:rPr>
                <w:sz w:val="11"/>
                <w:szCs w:val="11"/>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95,359</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type w:val="continuous"/>
        </w:sectPr>
      </w:pPr>
    </w:p>
    <w:bookmarkStart w:id="14" w:name="page15"/>
    <w:bookmarkEnd w:id="1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86"/>
              </w:rPr>
              <w:t>As of June 30, 2017</w:t>
            </w: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ind w:left="320"/>
              <w:spacing w:after="0" w:line="75" w:lineRule="exact"/>
              <w:rPr>
                <w:sz w:val="20"/>
                <w:szCs w:val="20"/>
                <w:color w:val="auto"/>
              </w:rPr>
            </w:pPr>
            <w:r>
              <w:rPr>
                <w:rFonts w:ascii="Arial" w:cs="Arial" w:eastAsia="Arial" w:hAnsi="Arial"/>
                <w:sz w:val="7"/>
                <w:szCs w:val="7"/>
                <w:b w:val="1"/>
                <w:bCs w:val="1"/>
                <w:color w:val="auto"/>
              </w:rPr>
              <w:t>Accumulated</w:t>
            </w: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40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160" w:type="dxa"/>
            <w:vAlign w:val="bottom"/>
          </w:tcPr>
          <w:p>
            <w:pPr>
              <w:spacing w:after="0"/>
              <w:rPr>
                <w:sz w:val="9"/>
                <w:szCs w:val="9"/>
                <w:color w:val="auto"/>
              </w:rPr>
            </w:pPr>
          </w:p>
        </w:tc>
        <w:tc>
          <w:tcPr>
            <w:tcW w:w="920" w:type="dxa"/>
            <w:vAlign w:val="bottom"/>
          </w:tcPr>
          <w:p>
            <w:pPr>
              <w:jc w:val="right"/>
              <w:ind w:right="50"/>
              <w:spacing w:after="0"/>
              <w:rPr>
                <w:sz w:val="20"/>
                <w:szCs w:val="20"/>
                <w:color w:val="auto"/>
              </w:rPr>
            </w:pPr>
            <w:r>
              <w:rPr>
                <w:rFonts w:ascii="Arial" w:cs="Arial" w:eastAsia="Arial" w:hAnsi="Arial"/>
                <w:sz w:val="10"/>
                <w:szCs w:val="10"/>
                <w:b w:val="1"/>
                <w:bCs w:val="1"/>
                <w:color w:val="auto"/>
              </w:rPr>
              <w:t>Gross</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ind w:left="320"/>
              <w:spacing w:after="0"/>
              <w:rPr>
                <w:sz w:val="20"/>
                <w:szCs w:val="20"/>
                <w:color w:val="auto"/>
              </w:rPr>
            </w:pPr>
            <w:r>
              <w:rPr>
                <w:rFonts w:ascii="Arial" w:cs="Arial" w:eastAsia="Arial" w:hAnsi="Arial"/>
                <w:sz w:val="10"/>
                <w:szCs w:val="10"/>
                <w:b w:val="1"/>
                <w:bCs w:val="1"/>
                <w:color w:val="auto"/>
                <w:w w:val="91"/>
              </w:rPr>
              <w:t>Amortization</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jc w:val="right"/>
              <w:ind w:right="47"/>
              <w:spacing w:after="0"/>
              <w:rPr>
                <w:sz w:val="20"/>
                <w:szCs w:val="20"/>
                <w:color w:val="auto"/>
              </w:rPr>
            </w:pPr>
            <w:r>
              <w:rPr>
                <w:rFonts w:ascii="Arial" w:cs="Arial" w:eastAsia="Arial" w:hAnsi="Arial"/>
                <w:sz w:val="10"/>
                <w:szCs w:val="10"/>
                <w:b w:val="1"/>
                <w:bCs w:val="1"/>
                <w:color w:val="auto"/>
              </w:rPr>
              <w:t>Net</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Intangible assets:</w:t>
            </w: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Non-compete agreements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1"/>
              </w:rPr>
              <w:t>2 years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Brand</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 years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Developed technology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639</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92"/>
              </w:rPr>
              <w:t>(191)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448</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1"/>
              </w:rPr>
              <w:t>5 years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Customer relationships</w:t>
            </w:r>
          </w:p>
        </w:tc>
        <w:tc>
          <w:tcPr>
            <w:tcW w:w="1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1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10 years</w:t>
            </w: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line="135" w:lineRule="exact"/>
              <w:rPr>
                <w:sz w:val="20"/>
                <w:szCs w:val="20"/>
                <w:color w:val="auto"/>
              </w:rPr>
            </w:pPr>
            <w:r>
              <w:rPr>
                <w:rFonts w:ascii="Arial" w:cs="Arial" w:eastAsia="Arial" w:hAnsi="Arial"/>
                <w:sz w:val="12"/>
                <w:szCs w:val="12"/>
                <w:color w:val="auto"/>
              </w:rPr>
              <w:t>Total intangible assets</w:t>
            </w:r>
          </w:p>
        </w:tc>
        <w:tc>
          <w:tcPr>
            <w:tcW w:w="160" w:type="dxa"/>
            <w:vAlign w:val="bottom"/>
          </w:tcPr>
          <w:p>
            <w:pPr>
              <w:spacing w:after="0"/>
              <w:rPr>
                <w:sz w:val="11"/>
                <w:szCs w:val="11"/>
                <w:color w:val="auto"/>
              </w:rPr>
            </w:pP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885</w:t>
            </w:r>
          </w:p>
        </w:tc>
        <w:tc>
          <w:tcPr>
            <w:tcW w:w="160" w:type="dxa"/>
            <w:vAlign w:val="bottom"/>
          </w:tcPr>
          <w:p>
            <w:pPr>
              <w:spacing w:after="0"/>
              <w:rPr>
                <w:sz w:val="11"/>
                <w:szCs w:val="11"/>
                <w:color w:val="auto"/>
              </w:rPr>
            </w:pPr>
          </w:p>
        </w:tc>
        <w:tc>
          <w:tcPr>
            <w:tcW w:w="900" w:type="dxa"/>
            <w:vAlign w:val="bottom"/>
          </w:tcPr>
          <w:p>
            <w:pPr>
              <w:jc w:val="right"/>
              <w:ind w:right="794"/>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w w:val="92"/>
              </w:rPr>
              <w:t>(263)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jc w:val="right"/>
              <w:ind w:right="647"/>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622</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Goodwill</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11,492</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11,492</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8"/>
              </w:rPr>
              <w:t>Indefinite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line="135" w:lineRule="exact"/>
              <w:rPr>
                <w:sz w:val="20"/>
                <w:szCs w:val="20"/>
                <w:color w:val="auto"/>
              </w:rPr>
            </w:pPr>
            <w:r>
              <w:rPr>
                <w:rFonts w:ascii="Arial" w:cs="Arial" w:eastAsia="Arial" w:hAnsi="Arial"/>
                <w:sz w:val="12"/>
                <w:szCs w:val="12"/>
                <w:color w:val="auto"/>
              </w:rPr>
              <w:t>Total intangible assets &amp; goodwill</w:t>
            </w:r>
          </w:p>
        </w:tc>
        <w:tc>
          <w:tcPr>
            <w:tcW w:w="160" w:type="dxa"/>
            <w:vAlign w:val="bottom"/>
          </w:tcPr>
          <w:p>
            <w:pPr>
              <w:spacing w:after="0"/>
              <w:rPr>
                <w:sz w:val="11"/>
                <w:szCs w:val="11"/>
                <w:color w:val="auto"/>
              </w:rPr>
            </w:pP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12,377</w:t>
            </w:r>
          </w:p>
        </w:tc>
        <w:tc>
          <w:tcPr>
            <w:tcW w:w="1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2"/>
              </w:rPr>
              <w:t>(263)</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47"/>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12,114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329" w:lineRule="auto"/>
        <w:rPr>
          <w:sz w:val="20"/>
          <w:szCs w:val="20"/>
          <w:color w:val="auto"/>
        </w:rPr>
      </w:pPr>
      <w:r>
        <w:rPr>
          <w:rFonts w:ascii="Arial" w:cs="Arial" w:eastAsia="Arial" w:hAnsi="Arial"/>
          <w:sz w:val="11"/>
          <w:szCs w:val="11"/>
          <w:color w:val="auto"/>
        </w:rPr>
        <w:t>For the three and six months ended December 31, 2017, there was $472 thousand and $516 thousand in amortization expense related to intangible assets, respectively, as compared to the three and six months ended December 31, 2016, for which there was $43 thousand and $87 thousand in amortization expense related to intangible assets,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LINE OF CREDIT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“Heritage Line of Credit”) at an interest rate calculated based on the Federal Reserves’ Prime plus 2.25%. The Heritage Line of Credit and the Company’s obligations under the Heritage Loan Documents were secured by substantially all of the Company’s assets, including its intellectual property.</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During March 2017, the Company entered into the third amendment with Heritage Bank that extended the maturity date of the Heritage Line of Credit from March 29, 2017 to September 30, 2018.</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On November 9, 2017, the Company paid all amounts due in respect of principal, interest, and fees, and satisfied all of its obligations under the Loan and Security Agreement dated as of March 29, 2016, as amended, and ancillary agreements by and between the Company and Heritage Bank of Commerce. The Company recorded a charge of $55 thousand to write-off any remaining deferred financing costs related to the Heritage Line of Credit to interest expense for the three and six months ended December 31, 2017. Pursuant to such payment, all commitments of Heritage Bank of Commerce were terminated, and the Heritage Loan and Security Agreement was terminated. As such, there was no outstanding balance on the Heritage Line of Credit at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DEBT</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Revolving Credit Facility and Term Loan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 The principal amount of the Term Loan is payable quarterly beginning on December 31, 2017, and the Term Loan, all advances under the Revolving Credit Facility, and all other obligations must be paid in full at maturity, on November 9, 2022.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5" w:name="page16"/>
    <w:bookmarkEnd w:id="1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and six months ended December 31, 2017 is LIBOR plus 4%. The Term Loan and Revolving Credit Facility contain customary representations and warranties and affirmative and negative covenants and require the Company to maintain a minimum quarterly Total Leverage Ratio and Fixed Charge Coverage Ratio.</w:t>
      </w:r>
    </w:p>
    <w:p>
      <w:pPr>
        <w:spacing w:after="0" w:line="43" w:lineRule="exact"/>
        <w:rPr>
          <w:sz w:val="20"/>
          <w:szCs w:val="20"/>
          <w:color w:val="auto"/>
        </w:rPr>
      </w:pPr>
    </w:p>
    <w:p>
      <w:pPr>
        <w:ind w:right="1520"/>
        <w:spacing w:after="0" w:line="356" w:lineRule="auto"/>
        <w:rPr>
          <w:sz w:val="20"/>
          <w:szCs w:val="20"/>
          <w:color w:val="auto"/>
        </w:rPr>
      </w:pPr>
      <w:r>
        <w:rPr>
          <w:rFonts w:ascii="Arial" w:cs="Arial" w:eastAsia="Arial" w:hAnsi="Arial"/>
          <w:sz w:val="12"/>
          <w:szCs w:val="12"/>
          <w:color w:val="auto"/>
        </w:rPr>
        <w:t xml:space="preserve">As of December 31, 2017, the outstanding balances for the Revolving Credit Facility and the Term Loan were $10.0 million and $24.6 million, respectively. </w:t>
      </w:r>
      <w:r>
        <w:rPr>
          <w:rFonts w:ascii="Arial" w:cs="Arial" w:eastAsia="Arial" w:hAnsi="Arial"/>
          <w:sz w:val="12"/>
          <w:szCs w:val="12"/>
          <w:b w:val="1"/>
          <w:bCs w:val="1"/>
          <w:i w:val="1"/>
          <w:iCs w:val="1"/>
          <w:color w:val="auto"/>
        </w:rPr>
        <w:t>Other Long-Term Borrowings</w:t>
      </w:r>
    </w:p>
    <w:p>
      <w:pPr>
        <w:spacing w:after="0" w:line="1"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The Company periodically enters into capital lease obligations to finance network servers, computers, office furniture and equipment related support for use in its daily operations. During the six months ended December 31, 2017, the Company entered into capital lease obligations totaling $227 thousand, comprised of monthly installments of $7 thousand due within three years. The value of the acquired equipment is included in property and equipment and depreciated accordingly.</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connection with the acquisition of Cantaloupe, the Company assumed debt of $1.8 million. At December 31, 2017, the debt is comprised of $550 thousand of promissory notes bearing an interest rate of a 5% and maturing on April 5, 2020 with principal and interest payments due monthly, $830 thousand of promissory notes bearing an interest rate of 10% and maturing on September 30, 2021 with principal and interest payments due quarterly, and $356 thousand of promissory notes bearing an interest rate of 12% and maturing on December 15, 2019 with principal and interest payments due quarterly.</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FAIR VALUE OF 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2017, the Company held no level 1, level 2, or level 3 financial instruments.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As of June 30, 2016, 2.2 million warrants with a fair value of $3.7 million comprised the Company’s Level 3 financial instruments. The Level 3 financial instruments consisted of common stock warrants issued by the Company in March 2011 to purchase shares of the Company’s common stock. The Level 3 financial instruments included features requiring liability treatment of the warrants, with the fair value of the common stock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three months ended September 30, 2016, all of the aforementioned warrants were exercised resulting in a $5.2 million reclassification to Common Stock and the net difference of $1.5 million was recorded as a loss on fair value associated with the warrant liability.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The staff of the US Securities and Exchange Commission (“SEC”) has recognized the complexity of reflecting the impacts of the Act, and on December 22, 2017 issued guidance in Staff Accounting Bulletin 118 (“SAB 118”), which clarifies accounting for income taxes under ASC 740 if information is not yet available or complete and provides for up to a one year period in which to complete the required analyses and accounting (the measurement period). SAB 118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ASC 740, based on the provisions of the tax laws that were in effect immediately prior to the Act being enacted.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5485" cy="11430"/>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6" w:name="page17"/>
    <w:bookmarkEnd w:id="1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various provisions under the Act deemed most relevant to the Company have been considered in preparation of its financial statements as of December 31, 2017. To the extent that clarifications or interpretations materialize in the future that would impact upon the effects of the Act incorporated into the December 31, 2017 financial statements, those effects will be reflected in the future as or if they materialize.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three and six months ended December 31, 2017, the Company recorded income tax provisions of $9,073 thousand and $8,605 thousand, respectively, (substantially all deferred income taxes) which include a charge of $6,592 thousand related to the Act. These provisions are based upon income (loss) before income taxes using an estimated negative annual effective income tax rate of 49.20%, which is primarily driven by the impact of permanent differences. The tax rate reduction related to the Act was treated as a discrete item in the tax provisions for the three and six months ended December 31, 2017.</w:t>
      </w:r>
    </w:p>
    <w:p>
      <w:pPr>
        <w:spacing w:after="0" w:line="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accounting for deferred income taxes in the acquisition of Cantaloupe did not consider the potential effects of IRS Code Section 382 relating to the limitation on use of operating loss carryforwards created by Cantaloupe for its changes in ownership because the analysis required for such determination has not yet been completed. If upon completion of such analysis there are limitations on the use of operating loss carryforwards created by Cantaloupe totaling approximately $13,271 thousand, the potential effect would be to record a valuation allowance in the opening balance sheet, as well as a tax benefit to reverse the provision recorded during the three months ended December 31, 2017 related to the rate reduction of the deferred tax assets acquired.</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For the three and six months ended December 31, 2016, income tax benefits of $0 and $115 thousand, respectively, (substantially all deferred income taxes) were recorded. The benefits are based upon income (loss) before income taxes using an estimated annual effective income tax rate of 30% for the fiscal year ended June 30, 2017. However, such benefits actually calculated have been limited to $115 thousand pending the materialization of additional income before income taxes resulting in an increase of $30 thousand in valuation allowances for the calculated additional benefits. The benefits for the six months ended December 31, 2016 were reduced by a provision for the tax effect of the change in the fair value of warrant liabilities which was treated discretely. All of those warrants were exercised as of September 30, 2016.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EQUITY</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On November 6, 2017, the Company entered into a Merger Agreement with Cantaloupe for cash and 3,423,367 shares of the company’s stock valued at $19.8 million. Refer to Footnote 3 for details on the Merger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5485" cy="11430"/>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7" w:name="page18"/>
    <w:bookmarkEnd w:id="1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WARRANTS</w:t>
      </w:r>
    </w:p>
    <w:p>
      <w:pPr>
        <w:spacing w:after="0" w:line="154" w:lineRule="exact"/>
        <w:rPr>
          <w:sz w:val="20"/>
          <w:szCs w:val="20"/>
          <w:color w:val="auto"/>
        </w:rPr>
      </w:pPr>
    </w:p>
    <w:p>
      <w:pPr>
        <w:jc w:val="both"/>
        <w:spacing w:after="0" w:line="329" w:lineRule="auto"/>
        <w:rPr>
          <w:sz w:val="20"/>
          <w:szCs w:val="20"/>
          <w:color w:val="auto"/>
        </w:rPr>
      </w:pPr>
      <w:r>
        <w:rPr>
          <w:rFonts w:ascii="Arial" w:cs="Arial" w:eastAsia="Arial" w:hAnsi="Arial"/>
          <w:sz w:val="11"/>
          <w:szCs w:val="11"/>
          <w:color w:val="auto"/>
        </w:rPr>
        <w:t>During the three and six months ended December 31, 2017, no warrants were exercised as compared to the three and six months ended December 31, 2016 where 2.4 million warrants were exercised at $2.6058 per share, yielding proceeds of $6.2 million. The following table summarizes warrant activity for the three and six months ended December 31, 2017 and 2016: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5"/>
              </w:rPr>
              <w:t>Three months ended</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3"/>
          </w:tcPr>
          <w:p>
            <w:pPr>
              <w:jc w:val="center"/>
              <w:ind w:left="723"/>
              <w:spacing w:after="0"/>
              <w:rPr>
                <w:sz w:val="20"/>
                <w:szCs w:val="20"/>
                <w:color w:val="auto"/>
              </w:rPr>
            </w:pPr>
            <w:r>
              <w:rPr>
                <w:rFonts w:ascii="Arial" w:cs="Arial" w:eastAsia="Arial" w:hAnsi="Arial"/>
                <w:sz w:val="10"/>
                <w:szCs w:val="10"/>
                <w:b w:val="1"/>
                <w:bCs w:val="1"/>
                <w:color w:val="auto"/>
                <w:w w:val="85"/>
              </w:rPr>
              <w:t>Six months ended</w:t>
            </w:r>
          </w:p>
        </w:tc>
        <w:tc>
          <w:tcPr>
            <w:tcW w:w="780" w:type="dxa"/>
            <w:vAlign w:val="bottom"/>
          </w:tcPr>
          <w:p>
            <w:pPr>
              <w:spacing w:after="0"/>
              <w:rPr>
                <w:sz w:val="10"/>
                <w:szCs w:val="10"/>
                <w:color w:val="auto"/>
              </w:rPr>
            </w:pPr>
          </w:p>
        </w:tc>
      </w:tr>
      <w:tr>
        <w:trPr>
          <w:trHeight w:val="115"/>
        </w:trPr>
        <w:tc>
          <w:tcPr>
            <w:tcW w:w="2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9"/>
              </w:rPr>
              <w:t>December 31,</w:t>
            </w: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Borders>
              <w:bottom w:val="single" w:sz="8" w:color="auto"/>
            </w:tcBorders>
            <w:gridSpan w:val="3"/>
          </w:tcPr>
          <w:p>
            <w:pPr>
              <w:jc w:val="center"/>
              <w:ind w:left="703"/>
              <w:spacing w:after="0"/>
              <w:rPr>
                <w:sz w:val="20"/>
                <w:szCs w:val="20"/>
                <w:color w:val="auto"/>
              </w:rPr>
            </w:pPr>
            <w:r>
              <w:rPr>
                <w:rFonts w:ascii="Arial" w:cs="Arial" w:eastAsia="Arial" w:hAnsi="Arial"/>
                <w:sz w:val="10"/>
                <w:szCs w:val="10"/>
                <w:b w:val="1"/>
                <w:bCs w:val="1"/>
                <w:color w:val="auto"/>
                <w:w w:val="86"/>
              </w:rPr>
              <w:t>December 31,</w:t>
            </w:r>
          </w:p>
        </w:tc>
        <w:tc>
          <w:tcPr>
            <w:tcW w:w="780" w:type="dxa"/>
            <w:vAlign w:val="bottom"/>
            <w:tcBorders>
              <w:bottom w:val="single" w:sz="8" w:color="auto"/>
            </w:tcBorders>
          </w:tcPr>
          <w:p>
            <w:pPr>
              <w:spacing w:after="0"/>
              <w:rPr>
                <w:sz w:val="9"/>
                <w:szCs w:val="9"/>
                <w:color w:val="auto"/>
              </w:rPr>
            </w:pPr>
          </w:p>
        </w:tc>
      </w:tr>
      <w:tr>
        <w:trPr>
          <w:trHeight w:val="89"/>
        </w:trPr>
        <w:tc>
          <w:tcPr>
            <w:tcW w:w="2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jc w:val="right"/>
              <w:ind w:right="11"/>
              <w:spacing w:after="0" w:line="90" w:lineRule="exact"/>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441"/>
              <w:spacing w:after="0" w:line="90"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jc w:val="right"/>
              <w:ind w:right="443"/>
              <w:spacing w:after="0" w:line="90"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421"/>
              <w:spacing w:after="0" w:line="90" w:lineRule="exact"/>
              <w:rPr>
                <w:sz w:val="20"/>
                <w:szCs w:val="20"/>
                <w:color w:val="auto"/>
              </w:rPr>
            </w:pPr>
            <w:r>
              <w:rPr>
                <w:rFonts w:ascii="Arial" w:cs="Arial" w:eastAsia="Arial" w:hAnsi="Arial"/>
                <w:sz w:val="10"/>
                <w:szCs w:val="10"/>
                <w:b w:val="1"/>
                <w:bCs w:val="1"/>
                <w:color w:val="auto"/>
              </w:rPr>
              <w:t>2016</w:t>
            </w:r>
          </w:p>
        </w:tc>
      </w:tr>
      <w:tr>
        <w:trPr>
          <w:trHeight w:val="135"/>
        </w:trPr>
        <w:tc>
          <w:tcPr>
            <w:tcW w:w="2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Beginning balance</w:t>
            </w: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23,978</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68,978</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23,978</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2,445,653</w:t>
            </w:r>
          </w:p>
        </w:tc>
      </w:tr>
      <w:tr>
        <w:trPr>
          <w:trHeight w:val="146"/>
        </w:trPr>
        <w:tc>
          <w:tcPr>
            <w:tcW w:w="2840" w:type="dxa"/>
            <w:vAlign w:val="bottom"/>
            <w:gridSpan w:val="2"/>
          </w:tcPr>
          <w:p>
            <w:pPr>
              <w:spacing w:after="0"/>
              <w:rPr>
                <w:sz w:val="20"/>
                <w:szCs w:val="20"/>
                <w:color w:val="auto"/>
              </w:rPr>
            </w:pPr>
            <w:r>
              <w:rPr>
                <w:rFonts w:ascii="Arial" w:cs="Arial" w:eastAsia="Arial" w:hAnsi="Arial"/>
                <w:sz w:val="12"/>
                <w:szCs w:val="12"/>
                <w:color w:val="auto"/>
              </w:rPr>
              <w:t>Issued</w:t>
            </w:r>
          </w:p>
        </w:tc>
        <w:tc>
          <w:tcPr>
            <w:tcW w:w="1020" w:type="dxa"/>
            <w:vAlign w:val="bottom"/>
            <w:gridSpan w:val="3"/>
          </w:tcPr>
          <w:p>
            <w:pPr>
              <w:jc w:val="right"/>
              <w:ind w:right="6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3"/>
          </w:tcPr>
          <w:p>
            <w:pPr>
              <w:jc w:val="right"/>
              <w:ind w:right="5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2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(24,733)</w:t>
            </w:r>
          </w:p>
        </w:tc>
        <w:tc>
          <w:tcPr>
            <w:tcW w:w="14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(2,401,408)</w:t>
            </w:r>
          </w:p>
        </w:tc>
      </w:tr>
      <w:tr>
        <w:trPr>
          <w:trHeight w:val="146"/>
        </w:trPr>
        <w:tc>
          <w:tcPr>
            <w:tcW w:w="2840" w:type="dxa"/>
            <w:vAlign w:val="bottom"/>
            <w:gridSpan w:val="2"/>
          </w:tcPr>
          <w:p>
            <w:pPr>
              <w:spacing w:after="0"/>
              <w:rPr>
                <w:sz w:val="20"/>
                <w:szCs w:val="20"/>
                <w:color w:val="auto"/>
              </w:rPr>
            </w:pPr>
            <w:r>
              <w:rPr>
                <w:rFonts w:ascii="Arial" w:cs="Arial" w:eastAsia="Arial" w:hAnsi="Arial"/>
                <w:sz w:val="12"/>
                <w:szCs w:val="12"/>
                <w:color w:val="auto"/>
              </w:rPr>
              <w:t>Expired</w:t>
            </w:r>
          </w:p>
        </w:tc>
        <w:tc>
          <w:tcPr>
            <w:tcW w:w="1020" w:type="dxa"/>
            <w:vAlign w:val="bottom"/>
            <w:gridSpan w:val="3"/>
          </w:tcPr>
          <w:p>
            <w:pPr>
              <w:jc w:val="right"/>
              <w:ind w:right="6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3"/>
          </w:tcPr>
          <w:p>
            <w:pPr>
              <w:jc w:val="right"/>
              <w:ind w:right="5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Cancelled</w:t>
            </w:r>
          </w:p>
        </w:tc>
        <w:tc>
          <w:tcPr>
            <w:tcW w:w="7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(20,267)</w:t>
            </w:r>
          </w:p>
        </w:tc>
        <w:tc>
          <w:tcPr>
            <w:tcW w:w="14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(20,267)</w:t>
            </w:r>
          </w:p>
        </w:tc>
      </w:tr>
      <w:tr>
        <w:trPr>
          <w:trHeight w:val="135"/>
        </w:trPr>
        <w:tc>
          <w:tcPr>
            <w:tcW w:w="2100" w:type="dxa"/>
            <w:vAlign w:val="bottom"/>
          </w:tcPr>
          <w:p>
            <w:pPr>
              <w:spacing w:after="0" w:line="135" w:lineRule="exact"/>
              <w:rPr>
                <w:sz w:val="20"/>
                <w:szCs w:val="20"/>
                <w:color w:val="auto"/>
              </w:rPr>
            </w:pPr>
            <w:r>
              <w:rPr>
                <w:rFonts w:ascii="Arial" w:cs="Arial" w:eastAsia="Arial" w:hAnsi="Arial"/>
                <w:sz w:val="12"/>
                <w:szCs w:val="12"/>
                <w:color w:val="auto"/>
              </w:rPr>
              <w:t>Ending balance</w:t>
            </w:r>
          </w:p>
        </w:tc>
        <w:tc>
          <w:tcPr>
            <w:tcW w:w="7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23,978</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23,978</w:t>
            </w:r>
          </w:p>
        </w:tc>
        <w:tc>
          <w:tcPr>
            <w:tcW w:w="14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23,978</w:t>
            </w:r>
          </w:p>
        </w:tc>
        <w:tc>
          <w:tcPr>
            <w:tcW w:w="1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23,978</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August 2017, the Company awarded stock options to its Chief Executive Officer (CEO) and Chief Financial Officer (CFO) to purchase up to 19,047 and 25,000 shares respectively of common stock at an exercise price of $5.25 per share. The CEO options vest on August 16, 2018, expiring if not exercised prior to August 16, 2024. The CFO options vest 1/3 on August 16, 2018, 1/3 on August 16, 2019 and 1/3 on August 16, 2020, expiring if not exercised prior to August 16, 2024. The CEO options are intended to qualify as incentive stock options under Section 422 of the Internal Revenue Code of 1986, as amended, and the CFO options are non-qualified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options granted during the six months ended December 31, 2017 and 2016 was determined using the following weighted average assumptions:</w:t>
      </w:r>
    </w:p>
    <w:p>
      <w:pPr>
        <w:spacing w:after="0" w:line="153" w:lineRule="exact"/>
        <w:rPr>
          <w:sz w:val="20"/>
          <w:szCs w:val="20"/>
          <w:color w:val="auto"/>
        </w:rPr>
      </w:pPr>
    </w:p>
    <w:p>
      <w:pPr>
        <w:ind w:left="5140"/>
        <w:spacing w:after="0"/>
        <w:rPr>
          <w:sz w:val="20"/>
          <w:szCs w:val="20"/>
          <w:color w:val="auto"/>
        </w:rPr>
      </w:pPr>
      <w:r>
        <w:rPr>
          <w:rFonts w:ascii="Arial" w:cs="Arial" w:eastAsia="Arial" w:hAnsi="Arial"/>
          <w:sz w:val="10"/>
          <w:szCs w:val="10"/>
          <w:b w:val="1"/>
          <w:bCs w:val="1"/>
          <w:color w:val="auto"/>
        </w:rPr>
        <w:t>Six months ended</w:t>
      </w:r>
    </w:p>
    <w:p>
      <w:pPr>
        <w:ind w:left="5220"/>
        <w:spacing w:after="0" w:line="218"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89"/>
        </w:trPr>
        <w:tc>
          <w:tcPr>
            <w:tcW w:w="282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9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10"/>
                <w:szCs w:val="10"/>
                <w:b w:val="1"/>
                <w:bCs w:val="1"/>
                <w:color w:val="auto"/>
              </w:rPr>
              <w:t>2017</w:t>
            </w:r>
          </w:p>
        </w:tc>
        <w:tc>
          <w:tcPr>
            <w:tcW w:w="7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1260" w:type="dxa"/>
            <w:vAlign w:val="bottom"/>
            <w:tcBorders>
              <w:top w:val="single" w:sz="8" w:color="auto"/>
              <w:bottom w:val="single" w:sz="8" w:color="auto"/>
            </w:tcBorders>
          </w:tcPr>
          <w:p>
            <w:pPr>
              <w:jc w:val="right"/>
              <w:ind w:right="661"/>
              <w:spacing w:after="0" w:line="90" w:lineRule="exact"/>
              <w:rPr>
                <w:sz w:val="20"/>
                <w:szCs w:val="20"/>
                <w:color w:val="auto"/>
              </w:rPr>
            </w:pPr>
            <w:r>
              <w:rPr>
                <w:rFonts w:ascii="Arial" w:cs="Arial" w:eastAsia="Arial" w:hAnsi="Arial"/>
                <w:sz w:val="10"/>
                <w:szCs w:val="10"/>
                <w:b w:val="1"/>
                <w:bCs w:val="1"/>
                <w:color w:val="auto"/>
              </w:rPr>
              <w:t>2016</w:t>
            </w:r>
          </w:p>
        </w:tc>
      </w:tr>
      <w:tr>
        <w:trPr>
          <w:trHeight w:val="135"/>
        </w:trPr>
        <w:tc>
          <w:tcPr>
            <w:tcW w:w="28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Expected volatility (percent)</w:t>
            </w:r>
          </w:p>
        </w:tc>
        <w:tc>
          <w:tcPr>
            <w:tcW w:w="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50.21 - 50.89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w:t>
            </w:r>
          </w:p>
        </w:tc>
      </w:tr>
      <w:tr>
        <w:trPr>
          <w:trHeight w:val="146"/>
        </w:trPr>
        <w:tc>
          <w:tcPr>
            <w:tcW w:w="2820" w:type="dxa"/>
            <w:vAlign w:val="bottom"/>
          </w:tcPr>
          <w:p>
            <w:pPr>
              <w:spacing w:after="0"/>
              <w:rPr>
                <w:sz w:val="20"/>
                <w:szCs w:val="20"/>
                <w:color w:val="auto"/>
              </w:rPr>
            </w:pPr>
            <w:r>
              <w:rPr>
                <w:rFonts w:ascii="Arial" w:cs="Arial" w:eastAsia="Arial" w:hAnsi="Arial"/>
                <w:sz w:val="12"/>
                <w:szCs w:val="12"/>
                <w:color w:val="auto"/>
              </w:rPr>
              <w:t>Expected life (years)</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4.0 - 4.5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6"/>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dividends</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2820" w:type="dxa"/>
            <w:vAlign w:val="bottom"/>
          </w:tcPr>
          <w:p>
            <w:pPr>
              <w:spacing w:after="0"/>
              <w:rPr>
                <w:sz w:val="20"/>
                <w:szCs w:val="20"/>
                <w:color w:val="auto"/>
              </w:rPr>
            </w:pPr>
            <w:r>
              <w:rPr>
                <w:rFonts w:ascii="Arial" w:cs="Arial" w:eastAsia="Arial" w:hAnsi="Arial"/>
                <w:sz w:val="12"/>
                <w:szCs w:val="12"/>
                <w:color w:val="auto"/>
              </w:rPr>
              <w:t>Risk-free interest rate (percent)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1.64 - 1.72</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46"/>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Number of options granted</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179,047</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20,080</w:t>
            </w:r>
          </w:p>
        </w:tc>
      </w:tr>
      <w:tr>
        <w:trPr>
          <w:trHeight w:val="146"/>
        </w:trPr>
        <w:tc>
          <w:tcPr>
            <w:tcW w:w="2820" w:type="dxa"/>
            <w:vAlign w:val="bottom"/>
          </w:tcPr>
          <w:p>
            <w:pPr>
              <w:spacing w:after="0"/>
              <w:rPr>
                <w:sz w:val="20"/>
                <w:szCs w:val="20"/>
                <w:color w:val="auto"/>
              </w:rPr>
            </w:pPr>
            <w:r>
              <w:rPr>
                <w:rFonts w:ascii="Arial" w:cs="Arial" w:eastAsia="Arial" w:hAnsi="Arial"/>
                <w:sz w:val="12"/>
                <w:szCs w:val="12"/>
                <w:color w:val="auto"/>
              </w:rPr>
              <w:t>Weighted average exercise price</w:t>
            </w:r>
          </w:p>
        </w:tc>
        <w:tc>
          <w:tcPr>
            <w:tcW w:w="1900" w:type="dxa"/>
            <w:vAlign w:val="bottom"/>
            <w:gridSpan w:val="2"/>
          </w:tcPr>
          <w:p>
            <w:pPr>
              <w:jc w:val="right"/>
              <w:ind w:right="851"/>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5.66</w:t>
            </w: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4.98</w:t>
            </w:r>
          </w:p>
        </w:tc>
      </w:tr>
      <w:tr>
        <w:trPr>
          <w:trHeight w:val="146"/>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grant date fair value</w:t>
            </w:r>
          </w:p>
        </w:tc>
        <w:tc>
          <w:tcPr>
            <w:tcW w:w="1900" w:type="dxa"/>
            <w:vAlign w:val="bottom"/>
            <w:gridSpan w:val="2"/>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Stock based compensation related to all stock options for the six months ended December 31, 2017 and 2016 was $276 thousand and $95 thousand,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8" w:name="page19"/>
    <w:bookmarkEnd w:id="1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July 1, 2017, $90 thousand of stock grants were awarded to each non-employee Director based on the closing price of the Company’s Common Stock on June 8, 2017 (the date for which the stock grants were initially approved), for a total of 98,184 shares. The shares vest ratably on a monthly basis over the two year period following July 1, 2017. The total expense recognized for these grants for the six months ending December 31, 2017 was $315 thousand.</w:t>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During the six months ended December 31, 2017, the Company awarded an aggregate of 177,363 shares to its Chief Executive Officer, Chief Financial Officer and Chief Services Officer under its fiscal year 2017 long term stock incentive plan and an aggregate of 6,007 shares to two non-employee Directors in satisfaction of board fees.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 TERM INCENTIVE PLANS</w:t>
      </w:r>
    </w:p>
    <w:p>
      <w:pPr>
        <w:spacing w:after="0" w:line="6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the adjusted EBITDA earned during the 2017 fiscal year (60% 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 $840,000 (160% of base salary), Chief Financial Officer - $300,000 (100% of base salary), Chief Services Officer - $275,000 (100% of base salary), and Chief Product Officer - $280,000 (100% of base salary and subject to pro ration). If all of the maximum distinguished year over year percentage target goals are achieved, the executive officers would be awarded shares having the following value: Chief Executive Officer - $1,260,000 (240% of base salary), Chief Financial Officer - $450,000 (150% of base salary), Chief Services Officer - $412,500 (150% of base salary), and Chief Product Officer - $420,000 (150% of base salary and subject to pro ration).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2018 LTI Stock Plan would vest as follows: one-third at the time of issuance; one-third on June 30, 2019; and one-third on June 30, 2020.</w:t>
      </w:r>
    </w:p>
    <w:p>
      <w:pPr>
        <w:spacing w:after="0" w:line="38"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Company had long-term stock incentive plans (“LTI”) in prior fiscal years for its then executive officers. Stock based compensation related to the LTI plans was as follows in the three and six months ended December 31, 2017 and 2016: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Six months ended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2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 except per share data)</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December 31,</w:t>
            </w: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62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64"/>
              <w:spacing w:after="0" w:line="90"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61"/>
              <w:spacing w:after="0" w:line="90" w:lineRule="exact"/>
              <w:rPr>
                <w:sz w:val="20"/>
                <w:szCs w:val="20"/>
                <w:color w:val="auto"/>
              </w:rPr>
            </w:pPr>
            <w:r>
              <w:rPr>
                <w:rFonts w:ascii="Arial" w:cs="Arial" w:eastAsia="Arial" w:hAnsi="Arial"/>
                <w:sz w:val="10"/>
                <w:szCs w:val="10"/>
                <w:b w:val="1"/>
                <w:bCs w:val="1"/>
                <w:color w:val="auto"/>
                <w:w w:val="89"/>
              </w:rPr>
              <w:t>2016</w:t>
            </w:r>
          </w:p>
        </w:tc>
        <w:tc>
          <w:tcPr>
            <w:tcW w:w="1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4"/>
              <w:spacing w:after="0" w:line="90"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341"/>
              <w:spacing w:after="0" w:line="90"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FY18 LTI Plan</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273</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20"/>
                <w:szCs w:val="20"/>
                <w:color w:val="auto"/>
              </w:rPr>
            </w:pPr>
            <w:r>
              <w:rPr>
                <w:rFonts w:ascii="Arial" w:cs="Arial" w:eastAsia="Arial" w:hAnsi="Arial"/>
                <w:sz w:val="12"/>
                <w:szCs w:val="12"/>
                <w:color w:val="auto"/>
              </w:rPr>
              <w:t>FY17 LTI Plan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FY16 LTI Plan</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6"/>
        </w:trPr>
        <w:tc>
          <w:tcPr>
            <w:tcW w:w="2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FY15 LTI Plan</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346</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111</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636</w:t>
            </w: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During the current fiscal year, the Company expanded the leased space for its headquarters in Malvern, Pennsylvania to a total of 23,138 square feet. The company’s monthly base rent now is approximately $47 thousand with a lease expiration date of November 30, 2023.</w:t>
      </w:r>
    </w:p>
    <w:p>
      <w:pPr>
        <w:spacing w:after="0" w:line="113" w:lineRule="exact"/>
        <w:rPr>
          <w:sz w:val="20"/>
          <w:szCs w:val="20"/>
          <w:color w:val="auto"/>
        </w:rPr>
      </w:pPr>
    </w:p>
    <w:p>
      <w:pPr>
        <w:ind w:right="20"/>
        <w:spacing w:after="0" w:line="329" w:lineRule="auto"/>
        <w:rPr>
          <w:sz w:val="20"/>
          <w:szCs w:val="20"/>
          <w:color w:val="auto"/>
        </w:rPr>
      </w:pPr>
      <w:r>
        <w:rPr>
          <w:rFonts w:ascii="Arial" w:cs="Arial" w:eastAsia="Arial" w:hAnsi="Arial"/>
          <w:sz w:val="11"/>
          <w:szCs w:val="11"/>
          <w:color w:val="auto"/>
        </w:rPr>
        <w:t>Through the Cantaloupe acquisition, the Company absorbed a noncancelable operating lease pertaining to Cantaloupe’s headquarters based in San Francisco, California. The leased premise consists of approximately 8,400 square feet and calls for rental payments of approximately $46 thousand due each month through its January 31, 2020 expiration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9" w:name="page20"/>
    <w:bookmarkEnd w:id="1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From time to time, the Company is involved in various legal proceedings arising during the normal course of business. In the opinion of the Company’s management, these proceedings will not have a material adverse effect on the Company’s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SUBSEQUENT EVENTS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The Company has evaluated subsequent events that occurred through the date of the filing of this Form 10-Q. No significant events occurred subsequent to the balance sheet date and prior to the filing date of this Form 10-Q that would have a material impact on the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8" w:lineRule="exact"/>
        <w:rPr>
          <w:sz w:val="20"/>
          <w:szCs w:val="20"/>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general economic, market or business conditions unrelated to our operating performance;</w:t>
      </w:r>
    </w:p>
    <w:p>
      <w:pPr>
        <w:spacing w:after="0" w:line="15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the Company to raise funds in the future through sales of securities or debt financing in order to sustain its operations if an unexpected or unusual event would occur;</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the Company to compete with its competitors to obtain market share;</w:t>
      </w:r>
    </w:p>
    <w:p>
      <w:pPr>
        <w:spacing w:after="0" w:line="15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the Company’s current or future customers purchase, lease, rent or utilize ePort devices or our other products in the future at levels currently anticipated by our Company;</w:t>
      </w:r>
    </w:p>
    <w:p>
      <w:pPr>
        <w:spacing w:after="0" w:line="11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whether the Company’s customers continue to utilize the Company’s transaction processing and related services, as our customer agreements are generally cancelable by the customer on thirty to sixty days’ notice;</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the Company to satisfy its trade obligations included in accounts payable and accrued expenses;</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the Company to sell to third party lenders all or a portion of our finance receivables;</w:t>
      </w:r>
    </w:p>
    <w:p>
      <w:pPr>
        <w:spacing w:after="0" w:line="15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a sufficient number of our customers to utilize third party financing companies under our QuickStart program in order to improve our net cash used by operating activities;</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incurrence by us of any unanticipated or unusual non-operating expenses which would require us to divert our cash resources from achieving our business plan;</w:t>
      </w:r>
    </w:p>
    <w:p>
      <w:pPr>
        <w:spacing w:after="0" w:line="165" w:lineRule="exact"/>
        <w:rPr>
          <w:rFonts w:ascii="Arial" w:cs="Arial" w:eastAsia="Arial" w:hAnsi="Arial"/>
          <w:sz w:val="11"/>
          <w:szCs w:val="11"/>
          <w:color w:val="auto"/>
        </w:rPr>
      </w:pPr>
    </w:p>
    <w:p>
      <w:pPr>
        <w:ind w:left="440" w:hanging="226"/>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ability of the Company to predict or estimate its future quarterly or annual revenues and expenses given the developing and unpredictable market for its products;</w:t>
      </w:r>
    </w:p>
    <w:p>
      <w:pPr>
        <w:spacing w:after="0" w:line="165" w:lineRule="exact"/>
        <w:rPr>
          <w:rFonts w:ascii="Arial" w:cs="Arial" w:eastAsia="Arial" w:hAnsi="Arial"/>
          <w:sz w:val="11"/>
          <w:szCs w:val="11"/>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the Company to retain key customers from whom a significant portion of its revenues are derived;</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ability of a key customer to reduce or delay purchasing products from the Company;</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ability of the Company to obtain widespread commercial acceptance of its products and service offerings such as ePort QuickConnect, mobile payment and loyalty programs;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0" w:name="page21"/>
    <w:bookmarkEnd w:id="2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ind w:left="440" w:right="20" w:hanging="226"/>
        <w:spacing w:after="0" w:line="282"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whether any patents issued to the Company will provide the Company with any competitive advantages or adequate protection for its products, or would be challenged, invalidated or circumvented by others;</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ability of the Company to operate without infringing the intellectual property rights of others;</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ability of our products and services to avoid unauthorized hacking or credit card fraud;</w:t>
      </w:r>
    </w:p>
    <w:p>
      <w:pPr>
        <w:spacing w:after="0" w:line="15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whether we experience material weaknesses in our internal controls over financial reporting in the future, and are not able to accurately or timely report our financial condition or results of operations;</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whether our suppliers would increase their prices, reduce their output or change their terms of sale; and</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obtain additional financing in the future for working capital, capital expenditures, acquisitions, general corporate purposes or other purposes may be impaired.</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11"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OF THE COMPANY</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USA Technologies, Inc.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recent acquisition of Cantaloupe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combination also marries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generates revenue in multiple ways. During the three and six months ended December 31, 2017, we derived 70.3% and 73.6% of our revenues from recurring license and transaction fees related to our ePort Connect service or Seed Cloud solution and 29.7% and 26.4% of our revenue from equipment sales, respectively. Connections to our service stem from the sale or lease of our POS electronic payment devices or certified payment software or the servicing of similar third-party installed POS terminals. Connections to the ePort Connect service or Seed Cloud solution are the most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1" w:name="page22"/>
    <w:bookmarkEnd w:id="2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significant driver of the Company’s revenues, particularly the recurring revenues from license and transaction fees. Customers can obtain POS electronic payment devices from us in the following ways:</w:t>
      </w:r>
    </w:p>
    <w:p>
      <w:pPr>
        <w:spacing w:after="0" w:line="113" w:lineRule="exact"/>
        <w:rPr>
          <w:sz w:val="20"/>
          <w:szCs w:val="20"/>
          <w:color w:val="auto"/>
        </w:rPr>
      </w:pPr>
    </w:p>
    <w:p>
      <w:pPr>
        <w:ind w:left="440" w:hanging="226"/>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Purchasing devices directly from the Company or one of its authorized resellers;</w:t>
      </w:r>
    </w:p>
    <w:p>
      <w:pPr>
        <w:spacing w:after="0" w:line="153" w:lineRule="exact"/>
        <w:rPr>
          <w:rFonts w:ascii="Arial" w:cs="Arial" w:eastAsia="Arial" w:hAnsi="Arial"/>
          <w:sz w:val="12"/>
          <w:szCs w:val="12"/>
          <w:color w:val="auto"/>
        </w:rPr>
      </w:pPr>
    </w:p>
    <w:p>
      <w:pPr>
        <w:ind w:left="440" w:right="240" w:hanging="226"/>
        <w:spacing w:after="0" w:line="282"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Financing devices under the Company’s QuickStart Program, which are non-cancellable sixty month sales-type leases, through an unrelated equipment financing company, if available, or directly from the Company; and</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Renting devices under the Company’s JumpStart Program or Cantaloupe’s rental program, which are cancellable month-to-month operating leases.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2017, highlights of the Company include:</w:t>
      </w:r>
    </w:p>
    <w:p>
      <w:pPr>
        <w:spacing w:after="0" w:line="154" w:lineRule="exact"/>
        <w:rPr>
          <w:sz w:val="20"/>
          <w:szCs w:val="20"/>
          <w:color w:val="auto"/>
        </w:rPr>
      </w:pPr>
    </w:p>
    <w:p>
      <w:pPr>
        <w:ind w:left="440" w:hanging="226"/>
        <w:spacing w:after="0"/>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Over 150 employees, primarily located in our corporate headquarters in Malvern, Pennsylvania and a newly acquired Cantaloupe office location in San Francisco, California.</w:t>
      </w:r>
    </w:p>
    <w:p>
      <w:pPr>
        <w:spacing w:after="0" w:line="165" w:lineRule="exact"/>
        <w:rPr>
          <w:rFonts w:ascii="Arial" w:cs="Arial" w:eastAsia="Arial" w:hAnsi="Arial"/>
          <w:sz w:val="11"/>
          <w:szCs w:val="11"/>
          <w:color w:val="auto"/>
        </w:rPr>
      </w:pPr>
    </w:p>
    <w:p>
      <w:pPr>
        <w:ind w:left="440" w:hanging="226"/>
        <w:spacing w:after="0"/>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Over 15,000 customers and 900,000 connections to our services, including approximately 1,400 customers and 270,000 connections related to the acquisition of Cantaloupe;</w:t>
      </w:r>
    </w:p>
    <w:p>
      <w:pPr>
        <w:spacing w:after="0" w:line="165" w:lineRule="exact"/>
        <w:rPr>
          <w:rFonts w:ascii="Arial" w:cs="Arial" w:eastAsia="Arial" w:hAnsi="Arial"/>
          <w:sz w:val="11"/>
          <w:szCs w:val="11"/>
          <w:color w:val="auto"/>
        </w:rPr>
      </w:pPr>
    </w:p>
    <w:p>
      <w:pPr>
        <w:ind w:left="440" w:hanging="226"/>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Three direct sales teams at the national, regional, and local customer-level and a growing number of OEMs and national distribution partners;</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85 United States and foreign patents are in force;</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fiscal year ends June 30</w:t>
      </w:r>
      <w:r>
        <w:rPr>
          <w:rFonts w:ascii="Arial" w:cs="Arial" w:eastAsia="Arial" w:hAnsi="Arial"/>
          <w:sz w:val="6"/>
          <w:szCs w:val="6"/>
          <w:color w:val="auto"/>
        </w:rPr>
        <w:t>th</w:t>
      </w:r>
      <w:r>
        <w:rPr>
          <w:rFonts w:ascii="Arial" w:cs="Arial" w:eastAsia="Arial" w:hAnsi="Arial"/>
          <w:sz w:val="12"/>
          <w:szCs w:val="12"/>
          <w:color w:val="auto"/>
        </w:rPr>
        <w:t>; and</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 has traded on the NASDAQ under the symbol “USAT” since 2007.</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Company has net deferred tax assets of approximately $14.8 million predominantly resulting from a series of operating loss carry forwards that may be available to offset future taxable income.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8"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11" w:lineRule="exact"/>
        <w:rPr>
          <w:sz w:val="20"/>
          <w:szCs w:val="20"/>
          <w:color w:val="auto"/>
        </w:rPr>
      </w:pPr>
    </w:p>
    <w:p>
      <w:pPr>
        <w:jc w:val="both"/>
        <w:spacing w:after="0" w:line="329" w:lineRule="auto"/>
        <w:rPr>
          <w:sz w:val="20"/>
          <w:szCs w:val="20"/>
          <w:color w:val="auto"/>
        </w:rPr>
      </w:pPr>
      <w:r>
        <w:rPr>
          <w:rFonts w:ascii="Arial" w:cs="Arial" w:eastAsia="Arial" w:hAnsi="Arial"/>
          <w:sz w:val="11"/>
          <w:szCs w:val="11"/>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QuickStart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2" w:name="page23"/>
    <w:bookmarkEnd w:id="2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contracts qualify for sales type lease accounting. Accordingly, the Company recognizes a portion of lease payments as interest income. At the end of the lease period, the customer would have the option to purchase the device at its residual value.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 Lived Assets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 and Intangible Assets</w:t>
      </w:r>
    </w:p>
    <w:p>
      <w:pPr>
        <w:spacing w:after="0" w:line="158"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w:t>
      </w:r>
    </w:p>
    <w:p>
      <w:pPr>
        <w:spacing w:after="0" w:line="123"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Company intangible assets include non-compete agreements, brand, developed technology, and customer relationships. They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Allowance for Doubtful Accounts</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Allowance</w:t>
      </w:r>
    </w:p>
    <w:p>
      <w:pPr>
        <w:spacing w:after="0" w:line="158"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4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six months ended December 31, 2017 and 2016.</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See Note 2 to the interim Consolidated Financial Statements for a description of recent accounting pronouncements.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3" w:name="page24"/>
    <w:bookmarkEnd w:id="2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TRENDING QUARTERLY FINANCIAL DATA</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following tables show certain financial and non-financial data that management believes give readers insight into certain trends and relationships about the Company’s financial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 Quarter Select Key Performance Indicators including Connections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0"/>
                <w:szCs w:val="10"/>
                <w:b w:val="1"/>
                <w:bCs w:val="1"/>
                <w:color w:val="auto"/>
              </w:rPr>
              <w:t>As of and for the three months ended</w:t>
            </w: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jc w:val="right"/>
              <w:ind w:right="222"/>
              <w:spacing w:after="0" w:line="75" w:lineRule="exact"/>
              <w:rPr>
                <w:sz w:val="20"/>
                <w:szCs w:val="20"/>
                <w:color w:val="auto"/>
              </w:rPr>
            </w:pPr>
            <w:r>
              <w:rPr>
                <w:rFonts w:ascii="Arial" w:cs="Arial" w:eastAsia="Arial" w:hAnsi="Arial"/>
                <w:sz w:val="7"/>
                <w:szCs w:val="7"/>
                <w:b w:val="1"/>
                <w:bCs w:val="1"/>
                <w:color w:val="auto"/>
              </w:rPr>
              <w:t>December 31,</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jc w:val="right"/>
              <w:ind w:right="203"/>
              <w:spacing w:after="0" w:line="75" w:lineRule="exact"/>
              <w:rPr>
                <w:sz w:val="20"/>
                <w:szCs w:val="20"/>
                <w:color w:val="auto"/>
              </w:rPr>
            </w:pPr>
            <w:r>
              <w:rPr>
                <w:rFonts w:ascii="Arial" w:cs="Arial" w:eastAsia="Arial" w:hAnsi="Arial"/>
                <w:sz w:val="7"/>
                <w:szCs w:val="7"/>
                <w:b w:val="1"/>
                <w:bCs w:val="1"/>
                <w:color w:val="auto"/>
              </w:rPr>
              <w:t>September 30,</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jc w:val="right"/>
              <w:ind w:right="342"/>
              <w:spacing w:after="0" w:line="75" w:lineRule="exact"/>
              <w:rPr>
                <w:sz w:val="20"/>
                <w:szCs w:val="20"/>
                <w:color w:val="auto"/>
              </w:rPr>
            </w:pPr>
            <w:r>
              <w:rPr>
                <w:rFonts w:ascii="Arial" w:cs="Arial" w:eastAsia="Arial" w:hAnsi="Arial"/>
                <w:sz w:val="7"/>
                <w:szCs w:val="7"/>
                <w:b w:val="1"/>
                <w:bCs w:val="1"/>
                <w:color w:val="auto"/>
              </w:rPr>
              <w:t>June 30,</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jc w:val="right"/>
              <w:ind w:right="282"/>
              <w:spacing w:after="0" w:line="75" w:lineRule="exact"/>
              <w:rPr>
                <w:sz w:val="20"/>
                <w:szCs w:val="20"/>
                <w:color w:val="auto"/>
              </w:rPr>
            </w:pPr>
            <w:r>
              <w:rPr>
                <w:rFonts w:ascii="Arial" w:cs="Arial" w:eastAsia="Arial" w:hAnsi="Arial"/>
                <w:sz w:val="7"/>
                <w:szCs w:val="7"/>
                <w:b w:val="1"/>
                <w:bCs w:val="1"/>
                <w:color w:val="auto"/>
              </w:rPr>
              <w:t>March 31,</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jc w:val="right"/>
              <w:ind w:right="202"/>
              <w:spacing w:after="0" w:line="75" w:lineRule="exact"/>
              <w:rPr>
                <w:sz w:val="20"/>
                <w:szCs w:val="20"/>
                <w:color w:val="auto"/>
              </w:rPr>
            </w:pPr>
            <w:r>
              <w:rPr>
                <w:rFonts w:ascii="Arial" w:cs="Arial" w:eastAsia="Arial" w:hAnsi="Arial"/>
                <w:sz w:val="7"/>
                <w:szCs w:val="7"/>
                <w:b w:val="1"/>
                <w:bCs w:val="1"/>
                <w:color w:val="auto"/>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Connections:</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Gross new connections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317,000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 from existing customer base</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 xml:space="preserve">Net new connections </w:t>
            </w:r>
            <w:r>
              <w:rPr>
                <w:rFonts w:ascii="Arial" w:cs="Arial" w:eastAsia="Arial" w:hAnsi="Arial"/>
                <w:sz w:val="6"/>
                <w:szCs w:val="6"/>
                <w:color w:val="auto"/>
              </w:rPr>
              <w:t>(a)</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311,000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64,000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Total connections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469,000</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Customers: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 xml:space="preserve">New customers added </w:t>
            </w:r>
            <w:r>
              <w:rPr>
                <w:rFonts w:ascii="Arial" w:cs="Arial" w:eastAsia="Arial" w:hAnsi="Arial"/>
                <w:sz w:val="6"/>
                <w:szCs w:val="6"/>
                <w:color w:val="auto"/>
              </w:rPr>
              <w:t>(a)</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Total customers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11,900</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Volumes: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Total number of transactions (millions)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Total volume (millions)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191.5</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structure of connections: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JumpStart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QuickStart &amp; all others </w:t>
            </w:r>
            <w:r>
              <w:rPr>
                <w:rFonts w:ascii="Arial" w:cs="Arial" w:eastAsia="Arial" w:hAnsi="Arial"/>
                <w:sz w:val="6"/>
                <w:szCs w:val="6"/>
                <w:color w:val="auto"/>
              </w:rPr>
              <w:t>(b)</w:t>
            </w:r>
          </w:p>
        </w:tc>
        <w:tc>
          <w:tcPr>
            <w:tcW w:w="6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35"/>
        </w:trPr>
        <w:tc>
          <w:tcPr>
            <w:tcW w:w="2540" w:type="dxa"/>
            <w:vAlign w:val="bottom"/>
            <w:gridSpan w:val="2"/>
          </w:tcPr>
          <w:p>
            <w:pPr>
              <w:spacing w:after="0" w:line="135" w:lineRule="exact"/>
              <w:rPr>
                <w:sz w:val="20"/>
                <w:szCs w:val="20"/>
                <w:color w:val="auto"/>
              </w:rPr>
            </w:pPr>
            <w:r>
              <w:rPr>
                <w:rFonts w:ascii="Arial" w:cs="Arial" w:eastAsia="Arial" w:hAnsi="Arial"/>
                <w:sz w:val="12"/>
                <w:szCs w:val="12"/>
                <w:color w:val="auto"/>
              </w:rPr>
              <w:t>Total</w:t>
            </w: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0" w:hanging="226"/>
        <w:spacing w:after="0"/>
        <w:tabs>
          <w:tab w:leader="none" w:pos="440" w:val="left"/>
        </w:tabs>
        <w:numPr>
          <w:ilvl w:val="0"/>
          <w:numId w:val="11"/>
        </w:numPr>
        <w:rPr>
          <w:rFonts w:ascii="Arial" w:cs="Arial" w:eastAsia="Arial" w:hAnsi="Arial"/>
          <w:sz w:val="9"/>
          <w:szCs w:val="9"/>
          <w:color w:val="auto"/>
        </w:rPr>
      </w:pPr>
      <w:r>
        <w:rPr>
          <w:rFonts w:ascii="Arial" w:cs="Arial" w:eastAsia="Arial" w:hAnsi="Arial"/>
          <w:sz w:val="9"/>
          <w:szCs w:val="9"/>
          <w:color w:val="auto"/>
        </w:rPr>
        <w:t>Activity for the three months ended December 31, 2017 includes net new connections and new customers related to the acquisition of Cantaloupe of approximately 270,000 and 1,400, respectively.</w:t>
      </w:r>
    </w:p>
    <w:p>
      <w:pPr>
        <w:spacing w:after="0" w:line="4" w:lineRule="exact"/>
        <w:rPr>
          <w:rFonts w:ascii="Arial" w:cs="Arial" w:eastAsia="Arial" w:hAnsi="Arial"/>
          <w:sz w:val="9"/>
          <w:szCs w:val="9"/>
          <w:color w:val="auto"/>
        </w:rPr>
      </w:pPr>
    </w:p>
    <w:p>
      <w:pPr>
        <w:ind w:left="440" w:hanging="226"/>
        <w:spacing w:after="0"/>
        <w:tabs>
          <w:tab w:leader="none" w:pos="440"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credit sales with standard trade receivable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578548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548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Highlights of USAT’s connections for the quarter ended December 31, 2017 include:</w:t>
      </w:r>
    </w:p>
    <w:p>
      <w:pPr>
        <w:spacing w:after="0" w:line="154" w:lineRule="exact"/>
        <w:rPr>
          <w:sz w:val="20"/>
          <w:szCs w:val="20"/>
          <w:color w:val="auto"/>
        </w:rPr>
      </w:pPr>
    </w:p>
    <w:p>
      <w:pPr>
        <w:ind w:left="440" w:hanging="226"/>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270,000 net new connections related to the acquisition of Cantaloupe;</w:t>
      </w:r>
    </w:p>
    <w:p>
      <w:pPr>
        <w:spacing w:after="0" w:line="16" w:lineRule="exact"/>
        <w:rPr>
          <w:rFonts w:ascii="Arial" w:cs="Arial" w:eastAsia="Arial" w:hAnsi="Arial"/>
          <w:sz w:val="12"/>
          <w:szCs w:val="12"/>
          <w:color w:val="auto"/>
        </w:rPr>
      </w:pPr>
    </w:p>
    <w:p>
      <w:pPr>
        <w:ind w:left="440" w:hanging="226"/>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41,000 additional net new connections during the quarter; and</w:t>
      </w:r>
    </w:p>
    <w:p>
      <w:pPr>
        <w:spacing w:after="0" w:line="7" w:lineRule="exact"/>
        <w:rPr>
          <w:rFonts w:ascii="Arial" w:cs="Arial" w:eastAsia="Arial" w:hAnsi="Arial"/>
          <w:sz w:val="12"/>
          <w:szCs w:val="12"/>
          <w:color w:val="auto"/>
        </w:rPr>
      </w:pPr>
    </w:p>
    <w:p>
      <w:pPr>
        <w:ind w:left="440" w:right="40" w:hanging="226"/>
        <w:spacing w:after="0" w:line="267"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905,000 total connections to our service compared to the same quarter last year of approximately 469,000 total connections to our service, an increase of 436,000 connections, or 93%.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4" w:name="page25"/>
    <w:bookmarkEnd w:id="2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December 31, 2017 Compared to Three Months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and Gross Profit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0"/>
                <w:szCs w:val="10"/>
                <w:b w:val="1"/>
                <w:bCs w:val="1"/>
                <w:color w:val="auto"/>
              </w:rPr>
              <w:t>For the three months ended December 31,</w:t>
            </w:r>
          </w:p>
        </w:tc>
        <w:tc>
          <w:tcPr>
            <w:tcW w:w="5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81"/>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89"/>
        </w:trPr>
        <w:tc>
          <w:tcPr>
            <w:tcW w:w="342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rPr>
              <w:t>($ in thousands)</w:t>
            </w:r>
          </w:p>
        </w:tc>
        <w:tc>
          <w:tcPr>
            <w:tcW w:w="200" w:type="dxa"/>
            <w:vAlign w:val="bottom"/>
          </w:tcPr>
          <w:p>
            <w:pPr>
              <w:spacing w:after="0"/>
              <w:rPr>
                <w:sz w:val="7"/>
                <w:szCs w:val="7"/>
                <w:color w:val="auto"/>
              </w:rPr>
            </w:pPr>
          </w:p>
        </w:tc>
        <w:tc>
          <w:tcPr>
            <w:tcW w:w="1080" w:type="dxa"/>
            <w:vAlign w:val="bottom"/>
          </w:tcPr>
          <w:p>
            <w:pPr>
              <w:jc w:val="right"/>
              <w:ind w:right="131"/>
              <w:spacing w:after="0" w:line="90" w:lineRule="exact"/>
              <w:rPr>
                <w:sz w:val="20"/>
                <w:szCs w:val="20"/>
                <w:color w:val="auto"/>
              </w:rPr>
            </w:pPr>
            <w:r>
              <w:rPr>
                <w:rFonts w:ascii="Arial" w:cs="Arial" w:eastAsia="Arial" w:hAnsi="Arial"/>
                <w:sz w:val="10"/>
                <w:szCs w:val="10"/>
                <w:b w:val="1"/>
                <w:bCs w:val="1"/>
                <w:color w:val="auto"/>
              </w:rPr>
              <w:t>2017</w:t>
            </w:r>
          </w:p>
        </w:tc>
        <w:tc>
          <w:tcPr>
            <w:tcW w:w="540" w:type="dxa"/>
            <w:vAlign w:val="bottom"/>
          </w:tcPr>
          <w:p>
            <w:pPr>
              <w:spacing w:after="0"/>
              <w:rPr>
                <w:sz w:val="7"/>
                <w:szCs w:val="7"/>
                <w:color w:val="auto"/>
              </w:rPr>
            </w:pPr>
          </w:p>
        </w:tc>
        <w:tc>
          <w:tcPr>
            <w:tcW w:w="1260" w:type="dxa"/>
            <w:vAlign w:val="bottom"/>
            <w:gridSpan w:val="2"/>
          </w:tcPr>
          <w:p>
            <w:pPr>
              <w:jc w:val="right"/>
              <w:ind w:right="109"/>
              <w:spacing w:after="0" w:line="90" w:lineRule="exact"/>
              <w:rPr>
                <w:sz w:val="20"/>
                <w:szCs w:val="20"/>
                <w:color w:val="auto"/>
              </w:rPr>
            </w:pPr>
            <w:r>
              <w:rPr>
                <w:rFonts w:ascii="Arial" w:cs="Arial" w:eastAsia="Arial" w:hAnsi="Arial"/>
                <w:sz w:val="10"/>
                <w:szCs w:val="10"/>
                <w:b w:val="1"/>
                <w:bCs w:val="1"/>
                <w:color w:val="auto"/>
              </w:rPr>
              <w:t>2016</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jc w:val="right"/>
              <w:ind w:right="281"/>
              <w:spacing w:after="0" w:line="90" w:lineRule="exact"/>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Revenues:</w:t>
            </w:r>
          </w:p>
        </w:tc>
        <w:tc>
          <w:tcPr>
            <w:tcW w:w="2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ind w:left="40"/>
              <w:spacing w:after="0"/>
              <w:rPr>
                <w:sz w:val="20"/>
                <w:szCs w:val="20"/>
                <w:color w:val="auto"/>
              </w:rPr>
            </w:pPr>
            <w:r>
              <w:rPr>
                <w:rFonts w:ascii="Arial" w:cs="Arial" w:eastAsia="Arial" w:hAnsi="Arial"/>
                <w:sz w:val="12"/>
                <w:szCs w:val="12"/>
                <w:color w:val="auto"/>
              </w:rPr>
              <w:t>License and transaction fees</w:t>
            </w:r>
          </w:p>
        </w:tc>
        <w:tc>
          <w:tcPr>
            <w:tcW w:w="1280" w:type="dxa"/>
            <w:vAlign w:val="bottom"/>
            <w:gridSpan w:val="2"/>
          </w:tcPr>
          <w:p>
            <w:pPr>
              <w:jc w:val="right"/>
              <w:ind w:right="971"/>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22,853</w:t>
            </w:r>
          </w:p>
        </w:tc>
        <w:tc>
          <w:tcPr>
            <w:tcW w:w="1260" w:type="dxa"/>
            <w:vAlign w:val="bottom"/>
            <w:gridSpan w:val="2"/>
          </w:tcPr>
          <w:p>
            <w:pPr>
              <w:jc w:val="right"/>
              <w:ind w:right="949"/>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16,639</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Equipment sales</w:t>
            </w:r>
          </w:p>
        </w:tc>
        <w:tc>
          <w:tcPr>
            <w:tcW w:w="2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9,653</w:t>
            </w:r>
          </w:p>
        </w:tc>
        <w:tc>
          <w:tcPr>
            <w:tcW w:w="2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5,117</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ind w:left="120"/>
              <w:spacing w:after="0" w:line="135" w:lineRule="exact"/>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32,506</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21,756</w:t>
            </w: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Costs of sales: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Cost of services</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11,389</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Cost of equipment</w:t>
            </w:r>
          </w:p>
        </w:tc>
        <w:tc>
          <w:tcPr>
            <w:tcW w:w="2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8,943</w:t>
            </w:r>
          </w:p>
        </w:tc>
        <w:tc>
          <w:tcPr>
            <w:tcW w:w="2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4,033</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Total costs of sales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23,305</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15,422</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ind w:left="40"/>
              <w:spacing w:after="0"/>
              <w:rPr>
                <w:sz w:val="20"/>
                <w:szCs w:val="20"/>
                <w:color w:val="auto"/>
              </w:rPr>
            </w:pPr>
            <w:r>
              <w:rPr>
                <w:rFonts w:ascii="Arial" w:cs="Arial" w:eastAsia="Arial" w:hAnsi="Arial"/>
                <w:sz w:val="12"/>
                <w:szCs w:val="12"/>
                <w:color w:val="auto"/>
              </w:rPr>
              <w:t>License and transaction fees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8,491</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5,250</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Equipment sales</w:t>
            </w:r>
          </w:p>
        </w:tc>
        <w:tc>
          <w:tcPr>
            <w:tcW w:w="2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2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1,084</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ind w:left="120"/>
              <w:spacing w:after="0" w:line="135" w:lineRule="exact"/>
              <w:rPr>
                <w:sz w:val="20"/>
                <w:szCs w:val="20"/>
                <w:color w:val="auto"/>
              </w:rPr>
            </w:pPr>
            <w:r>
              <w:rPr>
                <w:rFonts w:ascii="Arial" w:cs="Arial" w:eastAsia="Arial" w:hAnsi="Arial"/>
                <w:sz w:val="12"/>
                <w:szCs w:val="12"/>
                <w:color w:val="auto"/>
              </w:rPr>
              <w:t>Total gross profit</w:t>
            </w:r>
          </w:p>
        </w:tc>
        <w:tc>
          <w:tcPr>
            <w:tcW w:w="200" w:type="dxa"/>
            <w:vAlign w:val="bottom"/>
          </w:tcPr>
          <w:p>
            <w:pPr>
              <w:spacing w:after="0"/>
              <w:rPr>
                <w:sz w:val="11"/>
                <w:szCs w:val="11"/>
                <w:color w:val="auto"/>
              </w:rPr>
            </w:pPr>
          </w:p>
        </w:tc>
        <w:tc>
          <w:tcPr>
            <w:tcW w:w="1080" w:type="dxa"/>
            <w:vAlign w:val="bottom"/>
            <w:tcBorders>
              <w:bottom w:val="single" w:sz="8" w:color="auto"/>
            </w:tcBorders>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9,201</w:t>
            </w:r>
          </w:p>
        </w:tc>
        <w:tc>
          <w:tcPr>
            <w:tcW w:w="200" w:type="dxa"/>
            <w:vAlign w:val="bottom"/>
          </w:tcPr>
          <w:p>
            <w:pPr>
              <w:spacing w:after="0"/>
              <w:rPr>
                <w:sz w:val="11"/>
                <w:szCs w:val="11"/>
                <w:color w:val="auto"/>
              </w:rPr>
            </w:pPr>
          </w:p>
        </w:tc>
        <w:tc>
          <w:tcPr>
            <w:tcW w:w="1060" w:type="dxa"/>
            <w:vAlign w:val="bottom"/>
            <w:tcBorders>
              <w:bottom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6,334</w:t>
            </w:r>
          </w:p>
        </w:tc>
        <w:tc>
          <w:tcPr>
            <w:tcW w:w="2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right="20"/>
        <w:spacing w:after="0" w:line="303" w:lineRule="auto"/>
        <w:rPr>
          <w:sz w:val="20"/>
          <w:szCs w:val="20"/>
          <w:color w:val="auto"/>
        </w:rPr>
      </w:pPr>
      <w:r>
        <w:rPr>
          <w:rFonts w:ascii="Arial" w:cs="Arial" w:eastAsia="Arial" w:hAnsi="Arial"/>
          <w:sz w:val="11"/>
          <w:szCs w:val="11"/>
          <w:i w:val="1"/>
          <w:iCs w:val="1"/>
          <w:color w:val="auto"/>
        </w:rPr>
        <w:t xml:space="preserve">Revenue. </w:t>
      </w:r>
      <w:r>
        <w:rPr>
          <w:rFonts w:ascii="Arial" w:cs="Arial" w:eastAsia="Arial" w:hAnsi="Arial"/>
          <w:sz w:val="11"/>
          <w:szCs w:val="11"/>
          <w:color w:val="auto"/>
        </w:rPr>
        <w:t>Total revenue increased $10.7 million for the three months ended December 31, 2017 compared to the same period in 2016. The growth in total revenue resulted from a $6.2</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increase in license and transaction fee revenue for the quarter ended December 31, 2017 compared to the same period in 2016, and a $4.5 million increase in equipment revenue for three months ended December 31, 2017 compared to the same period last year, both driven by an increase in connections and the Cantaloupe acquisition.</w:t>
      </w:r>
    </w:p>
    <w:p>
      <w:pPr>
        <w:spacing w:after="0" w:line="105"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i w:val="1"/>
          <w:iCs w:val="1"/>
          <w:color w:val="auto"/>
        </w:rPr>
        <w:t xml:space="preserve">Cost of sales. </w:t>
      </w:r>
      <w:r>
        <w:rPr>
          <w:rFonts w:ascii="Arial" w:cs="Arial" w:eastAsia="Arial" w:hAnsi="Arial"/>
          <w:sz w:val="12"/>
          <w:szCs w:val="12"/>
          <w:color w:val="auto"/>
        </w:rPr>
        <w:t>Cost of sales increased by $7.9 million for the three months ended December 31, 2017 compared to the same period last year. The increase was driven by a $3.0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cost of services and a $4.9 million increase in cost of equipment sales, both driven by an increase in connections and the Cantaloupe acquisition.</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1"/>
          <w:szCs w:val="11"/>
          <w:i w:val="1"/>
          <w:iCs w:val="1"/>
          <w:color w:val="auto"/>
        </w:rPr>
        <w:t>Gross margin</w:t>
      </w:r>
      <w:r>
        <w:rPr>
          <w:rFonts w:ascii="Arial" w:cs="Arial" w:eastAsia="Arial" w:hAnsi="Arial"/>
          <w:sz w:val="11"/>
          <w:szCs w:val="11"/>
          <w:color w:val="auto"/>
        </w:rPr>
        <w:t>. The overall gross margin decreased 0.8% from 29.1% for the three months ended December 31, 2016 to 28.3% for the three months ended December 31, 2017. The</w:t>
      </w:r>
      <w:r>
        <w:rPr>
          <w:rFonts w:ascii="Arial" w:cs="Arial" w:eastAsia="Arial" w:hAnsi="Arial"/>
          <w:sz w:val="11"/>
          <w:szCs w:val="11"/>
          <w:i w:val="1"/>
          <w:iCs w:val="1"/>
          <w:color w:val="auto"/>
        </w:rPr>
        <w:t xml:space="preserve"> </w:t>
      </w:r>
      <w:r>
        <w:rPr>
          <w:rFonts w:ascii="Arial" w:cs="Arial" w:eastAsia="Arial" w:hAnsi="Arial"/>
          <w:sz w:val="11"/>
          <w:szCs w:val="11"/>
          <w:color w:val="auto"/>
        </w:rPr>
        <w:t>decrease in the equipment margin, from 21.2% for the three months ended December 31, 2016 to 7.4% for the three months ended December 31, 2017, reflected our strategy of using equipment sales as an enabler for driving long-term, higher margin license and transaction fees. This decrease was partially offset by an increase in the license fee and transaction margin from 31.6% for the three months ended December 31, 2016 to 37.2% for the three months ended December 31, 2017, which was driven by the impact of the Cantaloupe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0"/>
                <w:szCs w:val="10"/>
                <w:b w:val="1"/>
                <w:bCs w:val="1"/>
                <w:color w:val="auto"/>
              </w:rPr>
              <w:t>For the three months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323"/>
              <w:spacing w:after="0"/>
              <w:rPr>
                <w:sz w:val="20"/>
                <w:szCs w:val="20"/>
                <w:color w:val="auto"/>
              </w:rPr>
            </w:pPr>
            <w:r>
              <w:rPr>
                <w:rFonts w:ascii="Arial" w:cs="Arial" w:eastAsia="Arial" w:hAnsi="Arial"/>
                <w:sz w:val="10"/>
                <w:szCs w:val="10"/>
                <w:b w:val="1"/>
                <w:bCs w:val="1"/>
                <w:color w:val="auto"/>
              </w:rPr>
              <w:t>Percent</w:t>
            </w:r>
          </w:p>
        </w:tc>
      </w:tr>
      <w:tr>
        <w:trPr>
          <w:trHeight w:val="135"/>
        </w:trPr>
        <w:tc>
          <w:tcPr>
            <w:tcW w:w="4200" w:type="dxa"/>
            <w:vAlign w:val="bottom"/>
          </w:tcPr>
          <w:p>
            <w:pPr>
              <w:spacing w:after="0"/>
              <w:rPr>
                <w:sz w:val="20"/>
                <w:szCs w:val="20"/>
                <w:color w:val="auto"/>
              </w:rPr>
            </w:pPr>
            <w:r>
              <w:rPr>
                <w:rFonts w:ascii="Arial" w:cs="Arial" w:eastAsia="Arial" w:hAnsi="Arial"/>
                <w:sz w:val="10"/>
                <w:szCs w:val="10"/>
                <w:b w:val="1"/>
                <w:bCs w:val="1"/>
                <w:color w:val="auto"/>
              </w:rPr>
              <w:t>Category ($ in thousands)</w:t>
            </w:r>
          </w:p>
        </w:tc>
        <w:tc>
          <w:tcPr>
            <w:tcW w:w="960" w:type="dxa"/>
            <w:vAlign w:val="bottom"/>
            <w:gridSpan w:val="2"/>
          </w:tcPr>
          <w:p>
            <w:pPr>
              <w:jc w:val="right"/>
              <w:ind w:right="50"/>
              <w:spacing w:after="0"/>
              <w:rPr>
                <w:sz w:val="20"/>
                <w:szCs w:val="20"/>
                <w:color w:val="auto"/>
              </w:rPr>
            </w:pPr>
            <w:r>
              <w:rPr>
                <w:rFonts w:ascii="Arial" w:cs="Arial" w:eastAsia="Arial" w:hAnsi="Arial"/>
                <w:sz w:val="10"/>
                <w:szCs w:val="10"/>
                <w:b w:val="1"/>
                <w:bCs w:val="1"/>
                <w:color w:val="auto"/>
              </w:rPr>
              <w:t>2017</w:t>
            </w:r>
          </w:p>
        </w:tc>
        <w:tc>
          <w:tcPr>
            <w:tcW w:w="440" w:type="dxa"/>
            <w:vAlign w:val="bottom"/>
          </w:tcPr>
          <w:p>
            <w:pPr>
              <w:spacing w:after="0"/>
              <w:rPr>
                <w:sz w:val="11"/>
                <w:szCs w:val="11"/>
                <w:color w:val="auto"/>
              </w:rPr>
            </w:pPr>
          </w:p>
        </w:tc>
        <w:tc>
          <w:tcPr>
            <w:tcW w:w="1020" w:type="dxa"/>
            <w:vAlign w:val="bottom"/>
            <w:gridSpan w:val="2"/>
          </w:tcPr>
          <w:p>
            <w:pPr>
              <w:jc w:val="right"/>
              <w:ind w:right="89"/>
              <w:spacing w:after="0"/>
              <w:rPr>
                <w:sz w:val="20"/>
                <w:szCs w:val="20"/>
                <w:color w:val="auto"/>
              </w:rPr>
            </w:pPr>
            <w:r>
              <w:rPr>
                <w:rFonts w:ascii="Arial" w:cs="Arial" w:eastAsia="Arial" w:hAnsi="Arial"/>
                <w:sz w:val="10"/>
                <w:szCs w:val="10"/>
                <w:b w:val="1"/>
                <w:bCs w:val="1"/>
                <w:color w:val="auto"/>
              </w:rPr>
              <w:t>2016</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323"/>
              <w:spacing w:after="0"/>
              <w:rPr>
                <w:sz w:val="20"/>
                <w:szCs w:val="20"/>
                <w:color w:val="auto"/>
              </w:rPr>
            </w:pPr>
            <w:r>
              <w:rPr>
                <w:rFonts w:ascii="Arial" w:cs="Arial" w:eastAsia="Arial" w:hAnsi="Arial"/>
                <w:sz w:val="10"/>
                <w:szCs w:val="10"/>
                <w:b w:val="1"/>
                <w:bCs w:val="1"/>
                <w:color w:val="auto"/>
              </w:rPr>
              <w:t>Change</w:t>
            </w:r>
          </w:p>
        </w:tc>
      </w:tr>
      <w:tr>
        <w:trPr>
          <w:trHeight w:val="135"/>
        </w:trPr>
        <w:tc>
          <w:tcPr>
            <w:tcW w:w="4200" w:type="dxa"/>
            <w:vAlign w:val="bottom"/>
            <w:tcBorders>
              <w:top w:val="single" w:sz="8" w:color="auto"/>
            </w:tcBorders>
            <w:shd w:val="clear" w:color="auto" w:fill="CCEEFF"/>
          </w:tcPr>
          <w:p>
            <w:pPr>
              <w:ind w:left="60"/>
              <w:spacing w:after="0" w:line="135" w:lineRule="exact"/>
              <w:rPr>
                <w:sz w:val="20"/>
                <w:szCs w:val="20"/>
                <w:color w:val="auto"/>
              </w:rPr>
            </w:pPr>
            <w:r>
              <w:rPr>
                <w:rFonts w:ascii="Arial" w:cs="Arial" w:eastAsia="Arial" w:hAnsi="Arial"/>
                <w:sz w:val="12"/>
                <w:szCs w:val="12"/>
                <w:color w:val="auto"/>
              </w:rPr>
              <w:t>Selling, general and administrative expenses</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8,329</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5,785</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44.0%</w:t>
            </w:r>
          </w:p>
        </w:tc>
      </w:tr>
      <w:tr>
        <w:trPr>
          <w:trHeight w:val="155"/>
        </w:trPr>
        <w:tc>
          <w:tcPr>
            <w:tcW w:w="4200" w:type="dxa"/>
            <w:vAlign w:val="bottom"/>
          </w:tcPr>
          <w:p>
            <w:pPr>
              <w:ind w:left="60"/>
              <w:spacing w:after="0"/>
              <w:rPr>
                <w:sz w:val="20"/>
                <w:szCs w:val="20"/>
                <w:color w:val="auto"/>
              </w:rPr>
            </w:pPr>
            <w:r>
              <w:rPr>
                <w:rFonts w:ascii="Arial" w:cs="Arial" w:eastAsia="Arial" w:hAnsi="Arial"/>
                <w:sz w:val="12"/>
                <w:szCs w:val="12"/>
                <w:color w:val="auto"/>
              </w:rPr>
              <w:t>Integration and acquisition costs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3,335</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41,587.5%</w:t>
            </w:r>
          </w:p>
        </w:tc>
      </w:tr>
      <w:tr>
        <w:trPr>
          <w:trHeight w:val="155"/>
        </w:trPr>
        <w:tc>
          <w:tcPr>
            <w:tcW w:w="4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Depreciation and amortization</w:t>
            </w:r>
          </w:p>
        </w:tc>
        <w:tc>
          <w:tcPr>
            <w:tcW w:w="1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14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12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140.1%</w:t>
            </w:r>
          </w:p>
        </w:tc>
      </w:tr>
      <w:tr>
        <w:trPr>
          <w:trHeight w:val="135"/>
        </w:trPr>
        <w:tc>
          <w:tcPr>
            <w:tcW w:w="4200" w:type="dxa"/>
            <w:vAlign w:val="bottom"/>
          </w:tcPr>
          <w:p>
            <w:pPr>
              <w:ind w:left="140"/>
              <w:spacing w:after="0" w:line="135" w:lineRule="exact"/>
              <w:rPr>
                <w:sz w:val="20"/>
                <w:szCs w:val="20"/>
                <w:color w:val="auto"/>
              </w:rPr>
            </w:pPr>
            <w:r>
              <w:rPr>
                <w:rFonts w:ascii="Arial" w:cs="Arial" w:eastAsia="Arial" w:hAnsi="Arial"/>
                <w:sz w:val="12"/>
                <w:szCs w:val="12"/>
                <w:color w:val="auto"/>
              </w:rPr>
              <w:t>Total operating expenses</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12,401</w:t>
            </w:r>
          </w:p>
        </w:tc>
        <w:tc>
          <w:tcPr>
            <w:tcW w:w="140" w:type="dxa"/>
            <w:vAlign w:val="bottom"/>
          </w:tcPr>
          <w:p>
            <w:pPr>
              <w:spacing w:after="0"/>
              <w:rPr>
                <w:sz w:val="11"/>
                <w:szCs w:val="11"/>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6,100</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103.3%</w:t>
            </w:r>
          </w:p>
        </w:tc>
      </w:tr>
    </w:tbl>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Selling</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and administrative expenses increased approximately $2.5 million for the three months ended December 31, 2017,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the same period in 2016. This change was primarily driven by an increase in selling, general and administrative costs incurred related to Cantaloupe as well as an increase in sales and marketing related consulting expenses as we continue to increase our market share in the cashless-transaction vending industry.</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i w:val="1"/>
          <w:iCs w:val="1"/>
          <w:color w:val="auto"/>
        </w:rPr>
        <w:t>Integration and acquisition costs</w:t>
      </w:r>
      <w:r>
        <w:rPr>
          <w:rFonts w:ascii="Arial" w:cs="Arial" w:eastAsia="Arial" w:hAnsi="Arial"/>
          <w:sz w:val="12"/>
          <w:szCs w:val="12"/>
          <w:color w:val="auto"/>
        </w:rPr>
        <w:t>. Integration and acquisition costs increased $3.3 million for the three months ended December 31, 2017 as compared to the same period in 2016, due to</w:t>
      </w:r>
      <w:r>
        <w:rPr>
          <w:rFonts w:ascii="Arial" w:cs="Arial" w:eastAsia="Arial" w:hAnsi="Arial"/>
          <w:sz w:val="12"/>
          <w:szCs w:val="12"/>
          <w:i w:val="1"/>
          <w:iCs w:val="1"/>
          <w:color w:val="auto"/>
        </w:rPr>
        <w:t xml:space="preserve"> </w:t>
      </w:r>
      <w:r>
        <w:rPr>
          <w:rFonts w:ascii="Arial" w:cs="Arial" w:eastAsia="Arial" w:hAnsi="Arial"/>
          <w:sz w:val="12"/>
          <w:szCs w:val="12"/>
          <w:color w:val="auto"/>
        </w:rPr>
        <w:t>the costs incurred in connection with the acquisition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5" w:name="page26"/>
    <w:bookmarkEnd w:id="2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auto"/>
        </w:rPr>
        <w:t>of Cantaloupe, partially offset by $8 thousand of acquisition costs incurred in the second quarter of fiscal year 2017 pertaining to the acquisition of VendScreen, Inc. (“VendScreen”).</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Depreciation and amortization expenses increased approximately $0.4 million for the three months ended December 31, 2017 primarily due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amortization of intangible assets recognized in connection with the Cantaloupe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8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0"/>
                <w:szCs w:val="10"/>
                <w:b w:val="1"/>
                <w:bCs w:val="1"/>
                <w:color w:val="auto"/>
              </w:rPr>
              <w:t>For the three months ended December 31,</w:t>
            </w: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244"/>
              <w:spacing w:after="0"/>
              <w:rPr>
                <w:sz w:val="20"/>
                <w:szCs w:val="20"/>
                <w:color w:val="auto"/>
              </w:rPr>
            </w:pPr>
            <w:r>
              <w:rPr>
                <w:rFonts w:ascii="Arial" w:cs="Arial" w:eastAsia="Arial" w:hAnsi="Arial"/>
                <w:sz w:val="10"/>
                <w:szCs w:val="10"/>
                <w:b w:val="1"/>
                <w:bCs w:val="1"/>
                <w:color w:val="auto"/>
              </w:rPr>
              <w:t>Percent</w:t>
            </w:r>
          </w:p>
        </w:tc>
      </w:tr>
      <w:tr>
        <w:trPr>
          <w:trHeight w:val="135"/>
        </w:trPr>
        <w:tc>
          <w:tcPr>
            <w:tcW w:w="358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300" w:type="dxa"/>
            <w:vAlign w:val="bottom"/>
            <w:gridSpan w:val="2"/>
          </w:tcPr>
          <w:p>
            <w:pPr>
              <w:jc w:val="right"/>
              <w:ind w:right="170"/>
              <w:spacing w:after="0"/>
              <w:rPr>
                <w:sz w:val="20"/>
                <w:szCs w:val="20"/>
                <w:color w:val="auto"/>
              </w:rPr>
            </w:pPr>
            <w:r>
              <w:rPr>
                <w:rFonts w:ascii="Arial" w:cs="Arial" w:eastAsia="Arial" w:hAnsi="Arial"/>
                <w:sz w:val="10"/>
                <w:szCs w:val="10"/>
                <w:b w:val="1"/>
                <w:bCs w:val="1"/>
                <w:color w:val="auto"/>
              </w:rPr>
              <w:t>2017</w:t>
            </w:r>
          </w:p>
        </w:tc>
        <w:tc>
          <w:tcPr>
            <w:tcW w:w="480" w:type="dxa"/>
            <w:vAlign w:val="bottom"/>
          </w:tcPr>
          <w:p>
            <w:pPr>
              <w:spacing w:after="0"/>
              <w:rPr>
                <w:sz w:val="11"/>
                <w:szCs w:val="11"/>
                <w:color w:val="auto"/>
              </w:rPr>
            </w:pPr>
          </w:p>
        </w:tc>
        <w:tc>
          <w:tcPr>
            <w:tcW w:w="1280" w:type="dxa"/>
            <w:vAlign w:val="bottom"/>
            <w:gridSpan w:val="2"/>
          </w:tcPr>
          <w:p>
            <w:pPr>
              <w:jc w:val="right"/>
              <w:ind w:right="149"/>
              <w:spacing w:after="0"/>
              <w:rPr>
                <w:sz w:val="20"/>
                <w:szCs w:val="20"/>
                <w:color w:val="auto"/>
              </w:rPr>
            </w:pPr>
            <w:r>
              <w:rPr>
                <w:rFonts w:ascii="Arial" w:cs="Arial" w:eastAsia="Arial" w:hAnsi="Arial"/>
                <w:sz w:val="10"/>
                <w:szCs w:val="10"/>
                <w:b w:val="1"/>
                <w:bCs w:val="1"/>
                <w:color w:val="auto"/>
              </w:rPr>
              <w:t>2016</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44"/>
              <w:spacing w:after="0"/>
              <w:rPr>
                <w:sz w:val="20"/>
                <w:szCs w:val="20"/>
                <w:color w:val="auto"/>
              </w:rPr>
            </w:pPr>
            <w:r>
              <w:rPr>
                <w:rFonts w:ascii="Arial" w:cs="Arial" w:eastAsia="Arial" w:hAnsi="Arial"/>
                <w:sz w:val="10"/>
                <w:szCs w:val="10"/>
                <w:b w:val="1"/>
                <w:bCs w:val="1"/>
                <w:color w:val="auto"/>
              </w:rPr>
              <w:t>Change</w:t>
            </w:r>
          </w:p>
        </w:tc>
      </w:tr>
      <w:tr>
        <w:trPr>
          <w:trHeight w:val="135"/>
        </w:trPr>
        <w:tc>
          <w:tcPr>
            <w:tcW w:w="35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Other income (expense):</w:t>
            </w:r>
          </w:p>
        </w:tc>
        <w:tc>
          <w:tcPr>
            <w:tcW w:w="1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r>
      <w:tr>
        <w:trPr>
          <w:trHeight w:val="146"/>
        </w:trPr>
        <w:tc>
          <w:tcPr>
            <w:tcW w:w="3580" w:type="dxa"/>
            <w:vAlign w:val="bottom"/>
          </w:tcPr>
          <w:p>
            <w:pPr>
              <w:ind w:left="60"/>
              <w:spacing w:after="0"/>
              <w:rPr>
                <w:sz w:val="20"/>
                <w:szCs w:val="20"/>
                <w:color w:val="auto"/>
              </w:rPr>
            </w:pPr>
            <w:r>
              <w:rPr>
                <w:rFonts w:ascii="Arial" w:cs="Arial" w:eastAsia="Arial" w:hAnsi="Arial"/>
                <w:sz w:val="12"/>
                <w:szCs w:val="12"/>
                <w:color w:val="auto"/>
              </w:rPr>
              <w:t>Interest income</w:t>
            </w:r>
          </w:p>
        </w:tc>
        <w:tc>
          <w:tcPr>
            <w:tcW w:w="1300" w:type="dxa"/>
            <w:vAlign w:val="bottom"/>
            <w:gridSpan w:val="2"/>
          </w:tcPr>
          <w:p>
            <w:pPr>
              <w:jc w:val="right"/>
              <w:ind w:right="101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251</w:t>
            </w:r>
          </w:p>
        </w:tc>
        <w:tc>
          <w:tcPr>
            <w:tcW w:w="1280" w:type="dxa"/>
            <w:vAlign w:val="bottom"/>
            <w:gridSpan w:val="2"/>
          </w:tcPr>
          <w:p>
            <w:pPr>
              <w:jc w:val="right"/>
              <w:ind w:right="98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25.5%</w:t>
            </w:r>
          </w:p>
        </w:tc>
      </w:tr>
      <w:tr>
        <w:trPr>
          <w:trHeight w:val="146"/>
        </w:trPr>
        <w:tc>
          <w:tcPr>
            <w:tcW w:w="3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w:t>
            </w:r>
          </w:p>
        </w:tc>
        <w:tc>
          <w:tcPr>
            <w:tcW w:w="18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1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145.8%</w:t>
            </w: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2"/>
                <w:szCs w:val="12"/>
                <w:color w:val="auto"/>
              </w:rPr>
              <w:t>Total other expense, net</w:t>
            </w:r>
          </w:p>
        </w:tc>
        <w:tc>
          <w:tcPr>
            <w:tcW w:w="180" w:type="dxa"/>
            <w:vAlign w:val="bottom"/>
          </w:tcPr>
          <w:p>
            <w:pPr>
              <w:spacing w:after="0"/>
              <w:rPr>
                <w:sz w:val="11"/>
                <w:szCs w:val="11"/>
                <w:color w:val="auto"/>
              </w:rPr>
            </w:pPr>
          </w:p>
        </w:tc>
        <w:tc>
          <w:tcPr>
            <w:tcW w:w="1120" w:type="dxa"/>
            <w:vAlign w:val="bottom"/>
            <w:tcBorders>
              <w:bottom w:val="single" w:sz="8" w:color="auto"/>
            </w:tcBorders>
          </w:tcPr>
          <w:p>
            <w:pPr>
              <w:jc w:val="right"/>
              <w:ind w:right="10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(243)</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right"/>
              <w:ind w:right="98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24200.0%</w:t>
            </w:r>
          </w:p>
        </w:tc>
      </w:tr>
    </w:tbl>
    <w:p>
      <w:pPr>
        <w:spacing w:after="0" w:line="13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i w:val="1"/>
          <w:iCs w:val="1"/>
          <w:color w:val="auto"/>
        </w:rPr>
        <w:t>Other expense, net</w:t>
      </w:r>
      <w:r>
        <w:rPr>
          <w:rFonts w:ascii="Arial" w:cs="Arial" w:eastAsia="Arial" w:hAnsi="Arial"/>
          <w:sz w:val="12"/>
          <w:szCs w:val="12"/>
          <w:color w:val="auto"/>
        </w:rPr>
        <w:t>. Other expense, net increased $242 thousand for the three months ended December 31, 2017 compared to the same period in 2016. The increase was primarily driven</w:t>
      </w:r>
      <w:r>
        <w:rPr>
          <w:rFonts w:ascii="Arial" w:cs="Arial" w:eastAsia="Arial" w:hAnsi="Arial"/>
          <w:sz w:val="12"/>
          <w:szCs w:val="12"/>
          <w:i w:val="1"/>
          <w:iCs w:val="1"/>
          <w:color w:val="auto"/>
        </w:rPr>
        <w:t xml:space="preserve"> </w:t>
      </w:r>
      <w:r>
        <w:rPr>
          <w:rFonts w:ascii="Arial" w:cs="Arial" w:eastAsia="Arial" w:hAnsi="Arial"/>
          <w:sz w:val="12"/>
          <w:szCs w:val="12"/>
          <w:color w:val="auto"/>
        </w:rPr>
        <w:t>by the interest incurred in connection with the Term Loan and Revolving Credit Facility utilized to fund a portion of the acquisition of Cantaloupe.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0"/>
                <w:szCs w:val="10"/>
                <w:b w:val="1"/>
                <w:bCs w:val="1"/>
                <w:color w:val="auto"/>
              </w:rPr>
              <w:t>For the three months ended December 31,</w:t>
            </w:r>
          </w:p>
        </w:tc>
        <w:tc>
          <w:tcPr>
            <w:tcW w:w="3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ind w:left="340"/>
              <w:spacing w:after="0"/>
              <w:rPr>
                <w:sz w:val="20"/>
                <w:szCs w:val="20"/>
                <w:color w:val="auto"/>
              </w:rPr>
            </w:pPr>
            <w:r>
              <w:rPr>
                <w:rFonts w:ascii="Arial" w:cs="Arial" w:eastAsia="Arial" w:hAnsi="Arial"/>
                <w:sz w:val="10"/>
                <w:szCs w:val="10"/>
                <w:b w:val="1"/>
                <w:bCs w:val="1"/>
                <w:color w:val="auto"/>
              </w:rPr>
              <w:t>Percent</w:t>
            </w:r>
          </w:p>
        </w:tc>
      </w:tr>
      <w:tr>
        <w:trPr>
          <w:trHeight w:val="135"/>
        </w:trPr>
        <w:tc>
          <w:tcPr>
            <w:tcW w:w="384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100" w:type="dxa"/>
            <w:vAlign w:val="bottom"/>
            <w:gridSpan w:val="2"/>
          </w:tcPr>
          <w:p>
            <w:pPr>
              <w:jc w:val="right"/>
              <w:ind w:right="90"/>
              <w:spacing w:after="0"/>
              <w:rPr>
                <w:sz w:val="20"/>
                <w:szCs w:val="20"/>
                <w:color w:val="auto"/>
              </w:rPr>
            </w:pPr>
            <w:r>
              <w:rPr>
                <w:rFonts w:ascii="Arial" w:cs="Arial" w:eastAsia="Arial" w:hAnsi="Arial"/>
                <w:sz w:val="10"/>
                <w:szCs w:val="10"/>
                <w:b w:val="1"/>
                <w:bCs w:val="1"/>
                <w:color w:val="auto"/>
              </w:rPr>
              <w:t>2017</w:t>
            </w:r>
          </w:p>
        </w:tc>
        <w:tc>
          <w:tcPr>
            <w:tcW w:w="500" w:type="dxa"/>
            <w:vAlign w:val="bottom"/>
          </w:tcPr>
          <w:p>
            <w:pPr>
              <w:spacing w:after="0"/>
              <w:rPr>
                <w:sz w:val="11"/>
                <w:szCs w:val="11"/>
                <w:color w:val="auto"/>
              </w:rPr>
            </w:pPr>
          </w:p>
        </w:tc>
        <w:tc>
          <w:tcPr>
            <w:tcW w:w="1240" w:type="dxa"/>
            <w:vAlign w:val="bottom"/>
            <w:gridSpan w:val="2"/>
          </w:tcPr>
          <w:p>
            <w:pPr>
              <w:jc w:val="right"/>
              <w:ind w:right="229"/>
              <w:spacing w:after="0"/>
              <w:rPr>
                <w:sz w:val="20"/>
                <w:szCs w:val="20"/>
                <w:color w:val="auto"/>
              </w:rPr>
            </w:pPr>
            <w:r>
              <w:rPr>
                <w:rFonts w:ascii="Arial" w:cs="Arial" w:eastAsia="Arial" w:hAnsi="Arial"/>
                <w:sz w:val="10"/>
                <w:szCs w:val="10"/>
                <w:b w:val="1"/>
                <w:bCs w:val="1"/>
                <w:color w:val="auto"/>
              </w:rPr>
              <w:t>2016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ind w:left="340"/>
              <w:spacing w:after="0"/>
              <w:rPr>
                <w:sz w:val="20"/>
                <w:szCs w:val="20"/>
                <w:color w:val="auto"/>
              </w:rPr>
            </w:pPr>
            <w:r>
              <w:rPr>
                <w:rFonts w:ascii="Arial" w:cs="Arial" w:eastAsia="Arial" w:hAnsi="Arial"/>
                <w:sz w:val="10"/>
                <w:szCs w:val="10"/>
                <w:b w:val="1"/>
                <w:bCs w:val="1"/>
                <w:color w:val="auto"/>
              </w:rPr>
              <w:t>Change</w:t>
            </w:r>
          </w:p>
        </w:tc>
      </w:tr>
      <w:tr>
        <w:trPr>
          <w:trHeight w:val="135"/>
        </w:trPr>
        <w:tc>
          <w:tcPr>
            <w:tcW w:w="38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Provision for income taxes</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(9,073)</w:t>
            </w:r>
          </w:p>
        </w:tc>
        <w:tc>
          <w:tcPr>
            <w:tcW w:w="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ind w:right="98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100%</w:t>
            </w:r>
          </w:p>
        </w:tc>
      </w:tr>
    </w:tbl>
    <w:p>
      <w:pPr>
        <w:spacing w:after="0" w:line="137"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i w:val="1"/>
          <w:iCs w:val="1"/>
          <w:color w:val="auto"/>
        </w:rPr>
        <w:t>Income taxes</w:t>
      </w:r>
      <w:r>
        <w:rPr>
          <w:rFonts w:ascii="Arial" w:cs="Arial" w:eastAsia="Arial" w:hAnsi="Arial"/>
          <w:sz w:val="12"/>
          <w:szCs w:val="12"/>
          <w:color w:val="auto"/>
        </w:rPr>
        <w:t>. For the three months ended December 31, 2017, an income tax provision of 9,073 thousand (substantially all deferred income taxes) was recorded which includes a charge</w:t>
      </w:r>
      <w:r>
        <w:rPr>
          <w:rFonts w:ascii="Arial" w:cs="Arial" w:eastAsia="Arial" w:hAnsi="Arial"/>
          <w:sz w:val="12"/>
          <w:szCs w:val="12"/>
          <w:i w:val="1"/>
          <w:iCs w:val="1"/>
          <w:color w:val="auto"/>
        </w:rPr>
        <w:t xml:space="preserve"> </w:t>
      </w:r>
      <w:r>
        <w:rPr>
          <w:rFonts w:ascii="Arial" w:cs="Arial" w:eastAsia="Arial" w:hAnsi="Arial"/>
          <w:sz w:val="12"/>
          <w:szCs w:val="12"/>
          <w:color w:val="auto"/>
        </w:rPr>
        <w:t>of $6,592 thousand related to the recent enactment of the U.S. Tax Cuts and Jobs Act. The tax provision is based upon income (loss) before income taxes using an estimated negative annual effective income tax rate of 49.20%, which is primarily driven by the impact of permanent differences. The tax rate reduction related to tax reform was treated as a discrete item in the tax provision for the three months ended December 31, 2017.</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For the three months ended December 31, 2016, no adjustment for the income tax benefit (provision) (substantially all deferred income taxes) was recorded based upon loss before benefit for income taxes using an estimated annual effective income tax rate of 30.0% for the fiscal year ended June 30, 2017 net of a provision for the tax effect of the change in the fair value of warrant liabilities which was treated discretely.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(Loss) Income to Adjusted EBITDA: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4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0"/>
                <w:szCs w:val="10"/>
                <w:b w:val="1"/>
                <w:bCs w:val="1"/>
                <w:color w:val="auto"/>
                <w:w w:val="93"/>
              </w:rPr>
              <w:t>For the three months ended December 31,</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740" w:type="dxa"/>
            <w:vAlign w:val="bottom"/>
            <w:tcBorders>
              <w:bottom w:val="single" w:sz="8" w:color="auto"/>
            </w:tcBorders>
            <w:vMerge w:val="continue"/>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right"/>
              <w:ind w:right="442"/>
              <w:spacing w:after="0" w:line="90"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0"/>
              <w:spacing w:after="0" w:line="90" w:lineRule="exact"/>
              <w:rPr>
                <w:sz w:val="20"/>
                <w:szCs w:val="20"/>
                <w:color w:val="auto"/>
              </w:rPr>
            </w:pPr>
            <w:r>
              <w:rPr>
                <w:rFonts w:ascii="Arial" w:cs="Arial" w:eastAsia="Arial" w:hAnsi="Arial"/>
                <w:sz w:val="10"/>
                <w:szCs w:val="10"/>
                <w:b w:val="1"/>
                <w:bCs w:val="1"/>
                <w:color w:val="auto"/>
              </w:rPr>
              <w:t>2016</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 income</w:t>
            </w:r>
          </w:p>
        </w:tc>
        <w:tc>
          <w:tcPr>
            <w:tcW w:w="1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(12,516)</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233</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40" w:type="dxa"/>
            <w:vAlign w:val="bottom"/>
          </w:tcPr>
          <w:p>
            <w:pPr>
              <w:ind w:left="60"/>
              <w:spacing w:after="0"/>
              <w:rPr>
                <w:sz w:val="20"/>
                <w:szCs w:val="20"/>
                <w:color w:val="auto"/>
              </w:rPr>
            </w:pPr>
            <w:r>
              <w:rPr>
                <w:rFonts w:ascii="Arial" w:cs="Arial" w:eastAsia="Arial" w:hAnsi="Arial"/>
                <w:sz w:val="12"/>
                <w:szCs w:val="12"/>
                <w:color w:val="auto"/>
              </w:rPr>
              <w:t>Less interest income</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(251)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interest expense</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Pr>
          <w:p>
            <w:pPr>
              <w:ind w:left="60"/>
              <w:spacing w:after="0"/>
              <w:rPr>
                <w:sz w:val="20"/>
                <w:szCs w:val="20"/>
                <w:color w:val="auto"/>
              </w:rPr>
            </w:pPr>
            <w:r>
              <w:rPr>
                <w:rFonts w:ascii="Arial" w:cs="Arial" w:eastAsia="Arial" w:hAnsi="Arial"/>
                <w:sz w:val="12"/>
                <w:szCs w:val="12"/>
                <w:color w:val="auto"/>
              </w:rPr>
              <w:t>Plus income tax provision</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9,073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depreciation expense</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Plus amortization expense</w:t>
            </w:r>
          </w:p>
        </w:tc>
        <w:tc>
          <w:tcPr>
            <w:tcW w:w="1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EBITDA</w:t>
            </w:r>
          </w:p>
        </w:tc>
        <w:tc>
          <w:tcPr>
            <w:tcW w:w="1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(1,216)</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1,497</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stock-based compensation</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Plus integration and acquisition costs and inventory step-up</w:t>
            </w:r>
          </w:p>
        </w:tc>
        <w:tc>
          <w:tcPr>
            <w:tcW w:w="1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Adjustments to EBITDA</w:t>
            </w:r>
          </w:p>
        </w:tc>
        <w:tc>
          <w:tcPr>
            <w:tcW w:w="1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4,138</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241</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2"/>
                <w:szCs w:val="12"/>
                <w:color w:val="auto"/>
              </w:rPr>
              <w:t>Adjusted EBITDA</w:t>
            </w: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2,922</w:t>
            </w:r>
          </w:p>
        </w:tc>
        <w:tc>
          <w:tcPr>
            <w:tcW w:w="220" w:type="dxa"/>
            <w:vAlign w:val="bottom"/>
          </w:tcPr>
          <w:p>
            <w:pPr>
              <w:spacing w:after="0"/>
              <w:rPr>
                <w:sz w:val="11"/>
                <w:szCs w:val="11"/>
                <w:color w:val="auto"/>
              </w:rPr>
            </w:pPr>
          </w:p>
        </w:tc>
        <w:tc>
          <w:tcPr>
            <w:tcW w:w="260" w:type="dxa"/>
            <w:vAlign w:val="bottom"/>
            <w:tcBorders>
              <w:bottom w:val="single" w:sz="8" w:color="auto"/>
            </w:tcBorders>
          </w:tcPr>
          <w:p>
            <w:pPr>
              <w:jc w:val="right"/>
              <w:ind w:right="195"/>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1,738</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3740" w:type="dxa"/>
            <w:vAlign w:val="bottom"/>
          </w:tcPr>
          <w:p>
            <w:pPr>
              <w:spacing w:after="0"/>
              <w:rPr>
                <w:sz w:val="24"/>
                <w:szCs w:val="24"/>
                <w:color w:val="auto"/>
              </w:rPr>
            </w:pPr>
          </w:p>
        </w:tc>
        <w:tc>
          <w:tcPr>
            <w:tcW w:w="1660" w:type="dxa"/>
            <w:vAlign w:val="bottom"/>
          </w:tcPr>
          <w:p>
            <w:pPr>
              <w:jc w:val="right"/>
              <w:ind w:right="719"/>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26" w:name="page27"/>
    <w:bookmarkEnd w:id="2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As used herein, Adjusted EBITDA represents net (loss) income before interest income, interest expense, income tax provision (benefit), depreciation, amortization, stock-based compensation expense, and non-recurring integration and acquisition costs that were incurred in connection with the acquisition of Cantaloupe, including a charge for inventory fair value step-up, in the current fiscal year and the acquisition of the VendScreen business the previous fiscal year. We have excluded the non-cash expense, stock-based compensation, as it does not reflect the cash-based operations of the Company. We have excluded the integration and acquisition expenses incurred in connection with the Cantaloupe acquisition, including a charge for inventory fair value step-up, during the current fiscal year and the VendScreen transaction from the previous fiscal year in order to allow for a more accurate comparison of the financial results to historical operations, as they pertain to period operational expenses that are not a core function of our business.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Operating (Loss) Income to Adjusted Operating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0"/>
                <w:szCs w:val="10"/>
                <w:b w:val="1"/>
                <w:bCs w:val="1"/>
                <w:color w:val="auto"/>
              </w:rPr>
              <w:t>Three months ended December 31,</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58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jc w:val="right"/>
              <w:ind w:right="663"/>
              <w:spacing w:after="0" w:line="90" w:lineRule="exact"/>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662"/>
              <w:spacing w:after="0" w:line="90" w:lineRule="exact"/>
              <w:rPr>
                <w:sz w:val="20"/>
                <w:szCs w:val="20"/>
                <w:color w:val="auto"/>
              </w:rPr>
            </w:pPr>
            <w:r>
              <w:rPr>
                <w:rFonts w:ascii="Arial" w:cs="Arial" w:eastAsia="Arial" w:hAnsi="Arial"/>
                <w:sz w:val="10"/>
                <w:szCs w:val="10"/>
                <w:b w:val="1"/>
                <w:bCs w:val="1"/>
                <w:color w:val="auto"/>
                <w:w w:val="98"/>
              </w:rPr>
              <w:t>2016</w:t>
            </w:r>
          </w:p>
        </w:tc>
        <w:tc>
          <w:tcPr>
            <w:tcW w:w="0" w:type="dxa"/>
            <w:vAlign w:val="bottom"/>
          </w:tcPr>
          <w:p>
            <w:pPr>
              <w:spacing w:after="0"/>
              <w:rPr>
                <w:sz w:val="1"/>
                <w:szCs w:val="1"/>
                <w:color w:val="auto"/>
              </w:rPr>
            </w:pPr>
          </w:p>
        </w:tc>
      </w:tr>
      <w:tr>
        <w:trPr>
          <w:trHeight w:val="135"/>
        </w:trPr>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Operating (loss) income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75"/>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6"/>
        </w:trPr>
        <w:tc>
          <w:tcPr>
            <w:tcW w:w="4580" w:type="dxa"/>
            <w:vAlign w:val="bottom"/>
          </w:tcPr>
          <w:p>
            <w:pPr>
              <w:ind w:left="60"/>
              <w:spacing w:after="0"/>
              <w:rPr>
                <w:sz w:val="20"/>
                <w:szCs w:val="20"/>
                <w:color w:val="auto"/>
              </w:rPr>
            </w:pPr>
            <w:r>
              <w:rPr>
                <w:rFonts w:ascii="Arial" w:cs="Arial" w:eastAsia="Arial" w:hAnsi="Arial"/>
                <w:sz w:val="12"/>
                <w:szCs w:val="12"/>
                <w:color w:val="auto"/>
              </w:rPr>
              <w:t>Plus integration and acquisition costs and inventory step-up</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3,358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6"/>
        </w:trPr>
        <w:tc>
          <w:tcPr>
            <w:tcW w:w="4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amortization expense</w:t>
            </w:r>
          </w:p>
        </w:tc>
        <w:tc>
          <w:tcPr>
            <w:tcW w:w="1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5"/>
        </w:trPr>
        <w:tc>
          <w:tcPr>
            <w:tcW w:w="4580" w:type="dxa"/>
            <w:vAlign w:val="bottom"/>
          </w:tcPr>
          <w:p>
            <w:pPr>
              <w:spacing w:after="0" w:line="135" w:lineRule="exact"/>
              <w:rPr>
                <w:sz w:val="20"/>
                <w:szCs w:val="20"/>
                <w:color w:val="auto"/>
              </w:rPr>
            </w:pPr>
            <w:r>
              <w:rPr>
                <w:rFonts w:ascii="Arial" w:cs="Arial" w:eastAsia="Arial" w:hAnsi="Arial"/>
                <w:sz w:val="12"/>
                <w:szCs w:val="12"/>
                <w:color w:val="auto"/>
              </w:rPr>
              <w:t>Adjusted operating income</w:t>
            </w:r>
          </w:p>
        </w:tc>
        <w:tc>
          <w:tcPr>
            <w:tcW w:w="180" w:type="dxa"/>
            <w:vAlign w:val="bottom"/>
          </w:tcPr>
          <w:p>
            <w:pPr>
              <w:spacing w:after="0"/>
              <w:rPr>
                <w:sz w:val="11"/>
                <w:szCs w:val="11"/>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630</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575"/>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i w:val="1"/>
          <w:iCs w:val="1"/>
          <w:color w:val="auto"/>
        </w:rPr>
        <w:t>As used herein, adjusted operating income represents operating (loss) income before the non-recurring integration and acquisition costs incurred in connection with the acquisition of Cantaloupe, including a charge for inventory fair value step-up, and VendScreen transaction and amortization expenses related to our acquisition-related intangibles. We have excluded these non-recurring costs and amortization expenses in order to allow for a more accurate comparison of the financial results to historical operations and we believe such a comparison is useful to investors as a measure of comparative operating performance. This is the first financial period for which we have adjusted for the amortization expenses related to our acquisition-related intangibles, and we intend to make such adjustments for future financial periods.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(Loss) Income to Non-GAAP Net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December 31,</w:t>
            </w: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80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jc w:val="right"/>
              <w:ind w:right="622"/>
              <w:spacing w:after="0" w:line="90"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601"/>
              <w:spacing w:after="0" w:line="90" w:lineRule="exact"/>
              <w:rPr>
                <w:sz w:val="20"/>
                <w:szCs w:val="20"/>
                <w:color w:val="auto"/>
              </w:rPr>
            </w:pPr>
            <w:r>
              <w:rPr>
                <w:rFonts w:ascii="Arial" w:cs="Arial" w:eastAsia="Arial" w:hAnsi="Arial"/>
                <w:sz w:val="10"/>
                <w:szCs w:val="10"/>
                <w:b w:val="1"/>
                <w:bCs w:val="1"/>
                <w:color w:val="auto"/>
                <w:w w:val="89"/>
              </w:rPr>
              <w:t>2016</w:t>
            </w:r>
          </w:p>
        </w:tc>
        <w:tc>
          <w:tcPr>
            <w:tcW w:w="0" w:type="dxa"/>
            <w:vAlign w:val="bottom"/>
          </w:tcPr>
          <w:p>
            <w:pPr>
              <w:spacing w:after="0"/>
              <w:rPr>
                <w:sz w:val="1"/>
                <w:szCs w:val="1"/>
                <w:color w:val="auto"/>
              </w:rPr>
            </w:pPr>
          </w:p>
        </w:tc>
      </w:tr>
      <w:tr>
        <w:trPr>
          <w:trHeight w:val="135"/>
        </w:trPr>
        <w:tc>
          <w:tcPr>
            <w:tcW w:w="4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 income</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(12,516)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55"/>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2"/>
                <w:szCs w:val="12"/>
                <w:color w:val="auto"/>
              </w:rPr>
              <w:t>Non-GAAP adjustments: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Non-cash portion of income tax provision (benefit)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800" w:type="dxa"/>
            <w:vAlign w:val="bottom"/>
          </w:tcPr>
          <w:p>
            <w:pPr>
              <w:ind w:left="60"/>
              <w:spacing w:after="0"/>
              <w:rPr>
                <w:sz w:val="20"/>
                <w:szCs w:val="20"/>
                <w:color w:val="auto"/>
              </w:rPr>
            </w:pPr>
            <w:r>
              <w:rPr>
                <w:rFonts w:ascii="Arial" w:cs="Arial" w:eastAsia="Arial" w:hAnsi="Arial"/>
                <w:sz w:val="12"/>
                <w:szCs w:val="12"/>
                <w:color w:val="auto"/>
              </w:rPr>
              <w:t>Amortization expense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6"/>
        </w:trPr>
        <w:tc>
          <w:tcPr>
            <w:tcW w:w="4800" w:type="dxa"/>
            <w:vAlign w:val="bottom"/>
          </w:tcPr>
          <w:p>
            <w:pPr>
              <w:ind w:left="60"/>
              <w:spacing w:after="0"/>
              <w:rPr>
                <w:sz w:val="20"/>
                <w:szCs w:val="20"/>
                <w:color w:val="auto"/>
              </w:rPr>
            </w:pPr>
            <w:r>
              <w:rPr>
                <w:rFonts w:ascii="Arial" w:cs="Arial" w:eastAsia="Arial" w:hAnsi="Arial"/>
                <w:sz w:val="12"/>
                <w:szCs w:val="12"/>
                <w:color w:val="auto"/>
              </w:rPr>
              <w:t>Litigation related professional fees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Integration and acquisition-related costs</w:t>
            </w:r>
          </w:p>
        </w:tc>
        <w:tc>
          <w:tcPr>
            <w:tcW w:w="1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4800" w:type="dxa"/>
            <w:vAlign w:val="bottom"/>
          </w:tcPr>
          <w:p>
            <w:pPr>
              <w:spacing w:after="0" w:line="135" w:lineRule="exact"/>
              <w:rPr>
                <w:sz w:val="20"/>
                <w:szCs w:val="20"/>
                <w:color w:val="auto"/>
              </w:rPr>
            </w:pPr>
            <w:r>
              <w:rPr>
                <w:rFonts w:ascii="Arial" w:cs="Arial" w:eastAsia="Arial" w:hAnsi="Arial"/>
                <w:sz w:val="12"/>
                <w:szCs w:val="12"/>
                <w:color w:val="auto"/>
              </w:rPr>
              <w:t>Non-GAAP net income</w:t>
            </w:r>
          </w:p>
        </w:tc>
        <w:tc>
          <w:tcPr>
            <w:tcW w:w="180" w:type="dxa"/>
            <w:vAlign w:val="bottom"/>
          </w:tcPr>
          <w:p>
            <w:pPr>
              <w:spacing w:after="0"/>
              <w:rPr>
                <w:sz w:val="11"/>
                <w:szCs w:val="11"/>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1,222</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55"/>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517</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spacing w:after="0" w:line="294" w:lineRule="auto"/>
        <w:rPr>
          <w:sz w:val="20"/>
          <w:szCs w:val="20"/>
          <w:color w:val="auto"/>
        </w:rPr>
      </w:pPr>
      <w:r>
        <w:rPr>
          <w:rFonts w:ascii="Arial" w:cs="Arial" w:eastAsia="Arial" w:hAnsi="Arial"/>
          <w:sz w:val="11"/>
          <w:szCs w:val="11"/>
          <w:i w:val="1"/>
          <w:iCs w:val="1"/>
          <w:color w:val="auto"/>
        </w:rPr>
        <w:t>As used herein, non-GAAP net income represents GAAP net (loss) income excluding costs or benefits relating to any non-cash portions of the Company’s income tax benefit, adjustment for fair value of warrant liabilities, non-recurring costs and expenses that were incurred in connection with the acquisition and integration of Cantaloupe, including a charge for inventory fair value step-up and write-off of deferred financing costs, during the current fiscal year and VendScreen during the prior fiscal year, and non-cash expenses for equity awards under our equity incentive plans. This is the first financial period for which we have adjusted for the non-cash expenses attributable to equity awards, and we intend to make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7" w:name="page28"/>
    <w:bookmarkEnd w:id="2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adjustments for future financial periods. Management believes that non-GAAP net income is an important measure of USAT’s business. Non-GAAP net income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provided by or (used in) operating activities. Management recognizes that non-GAAP financial measures have limitations in that they do not reflect all of the items associated with the Company’s net (loss) income as determined in accordance with GAAP, and are not a substitute for or a measure of the Company’s profitability or net earnings.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as a metric in its executive officer and management incentive compensation plans.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December 31, 2017 Compared to Six Months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and Gross Profit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0"/>
                <w:szCs w:val="10"/>
                <w:b w:val="1"/>
                <w:bCs w:val="1"/>
                <w:color w:val="auto"/>
              </w:rPr>
              <w:t>For the six months ended December 31,</w:t>
            </w:r>
          </w:p>
        </w:tc>
        <w:tc>
          <w:tcPr>
            <w:tcW w:w="5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81"/>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89"/>
        </w:trPr>
        <w:tc>
          <w:tcPr>
            <w:tcW w:w="342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rPr>
              <w:t>($ in thousands)</w:t>
            </w:r>
          </w:p>
        </w:tc>
        <w:tc>
          <w:tcPr>
            <w:tcW w:w="200" w:type="dxa"/>
            <w:vAlign w:val="bottom"/>
          </w:tcPr>
          <w:p>
            <w:pPr>
              <w:spacing w:after="0"/>
              <w:rPr>
                <w:sz w:val="7"/>
                <w:szCs w:val="7"/>
                <w:color w:val="auto"/>
              </w:rPr>
            </w:pPr>
          </w:p>
        </w:tc>
        <w:tc>
          <w:tcPr>
            <w:tcW w:w="1080" w:type="dxa"/>
            <w:vAlign w:val="bottom"/>
          </w:tcPr>
          <w:p>
            <w:pPr>
              <w:jc w:val="right"/>
              <w:ind w:right="131"/>
              <w:spacing w:after="0" w:line="90" w:lineRule="exact"/>
              <w:rPr>
                <w:sz w:val="20"/>
                <w:szCs w:val="20"/>
                <w:color w:val="auto"/>
              </w:rPr>
            </w:pPr>
            <w:r>
              <w:rPr>
                <w:rFonts w:ascii="Arial" w:cs="Arial" w:eastAsia="Arial" w:hAnsi="Arial"/>
                <w:sz w:val="10"/>
                <w:szCs w:val="10"/>
                <w:b w:val="1"/>
                <w:bCs w:val="1"/>
                <w:color w:val="auto"/>
              </w:rPr>
              <w:t>2017</w:t>
            </w:r>
          </w:p>
        </w:tc>
        <w:tc>
          <w:tcPr>
            <w:tcW w:w="540" w:type="dxa"/>
            <w:vAlign w:val="bottom"/>
          </w:tcPr>
          <w:p>
            <w:pPr>
              <w:spacing w:after="0"/>
              <w:rPr>
                <w:sz w:val="7"/>
                <w:szCs w:val="7"/>
                <w:color w:val="auto"/>
              </w:rPr>
            </w:pPr>
          </w:p>
        </w:tc>
        <w:tc>
          <w:tcPr>
            <w:tcW w:w="1260" w:type="dxa"/>
            <w:vAlign w:val="bottom"/>
            <w:gridSpan w:val="2"/>
          </w:tcPr>
          <w:p>
            <w:pPr>
              <w:jc w:val="right"/>
              <w:ind w:right="109"/>
              <w:spacing w:after="0" w:line="90" w:lineRule="exact"/>
              <w:rPr>
                <w:sz w:val="20"/>
                <w:szCs w:val="20"/>
                <w:color w:val="auto"/>
              </w:rPr>
            </w:pPr>
            <w:r>
              <w:rPr>
                <w:rFonts w:ascii="Arial" w:cs="Arial" w:eastAsia="Arial" w:hAnsi="Arial"/>
                <w:sz w:val="10"/>
                <w:szCs w:val="10"/>
                <w:b w:val="1"/>
                <w:bCs w:val="1"/>
                <w:color w:val="auto"/>
              </w:rPr>
              <w:t>2016</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jc w:val="right"/>
              <w:ind w:right="281"/>
              <w:spacing w:after="0" w:line="90" w:lineRule="exact"/>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Revenues:</w:t>
            </w:r>
          </w:p>
        </w:tc>
        <w:tc>
          <w:tcPr>
            <w:tcW w:w="2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ind w:left="40"/>
              <w:spacing w:after="0"/>
              <w:rPr>
                <w:sz w:val="20"/>
                <w:szCs w:val="20"/>
                <w:color w:val="auto"/>
              </w:rPr>
            </w:pPr>
            <w:r>
              <w:rPr>
                <w:rFonts w:ascii="Arial" w:cs="Arial" w:eastAsia="Arial" w:hAnsi="Arial"/>
                <w:sz w:val="12"/>
                <w:szCs w:val="12"/>
                <w:color w:val="auto"/>
              </w:rPr>
              <w:t>License and transaction fees</w:t>
            </w:r>
          </w:p>
        </w:tc>
        <w:tc>
          <w:tcPr>
            <w:tcW w:w="1280" w:type="dxa"/>
            <w:vAlign w:val="bottom"/>
            <w:gridSpan w:val="2"/>
          </w:tcPr>
          <w:p>
            <w:pPr>
              <w:jc w:val="right"/>
              <w:ind w:right="971"/>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42,797</w:t>
            </w:r>
          </w:p>
        </w:tc>
        <w:tc>
          <w:tcPr>
            <w:tcW w:w="1260" w:type="dxa"/>
            <w:vAlign w:val="bottom"/>
            <w:gridSpan w:val="2"/>
          </w:tcPr>
          <w:p>
            <w:pPr>
              <w:jc w:val="right"/>
              <w:ind w:right="949"/>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33,004</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Equipment sales</w:t>
            </w:r>
          </w:p>
        </w:tc>
        <w:tc>
          <w:tcPr>
            <w:tcW w:w="2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15,326</w:t>
            </w:r>
          </w:p>
        </w:tc>
        <w:tc>
          <w:tcPr>
            <w:tcW w:w="2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10,340</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ind w:left="120"/>
              <w:spacing w:after="0" w:line="135" w:lineRule="exact"/>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58,123</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43,344</w:t>
            </w: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Costs of sales: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Cost of services</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27,688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22,632</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Cost of equipment</w:t>
            </w:r>
          </w:p>
        </w:tc>
        <w:tc>
          <w:tcPr>
            <w:tcW w:w="2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14,033</w:t>
            </w:r>
          </w:p>
        </w:tc>
        <w:tc>
          <w:tcPr>
            <w:tcW w:w="2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8,211</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Total costs of sales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41,721</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30,843</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ind w:left="40"/>
              <w:spacing w:after="0"/>
              <w:rPr>
                <w:sz w:val="20"/>
                <w:szCs w:val="20"/>
                <w:color w:val="auto"/>
              </w:rPr>
            </w:pPr>
            <w:r>
              <w:rPr>
                <w:rFonts w:ascii="Arial" w:cs="Arial" w:eastAsia="Arial" w:hAnsi="Arial"/>
                <w:sz w:val="12"/>
                <w:szCs w:val="12"/>
                <w:color w:val="auto"/>
              </w:rPr>
              <w:t>License and transaction fees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15,109</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10,372</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Equipment sales</w:t>
            </w:r>
          </w:p>
        </w:tc>
        <w:tc>
          <w:tcPr>
            <w:tcW w:w="2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1,293</w:t>
            </w:r>
          </w:p>
        </w:tc>
        <w:tc>
          <w:tcPr>
            <w:tcW w:w="2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2,129</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ind w:left="120"/>
              <w:spacing w:after="0" w:line="135" w:lineRule="exact"/>
              <w:rPr>
                <w:sz w:val="20"/>
                <w:szCs w:val="20"/>
                <w:color w:val="auto"/>
              </w:rPr>
            </w:pPr>
            <w:r>
              <w:rPr>
                <w:rFonts w:ascii="Arial" w:cs="Arial" w:eastAsia="Arial" w:hAnsi="Arial"/>
                <w:sz w:val="12"/>
                <w:szCs w:val="12"/>
                <w:color w:val="auto"/>
              </w:rPr>
              <w:t>Total gross profit</w:t>
            </w:r>
          </w:p>
        </w:tc>
        <w:tc>
          <w:tcPr>
            <w:tcW w:w="200" w:type="dxa"/>
            <w:vAlign w:val="bottom"/>
          </w:tcPr>
          <w:p>
            <w:pPr>
              <w:spacing w:after="0"/>
              <w:rPr>
                <w:sz w:val="11"/>
                <w:szCs w:val="11"/>
                <w:color w:val="auto"/>
              </w:rPr>
            </w:pPr>
          </w:p>
        </w:tc>
        <w:tc>
          <w:tcPr>
            <w:tcW w:w="1080" w:type="dxa"/>
            <w:vAlign w:val="bottom"/>
            <w:tcBorders>
              <w:bottom w:val="single" w:sz="8" w:color="auto"/>
            </w:tcBorders>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16,402</w:t>
            </w:r>
          </w:p>
        </w:tc>
        <w:tc>
          <w:tcPr>
            <w:tcW w:w="200" w:type="dxa"/>
            <w:vAlign w:val="bottom"/>
          </w:tcPr>
          <w:p>
            <w:pPr>
              <w:spacing w:after="0"/>
              <w:rPr>
                <w:sz w:val="11"/>
                <w:szCs w:val="11"/>
                <w:color w:val="auto"/>
              </w:rPr>
            </w:pPr>
          </w:p>
        </w:tc>
        <w:tc>
          <w:tcPr>
            <w:tcW w:w="1060" w:type="dxa"/>
            <w:vAlign w:val="bottom"/>
            <w:tcBorders>
              <w:bottom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12,501</w:t>
            </w:r>
          </w:p>
        </w:tc>
        <w:tc>
          <w:tcPr>
            <w:tcW w:w="2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right="20"/>
        <w:spacing w:after="0" w:line="303" w:lineRule="auto"/>
        <w:rPr>
          <w:sz w:val="20"/>
          <w:szCs w:val="20"/>
          <w:color w:val="auto"/>
        </w:rPr>
      </w:pPr>
      <w:r>
        <w:rPr>
          <w:rFonts w:ascii="Arial" w:cs="Arial" w:eastAsia="Arial" w:hAnsi="Arial"/>
          <w:sz w:val="11"/>
          <w:szCs w:val="11"/>
          <w:i w:val="1"/>
          <w:iCs w:val="1"/>
          <w:color w:val="auto"/>
        </w:rPr>
        <w:t xml:space="preserve">Revenue. </w:t>
      </w:r>
      <w:r>
        <w:rPr>
          <w:rFonts w:ascii="Arial" w:cs="Arial" w:eastAsia="Arial" w:hAnsi="Arial"/>
          <w:sz w:val="11"/>
          <w:szCs w:val="11"/>
          <w:color w:val="auto"/>
        </w:rPr>
        <w:t>Total revenue increased $14.8 million for the six months ended December 31, 2017 compared to the same period in 2016. The growth in total revenue resulted from a $9.8</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increase in license and transaction fee revenue for the six months ended December 31, 2017 compared to the same period in 2016, and a $5.0 million increase in equipment revenue for the six months ended December 31, 2017 compared to the same period last year; both driven by an increase in connections and the Cantaloupe acquisition.</w:t>
      </w:r>
    </w:p>
    <w:p>
      <w:pPr>
        <w:spacing w:after="0" w:line="105"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i w:val="1"/>
          <w:iCs w:val="1"/>
          <w:color w:val="auto"/>
        </w:rPr>
        <w:t xml:space="preserve">Cost of sales. </w:t>
      </w:r>
      <w:r>
        <w:rPr>
          <w:rFonts w:ascii="Arial" w:cs="Arial" w:eastAsia="Arial" w:hAnsi="Arial"/>
          <w:sz w:val="12"/>
          <w:szCs w:val="12"/>
          <w:color w:val="auto"/>
        </w:rPr>
        <w:t>Cost of sales increased $10.9 million for the six months ended December 31, 2017 compared to the same period last year. The increase was driven by a $5.1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cost of services and a $5.8 million increase in cost of equipment sales, both arising from an increase in connections and the Cantaloupe acquisition.</w:t>
      </w:r>
    </w:p>
    <w:p>
      <w:pPr>
        <w:spacing w:after="0" w:line="168" w:lineRule="exact"/>
        <w:rPr>
          <w:sz w:val="20"/>
          <w:szCs w:val="20"/>
          <w:color w:val="auto"/>
        </w:rPr>
      </w:pPr>
    </w:p>
    <w:p>
      <w:pPr>
        <w:jc w:val="both"/>
        <w:ind w:right="20"/>
        <w:spacing w:after="0" w:line="294" w:lineRule="auto"/>
        <w:rPr>
          <w:sz w:val="20"/>
          <w:szCs w:val="20"/>
          <w:color w:val="auto"/>
        </w:rPr>
      </w:pPr>
      <w:r>
        <w:rPr>
          <w:rFonts w:ascii="Arial" w:cs="Arial" w:eastAsia="Arial" w:hAnsi="Arial"/>
          <w:sz w:val="11"/>
          <w:szCs w:val="11"/>
          <w:i w:val="1"/>
          <w:iCs w:val="1"/>
          <w:color w:val="auto"/>
        </w:rPr>
        <w:t>Gross margin</w:t>
      </w:r>
      <w:r>
        <w:rPr>
          <w:rFonts w:ascii="Arial" w:cs="Arial" w:eastAsia="Arial" w:hAnsi="Arial"/>
          <w:sz w:val="11"/>
          <w:szCs w:val="11"/>
          <w:color w:val="auto"/>
        </w:rPr>
        <w:t>. The overall gross margin decreased 0.6% from 28.8% for the six months ended December 31, 2016 to 28.2% for the six months ended December 31, 2017. The decrease</w:t>
      </w:r>
      <w:r>
        <w:rPr>
          <w:rFonts w:ascii="Arial" w:cs="Arial" w:eastAsia="Arial" w:hAnsi="Arial"/>
          <w:sz w:val="11"/>
          <w:szCs w:val="11"/>
          <w:i w:val="1"/>
          <w:iCs w:val="1"/>
          <w:color w:val="auto"/>
        </w:rPr>
        <w:t xml:space="preserve"> </w:t>
      </w:r>
      <w:r>
        <w:rPr>
          <w:rFonts w:ascii="Arial" w:cs="Arial" w:eastAsia="Arial" w:hAnsi="Arial"/>
          <w:sz w:val="11"/>
          <w:szCs w:val="11"/>
          <w:color w:val="auto"/>
        </w:rPr>
        <w:t>in the equipment margin, from 20.6% for the six months ended December 31, 2016 to 8.4% for the six months ended December 31, 2017 reflected our strategy of using equipment sales as an enabler for driving long-term, higher margin license and transaction fees. This decrease was partially offset by an increase in the license fee and transaction margin from 31.4% for the six months ended December 31, 2016 to 35.3% for the six months ended December 31, 2017 which was primarily driven by the impact of the Cantaloupe acquisition.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8" w:name="page29"/>
    <w:bookmarkEnd w:id="2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For the six months ended December 31,</w:t>
            </w: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323"/>
              <w:spacing w:after="0"/>
              <w:rPr>
                <w:sz w:val="20"/>
                <w:szCs w:val="20"/>
                <w:color w:val="auto"/>
              </w:rPr>
            </w:pPr>
            <w:r>
              <w:rPr>
                <w:rFonts w:ascii="Arial" w:cs="Arial" w:eastAsia="Arial" w:hAnsi="Arial"/>
                <w:sz w:val="10"/>
                <w:szCs w:val="10"/>
                <w:b w:val="1"/>
                <w:bCs w:val="1"/>
                <w:color w:val="auto"/>
              </w:rPr>
              <w:t>Percent</w:t>
            </w:r>
          </w:p>
        </w:tc>
      </w:tr>
      <w:tr>
        <w:trPr>
          <w:trHeight w:val="135"/>
        </w:trPr>
        <w:tc>
          <w:tcPr>
            <w:tcW w:w="4200" w:type="dxa"/>
            <w:vAlign w:val="bottom"/>
          </w:tcPr>
          <w:p>
            <w:pPr>
              <w:spacing w:after="0"/>
              <w:rPr>
                <w:sz w:val="20"/>
                <w:szCs w:val="20"/>
                <w:color w:val="auto"/>
              </w:rPr>
            </w:pPr>
            <w:r>
              <w:rPr>
                <w:rFonts w:ascii="Arial" w:cs="Arial" w:eastAsia="Arial" w:hAnsi="Arial"/>
                <w:sz w:val="10"/>
                <w:szCs w:val="10"/>
                <w:b w:val="1"/>
                <w:bCs w:val="1"/>
                <w:color w:val="auto"/>
              </w:rPr>
              <w:t>Category ($ in thousands)</w:t>
            </w:r>
          </w:p>
        </w:tc>
        <w:tc>
          <w:tcPr>
            <w:tcW w:w="960" w:type="dxa"/>
            <w:vAlign w:val="bottom"/>
            <w:gridSpan w:val="2"/>
          </w:tcPr>
          <w:p>
            <w:pPr>
              <w:jc w:val="right"/>
              <w:ind w:right="50"/>
              <w:spacing w:after="0"/>
              <w:rPr>
                <w:sz w:val="20"/>
                <w:szCs w:val="20"/>
                <w:color w:val="auto"/>
              </w:rPr>
            </w:pPr>
            <w:r>
              <w:rPr>
                <w:rFonts w:ascii="Arial" w:cs="Arial" w:eastAsia="Arial" w:hAnsi="Arial"/>
                <w:sz w:val="10"/>
                <w:szCs w:val="10"/>
                <w:b w:val="1"/>
                <w:bCs w:val="1"/>
                <w:color w:val="auto"/>
              </w:rPr>
              <w:t>2017</w:t>
            </w:r>
          </w:p>
        </w:tc>
        <w:tc>
          <w:tcPr>
            <w:tcW w:w="440" w:type="dxa"/>
            <w:vAlign w:val="bottom"/>
          </w:tcPr>
          <w:p>
            <w:pPr>
              <w:spacing w:after="0"/>
              <w:rPr>
                <w:sz w:val="11"/>
                <w:szCs w:val="11"/>
                <w:color w:val="auto"/>
              </w:rPr>
            </w:pPr>
          </w:p>
        </w:tc>
        <w:tc>
          <w:tcPr>
            <w:tcW w:w="960" w:type="dxa"/>
            <w:vAlign w:val="bottom"/>
            <w:gridSpan w:val="2"/>
          </w:tcPr>
          <w:p>
            <w:pPr>
              <w:jc w:val="right"/>
              <w:ind w:right="29"/>
              <w:spacing w:after="0"/>
              <w:rPr>
                <w:sz w:val="20"/>
                <w:szCs w:val="20"/>
                <w:color w:val="auto"/>
              </w:rPr>
            </w:pPr>
            <w:r>
              <w:rPr>
                <w:rFonts w:ascii="Arial" w:cs="Arial" w:eastAsia="Arial" w:hAnsi="Arial"/>
                <w:sz w:val="10"/>
                <w:szCs w:val="10"/>
                <w:b w:val="1"/>
                <w:bCs w:val="1"/>
                <w:color w:val="auto"/>
              </w:rPr>
              <w:t>2016</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323"/>
              <w:spacing w:after="0"/>
              <w:rPr>
                <w:sz w:val="20"/>
                <w:szCs w:val="20"/>
                <w:color w:val="auto"/>
              </w:rPr>
            </w:pPr>
            <w:r>
              <w:rPr>
                <w:rFonts w:ascii="Arial" w:cs="Arial" w:eastAsia="Arial" w:hAnsi="Arial"/>
                <w:sz w:val="10"/>
                <w:szCs w:val="10"/>
                <w:b w:val="1"/>
                <w:bCs w:val="1"/>
                <w:color w:val="auto"/>
              </w:rPr>
              <w:t>Change</w:t>
            </w:r>
          </w:p>
        </w:tc>
      </w:tr>
      <w:tr>
        <w:trPr>
          <w:trHeight w:val="135"/>
        </w:trPr>
        <w:tc>
          <w:tcPr>
            <w:tcW w:w="4200" w:type="dxa"/>
            <w:vAlign w:val="bottom"/>
            <w:tcBorders>
              <w:top w:val="single" w:sz="8" w:color="auto"/>
            </w:tcBorders>
            <w:shd w:val="clear" w:color="auto" w:fill="CCEEFF"/>
          </w:tcPr>
          <w:p>
            <w:pPr>
              <w:ind w:left="60"/>
              <w:spacing w:after="0" w:line="135" w:lineRule="exact"/>
              <w:rPr>
                <w:sz w:val="20"/>
                <w:szCs w:val="20"/>
                <w:color w:val="auto"/>
              </w:rPr>
            </w:pPr>
            <w:r>
              <w:rPr>
                <w:rFonts w:ascii="Arial" w:cs="Arial" w:eastAsia="Arial" w:hAnsi="Arial"/>
                <w:sz w:val="12"/>
                <w:szCs w:val="12"/>
                <w:color w:val="auto"/>
              </w:rPr>
              <w:t>Selling, general and administrative expenses</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15,075</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12,593</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19.7%</w:t>
            </w:r>
          </w:p>
        </w:tc>
      </w:tr>
      <w:tr>
        <w:trPr>
          <w:trHeight w:val="155"/>
        </w:trPr>
        <w:tc>
          <w:tcPr>
            <w:tcW w:w="4200" w:type="dxa"/>
            <w:vAlign w:val="bottom"/>
          </w:tcPr>
          <w:p>
            <w:pPr>
              <w:ind w:left="60"/>
              <w:spacing w:after="0"/>
              <w:rPr>
                <w:sz w:val="20"/>
                <w:szCs w:val="20"/>
                <w:color w:val="auto"/>
              </w:rPr>
            </w:pPr>
            <w:r>
              <w:rPr>
                <w:rFonts w:ascii="Arial" w:cs="Arial" w:eastAsia="Arial" w:hAnsi="Arial"/>
                <w:sz w:val="12"/>
                <w:szCs w:val="12"/>
                <w:color w:val="auto"/>
              </w:rPr>
              <w:t>Integration and acquisition costs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4,097</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3,658.7%</w:t>
            </w:r>
          </w:p>
        </w:tc>
      </w:tr>
      <w:tr>
        <w:trPr>
          <w:trHeight w:val="155"/>
        </w:trPr>
        <w:tc>
          <w:tcPr>
            <w:tcW w:w="4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Depreciation and amortization</w:t>
            </w:r>
          </w:p>
        </w:tc>
        <w:tc>
          <w:tcPr>
            <w:tcW w:w="1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1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w:t>
            </w:r>
          </w:p>
        </w:tc>
        <w:tc>
          <w:tcPr>
            <w:tcW w:w="12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90.7%</w:t>
            </w:r>
          </w:p>
        </w:tc>
      </w:tr>
      <w:tr>
        <w:trPr>
          <w:trHeight w:val="135"/>
        </w:trPr>
        <w:tc>
          <w:tcPr>
            <w:tcW w:w="4200" w:type="dxa"/>
            <w:vAlign w:val="bottom"/>
          </w:tcPr>
          <w:p>
            <w:pPr>
              <w:ind w:left="140"/>
              <w:spacing w:after="0" w:line="135" w:lineRule="exact"/>
              <w:rPr>
                <w:sz w:val="20"/>
                <w:szCs w:val="20"/>
                <w:color w:val="auto"/>
              </w:rPr>
            </w:pPr>
            <w:r>
              <w:rPr>
                <w:rFonts w:ascii="Arial" w:cs="Arial" w:eastAsia="Arial" w:hAnsi="Arial"/>
                <w:sz w:val="12"/>
                <w:szCs w:val="12"/>
                <w:color w:val="auto"/>
              </w:rPr>
              <w:t>Total operating expenses</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20,154</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70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13,217</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52.5%</w:t>
            </w:r>
          </w:p>
        </w:tc>
      </w:tr>
    </w:tbl>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Selling</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and administrative expenses increased approximately $2.5 million for the six months ended December 31, 2017,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the same period in 2016. This change was primarily driven by an increase in selling, general and administrative costs related to Cantaloupe as well as an increase in sales and marketing related consulting expenses as we continue to increase our market share in the cashless-transaction vending industry.</w:t>
      </w:r>
    </w:p>
    <w:p>
      <w:pPr>
        <w:spacing w:after="0" w:line="123"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i w:val="1"/>
          <w:iCs w:val="1"/>
          <w:color w:val="auto"/>
        </w:rPr>
        <w:t>Integration and acquisition costs</w:t>
      </w:r>
      <w:r>
        <w:rPr>
          <w:rFonts w:ascii="Arial" w:cs="Arial" w:eastAsia="Arial" w:hAnsi="Arial"/>
          <w:sz w:val="12"/>
          <w:szCs w:val="12"/>
          <w:color w:val="auto"/>
        </w:rPr>
        <w:t>. Integration and acquisition costs increased $4.0 million for the six months ended December 31, 2017 as compared to the same period in 2016, due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$4.1 million incurred in connection with the acquisition of Cantaloupe, partially offset by $0.1 million of acquisition costs incurred in the same period of fiscal year 2017 pertaining to the acquisition of VendScreen.</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Depreciation and amortization expenses increased approximately $0.5 million for the six months ended December 31, 2017 primarily due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amortization of intangible assets recognized in connection with the Cantaloupe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4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0"/>
                <w:szCs w:val="10"/>
                <w:b w:val="1"/>
                <w:bCs w:val="1"/>
                <w:color w:val="auto"/>
              </w:rPr>
              <w:t>For the six months ended December 31,</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243"/>
              <w:spacing w:after="0"/>
              <w:rPr>
                <w:sz w:val="20"/>
                <w:szCs w:val="20"/>
                <w:color w:val="auto"/>
              </w:rPr>
            </w:pPr>
            <w:r>
              <w:rPr>
                <w:rFonts w:ascii="Arial" w:cs="Arial" w:eastAsia="Arial" w:hAnsi="Arial"/>
                <w:sz w:val="10"/>
                <w:szCs w:val="10"/>
                <w:b w:val="1"/>
                <w:bCs w:val="1"/>
                <w:color w:val="auto"/>
              </w:rPr>
              <w:t>Percent</w:t>
            </w:r>
          </w:p>
        </w:tc>
      </w:tr>
      <w:tr>
        <w:trPr>
          <w:trHeight w:val="135"/>
        </w:trPr>
        <w:tc>
          <w:tcPr>
            <w:tcW w:w="358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300" w:type="dxa"/>
            <w:vAlign w:val="bottom"/>
            <w:gridSpan w:val="2"/>
          </w:tcPr>
          <w:p>
            <w:pPr>
              <w:jc w:val="right"/>
              <w:ind w:right="170"/>
              <w:spacing w:after="0"/>
              <w:rPr>
                <w:sz w:val="20"/>
                <w:szCs w:val="20"/>
                <w:color w:val="auto"/>
              </w:rPr>
            </w:pPr>
            <w:r>
              <w:rPr>
                <w:rFonts w:ascii="Arial" w:cs="Arial" w:eastAsia="Arial" w:hAnsi="Arial"/>
                <w:sz w:val="10"/>
                <w:szCs w:val="10"/>
                <w:b w:val="1"/>
                <w:bCs w:val="1"/>
                <w:color w:val="auto"/>
              </w:rPr>
              <w:t>2017</w:t>
            </w:r>
          </w:p>
        </w:tc>
        <w:tc>
          <w:tcPr>
            <w:tcW w:w="480" w:type="dxa"/>
            <w:vAlign w:val="bottom"/>
          </w:tcPr>
          <w:p>
            <w:pPr>
              <w:spacing w:after="0"/>
              <w:rPr>
                <w:sz w:val="11"/>
                <w:szCs w:val="11"/>
                <w:color w:val="auto"/>
              </w:rPr>
            </w:pPr>
          </w:p>
        </w:tc>
        <w:tc>
          <w:tcPr>
            <w:tcW w:w="124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rPr>
              <w:t>2016</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43"/>
              <w:spacing w:after="0"/>
              <w:rPr>
                <w:sz w:val="20"/>
                <w:szCs w:val="20"/>
                <w:color w:val="auto"/>
              </w:rPr>
            </w:pPr>
            <w:r>
              <w:rPr>
                <w:rFonts w:ascii="Arial" w:cs="Arial" w:eastAsia="Arial" w:hAnsi="Arial"/>
                <w:sz w:val="10"/>
                <w:szCs w:val="10"/>
                <w:b w:val="1"/>
                <w:bCs w:val="1"/>
                <w:color w:val="auto"/>
              </w:rPr>
              <w:t>Change</w:t>
            </w:r>
          </w:p>
        </w:tc>
      </w:tr>
      <w:tr>
        <w:trPr>
          <w:trHeight w:val="135"/>
        </w:trPr>
        <w:tc>
          <w:tcPr>
            <w:tcW w:w="35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Other income (expense):</w:t>
            </w:r>
          </w:p>
        </w:tc>
        <w:tc>
          <w:tcPr>
            <w:tcW w:w="1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r>
      <w:tr>
        <w:trPr>
          <w:trHeight w:val="146"/>
        </w:trPr>
        <w:tc>
          <w:tcPr>
            <w:tcW w:w="3580" w:type="dxa"/>
            <w:vAlign w:val="bottom"/>
          </w:tcPr>
          <w:p>
            <w:pPr>
              <w:ind w:left="60"/>
              <w:spacing w:after="0"/>
              <w:rPr>
                <w:sz w:val="20"/>
                <w:szCs w:val="20"/>
                <w:color w:val="auto"/>
              </w:rPr>
            </w:pPr>
            <w:r>
              <w:rPr>
                <w:rFonts w:ascii="Arial" w:cs="Arial" w:eastAsia="Arial" w:hAnsi="Arial"/>
                <w:sz w:val="12"/>
                <w:szCs w:val="12"/>
                <w:color w:val="auto"/>
              </w:rPr>
              <w:t>Interest income</w:t>
            </w:r>
          </w:p>
        </w:tc>
        <w:tc>
          <w:tcPr>
            <w:tcW w:w="1300" w:type="dxa"/>
            <w:vAlign w:val="bottom"/>
            <w:gridSpan w:val="2"/>
          </w:tcPr>
          <w:p>
            <w:pPr>
              <w:jc w:val="right"/>
              <w:ind w:right="101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331</w:t>
            </w:r>
          </w:p>
        </w:tc>
        <w:tc>
          <w:tcPr>
            <w:tcW w:w="1240" w:type="dxa"/>
            <w:vAlign w:val="bottom"/>
            <w:gridSpan w:val="2"/>
          </w:tcPr>
          <w:p>
            <w:pPr>
              <w:jc w:val="right"/>
              <w:ind w:right="949"/>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273</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21.2%</w:t>
            </w:r>
          </w:p>
        </w:tc>
      </w:tr>
      <w:tr>
        <w:trPr>
          <w:trHeight w:val="146"/>
        </w:trPr>
        <w:tc>
          <w:tcPr>
            <w:tcW w:w="3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w:t>
            </w:r>
          </w:p>
        </w:tc>
      </w:tr>
      <w:tr>
        <w:trPr>
          <w:trHeight w:val="146"/>
        </w:trPr>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Change in fair value of warrant liabilities</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(1,490)</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r>
      <w:tr>
        <w:trPr>
          <w:trHeight w:val="135"/>
        </w:trPr>
        <w:tc>
          <w:tcPr>
            <w:tcW w:w="35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Total other expense, net</w:t>
            </w:r>
          </w:p>
        </w:tc>
        <w:tc>
          <w:tcPr>
            <w:tcW w:w="18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(372)</w:t>
            </w: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(1,630)</w:t>
            </w: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(77.2%)</w:t>
            </w:r>
          </w:p>
        </w:tc>
      </w:tr>
    </w:tbl>
    <w:p>
      <w:pPr>
        <w:spacing w:after="0" w:line="13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i w:val="1"/>
          <w:iCs w:val="1"/>
          <w:color w:val="auto"/>
        </w:rPr>
        <w:t>Other expense, net</w:t>
      </w:r>
      <w:r>
        <w:rPr>
          <w:rFonts w:ascii="Arial" w:cs="Arial" w:eastAsia="Arial" w:hAnsi="Arial"/>
          <w:sz w:val="12"/>
          <w:szCs w:val="12"/>
          <w:color w:val="auto"/>
        </w:rPr>
        <w:t>. Other expense, net decreased $1.3 million for the six months ended December 31, 2017 compared to the same period in 2016. The decrease was primarily driven by</w:t>
      </w:r>
      <w:r>
        <w:rPr>
          <w:rFonts w:ascii="Arial" w:cs="Arial" w:eastAsia="Arial" w:hAnsi="Arial"/>
          <w:sz w:val="12"/>
          <w:szCs w:val="12"/>
          <w:i w:val="1"/>
          <w:iCs w:val="1"/>
          <w:color w:val="auto"/>
        </w:rPr>
        <w:t xml:space="preserve"> </w:t>
      </w:r>
      <w:r>
        <w:rPr>
          <w:rFonts w:ascii="Arial" w:cs="Arial" w:eastAsia="Arial" w:hAnsi="Arial"/>
          <w:sz w:val="12"/>
          <w:szCs w:val="12"/>
          <w:color w:val="auto"/>
        </w:rPr>
        <w:t>the change in fair value associated with the exercised warrants recognized during September 2016.</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rPr>
              <w:t>For the six months ended December 31,</w:t>
            </w: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ind w:left="340"/>
              <w:spacing w:after="0"/>
              <w:rPr>
                <w:sz w:val="20"/>
                <w:szCs w:val="20"/>
                <w:color w:val="auto"/>
              </w:rPr>
            </w:pPr>
            <w:r>
              <w:rPr>
                <w:rFonts w:ascii="Arial" w:cs="Arial" w:eastAsia="Arial" w:hAnsi="Arial"/>
                <w:sz w:val="10"/>
                <w:szCs w:val="10"/>
                <w:b w:val="1"/>
                <w:bCs w:val="1"/>
                <w:color w:val="auto"/>
              </w:rPr>
              <w:t>Percent</w:t>
            </w:r>
          </w:p>
        </w:tc>
      </w:tr>
      <w:tr>
        <w:trPr>
          <w:trHeight w:val="135"/>
        </w:trPr>
        <w:tc>
          <w:tcPr>
            <w:tcW w:w="384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100" w:type="dxa"/>
            <w:vAlign w:val="bottom"/>
            <w:gridSpan w:val="2"/>
          </w:tcPr>
          <w:p>
            <w:pPr>
              <w:jc w:val="right"/>
              <w:ind w:right="90"/>
              <w:spacing w:after="0"/>
              <w:rPr>
                <w:sz w:val="20"/>
                <w:szCs w:val="20"/>
                <w:color w:val="auto"/>
              </w:rPr>
            </w:pPr>
            <w:r>
              <w:rPr>
                <w:rFonts w:ascii="Arial" w:cs="Arial" w:eastAsia="Arial" w:hAnsi="Arial"/>
                <w:sz w:val="10"/>
                <w:szCs w:val="10"/>
                <w:b w:val="1"/>
                <w:bCs w:val="1"/>
                <w:color w:val="auto"/>
              </w:rPr>
              <w:t>2017</w:t>
            </w:r>
          </w:p>
        </w:tc>
        <w:tc>
          <w:tcPr>
            <w:tcW w:w="500" w:type="dxa"/>
            <w:vAlign w:val="bottom"/>
          </w:tcPr>
          <w:p>
            <w:pPr>
              <w:spacing w:after="0"/>
              <w:rPr>
                <w:sz w:val="11"/>
                <w:szCs w:val="11"/>
                <w:color w:val="auto"/>
              </w:rPr>
            </w:pPr>
          </w:p>
        </w:tc>
        <w:tc>
          <w:tcPr>
            <w:tcW w:w="1160" w:type="dxa"/>
            <w:vAlign w:val="bottom"/>
            <w:gridSpan w:val="2"/>
          </w:tcPr>
          <w:p>
            <w:pPr>
              <w:jc w:val="right"/>
              <w:ind w:right="149"/>
              <w:spacing w:after="0"/>
              <w:rPr>
                <w:sz w:val="20"/>
                <w:szCs w:val="20"/>
                <w:color w:val="auto"/>
              </w:rPr>
            </w:pPr>
            <w:r>
              <w:rPr>
                <w:rFonts w:ascii="Arial" w:cs="Arial" w:eastAsia="Arial" w:hAnsi="Arial"/>
                <w:sz w:val="10"/>
                <w:szCs w:val="10"/>
                <w:b w:val="1"/>
                <w:bCs w:val="1"/>
                <w:color w:val="auto"/>
              </w:rPr>
              <w:t>2016</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ind w:left="340"/>
              <w:spacing w:after="0"/>
              <w:rPr>
                <w:sz w:val="20"/>
                <w:szCs w:val="20"/>
                <w:color w:val="auto"/>
              </w:rPr>
            </w:pPr>
            <w:r>
              <w:rPr>
                <w:rFonts w:ascii="Arial" w:cs="Arial" w:eastAsia="Arial" w:hAnsi="Arial"/>
                <w:sz w:val="10"/>
                <w:szCs w:val="10"/>
                <w:b w:val="1"/>
                <w:bCs w:val="1"/>
                <w:color w:val="auto"/>
              </w:rPr>
              <w:t>Change</w:t>
            </w:r>
          </w:p>
        </w:tc>
      </w:tr>
      <w:tr>
        <w:trPr>
          <w:trHeight w:val="135"/>
        </w:trPr>
        <w:tc>
          <w:tcPr>
            <w:tcW w:w="38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(Provision) benefit for income taxes</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(8,605)</w:t>
            </w:r>
          </w:p>
        </w:tc>
        <w:tc>
          <w:tcPr>
            <w:tcW w:w="1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115</w:t>
            </w:r>
          </w:p>
        </w:tc>
        <w:tc>
          <w:tcPr>
            <w:tcW w:w="1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(7,583)%</w:t>
            </w:r>
          </w:p>
        </w:tc>
      </w:tr>
    </w:tbl>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Income taxes</w:t>
      </w:r>
      <w:r>
        <w:rPr>
          <w:rFonts w:ascii="Arial" w:cs="Arial" w:eastAsia="Arial" w:hAnsi="Arial"/>
          <w:sz w:val="12"/>
          <w:szCs w:val="12"/>
          <w:color w:val="auto"/>
        </w:rPr>
        <w:t>. For the six months ended December 31, 2017, an income tax provision of $8,605 thousand (substantially all deferred income taxes) was recorded which includes a charge</w:t>
      </w:r>
      <w:r>
        <w:rPr>
          <w:rFonts w:ascii="Arial" w:cs="Arial" w:eastAsia="Arial" w:hAnsi="Arial"/>
          <w:sz w:val="12"/>
          <w:szCs w:val="12"/>
          <w:i w:val="1"/>
          <w:iCs w:val="1"/>
          <w:color w:val="auto"/>
        </w:rPr>
        <w:t xml:space="preserve"> </w:t>
      </w:r>
      <w:r>
        <w:rPr>
          <w:rFonts w:ascii="Arial" w:cs="Arial" w:eastAsia="Arial" w:hAnsi="Arial"/>
          <w:sz w:val="12"/>
          <w:szCs w:val="12"/>
          <w:color w:val="auto"/>
        </w:rPr>
        <w:t>of $6,592 thousand related to tax reform. The tax provision is based upon income (loss) before income taxes using an estimated negative annual effective income tax rate of 49.20%, which is primarily driven by the impact of permanent differences. The tax rate reduction related to tax reform was treated as a discrete item in the tax provision for the six months ended December 31, 2017.</w:t>
      </w:r>
    </w:p>
    <w:p>
      <w:pPr>
        <w:spacing w:after="0" w:line="125"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color w:val="auto"/>
        </w:rPr>
        <w:t>For the six months ended December 31, 2016, an income tax benefit of $115 thousand (substantially all deferred income taxes) was recorded based upon loss before benefit for income taxes using an estimated annual effective income tax rate of 30.0% for the fiscal year ending June 30, 2017 net of a provision for the tax effect of the change in the fair value of warrant liabilities which was treated discretely.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9" w:name="page30"/>
    <w:bookmarkEnd w:id="2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Loss to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0"/>
                <w:szCs w:val="10"/>
                <w:b w:val="1"/>
                <w:bCs w:val="1"/>
                <w:color w:val="auto"/>
                <w:w w:val="96"/>
              </w:rPr>
              <w:t>For the six months ended December 31,</w:t>
            </w:r>
          </w:p>
        </w:tc>
        <w:tc>
          <w:tcPr>
            <w:tcW w:w="0" w:type="dxa"/>
            <w:vAlign w:val="bottom"/>
          </w:tcPr>
          <w:p>
            <w:pPr>
              <w:spacing w:after="0"/>
              <w:rPr>
                <w:sz w:val="1"/>
                <w:szCs w:val="1"/>
                <w:color w:val="auto"/>
              </w:rPr>
            </w:pPr>
          </w:p>
        </w:tc>
      </w:tr>
      <w:tr>
        <w:trPr>
          <w:trHeight w:val="89"/>
        </w:trPr>
        <w:tc>
          <w:tcPr>
            <w:tcW w:w="54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2"/>
              <w:spacing w:after="0" w:line="90" w:lineRule="exact"/>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1"/>
              <w:spacing w:after="0" w:line="90"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(12,729)</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(2,231)</w:t>
            </w:r>
          </w:p>
        </w:tc>
        <w:tc>
          <w:tcPr>
            <w:tcW w:w="0" w:type="dxa"/>
            <w:vAlign w:val="bottom"/>
          </w:tcPr>
          <w:p>
            <w:pPr>
              <w:spacing w:after="0"/>
              <w:rPr>
                <w:sz w:val="1"/>
                <w:szCs w:val="1"/>
                <w:color w:val="auto"/>
              </w:rPr>
            </w:pPr>
          </w:p>
        </w:tc>
      </w:tr>
      <w:tr>
        <w:trPr>
          <w:trHeight w:val="146"/>
        </w:trPr>
        <w:tc>
          <w:tcPr>
            <w:tcW w:w="5400" w:type="dxa"/>
            <w:vAlign w:val="bottom"/>
          </w:tcPr>
          <w:p>
            <w:pPr>
              <w:ind w:left="60"/>
              <w:spacing w:after="0"/>
              <w:rPr>
                <w:sz w:val="20"/>
                <w:szCs w:val="20"/>
                <w:color w:val="auto"/>
              </w:rPr>
            </w:pPr>
            <w:r>
              <w:rPr>
                <w:rFonts w:ascii="Arial" w:cs="Arial" w:eastAsia="Arial" w:hAnsi="Arial"/>
                <w:sz w:val="12"/>
                <w:szCs w:val="12"/>
                <w:color w:val="auto"/>
              </w:rPr>
              <w:t>Less interest income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interest expense</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46"/>
        </w:trPr>
        <w:tc>
          <w:tcPr>
            <w:tcW w:w="5400" w:type="dxa"/>
            <w:vAlign w:val="bottom"/>
          </w:tcPr>
          <w:p>
            <w:pPr>
              <w:ind w:left="60"/>
              <w:spacing w:after="0"/>
              <w:rPr>
                <w:sz w:val="20"/>
                <w:szCs w:val="20"/>
                <w:color w:val="auto"/>
              </w:rPr>
            </w:pPr>
            <w:r>
              <w:rPr>
                <w:rFonts w:ascii="Arial" w:cs="Arial" w:eastAsia="Arial" w:hAnsi="Arial"/>
                <w:sz w:val="12"/>
                <w:szCs w:val="12"/>
                <w:color w:val="auto"/>
              </w:rPr>
              <w:t>Plus income tax provision (benefit)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8,605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depreciation expense</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2,477</w:t>
            </w:r>
          </w:p>
        </w:tc>
        <w:tc>
          <w:tcPr>
            <w:tcW w:w="0" w:type="dxa"/>
            <w:vAlign w:val="bottom"/>
          </w:tcPr>
          <w:p>
            <w:pPr>
              <w:spacing w:after="0"/>
              <w:rPr>
                <w:sz w:val="1"/>
                <w:szCs w:val="1"/>
                <w:color w:val="auto"/>
              </w:rPr>
            </w:pPr>
          </w:p>
        </w:tc>
      </w:tr>
      <w:tr>
        <w:trPr>
          <w:trHeight w:val="146"/>
        </w:trPr>
        <w:tc>
          <w:tcPr>
            <w:tcW w:w="540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Plus amortization expense</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EBITDA</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(276)</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358</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loss on fair value of warrant liabilities</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46"/>
        </w:trPr>
        <w:tc>
          <w:tcPr>
            <w:tcW w:w="5400" w:type="dxa"/>
            <w:vAlign w:val="bottom"/>
          </w:tcPr>
          <w:p>
            <w:pPr>
              <w:ind w:left="60"/>
              <w:spacing w:after="0"/>
              <w:rPr>
                <w:sz w:val="20"/>
                <w:szCs w:val="20"/>
                <w:color w:val="auto"/>
              </w:rPr>
            </w:pPr>
            <w:r>
              <w:rPr>
                <w:rFonts w:ascii="Arial" w:cs="Arial" w:eastAsia="Arial" w:hAnsi="Arial"/>
                <w:sz w:val="12"/>
                <w:szCs w:val="12"/>
                <w:color w:val="auto"/>
              </w:rPr>
              <w:t>Plus stock-based compensation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1,356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litigation related professional fees</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6"/>
        </w:trPr>
        <w:tc>
          <w:tcPr>
            <w:tcW w:w="540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Plus integration and acquisition costs and inventory step-up</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Adjustments to EBITDA</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5,476</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2,077</w:t>
            </w:r>
          </w:p>
        </w:tc>
        <w:tc>
          <w:tcPr>
            <w:tcW w:w="0" w:type="dxa"/>
            <w:vAlign w:val="bottom"/>
          </w:tcPr>
          <w:p>
            <w:pPr>
              <w:spacing w:after="0"/>
              <w:rPr>
                <w:sz w:val="1"/>
                <w:szCs w:val="1"/>
                <w:color w:val="auto"/>
              </w:rPr>
            </w:pPr>
          </w:p>
        </w:tc>
      </w:tr>
      <w:tr>
        <w:trPr>
          <w:trHeight w:val="135"/>
        </w:trPr>
        <w:tc>
          <w:tcPr>
            <w:tcW w:w="5400" w:type="dxa"/>
            <w:vAlign w:val="bottom"/>
          </w:tcPr>
          <w:p>
            <w:pPr>
              <w:spacing w:after="0" w:line="135" w:lineRule="exact"/>
              <w:rPr>
                <w:sz w:val="20"/>
                <w:szCs w:val="20"/>
                <w:color w:val="auto"/>
              </w:rPr>
            </w:pPr>
            <w:r>
              <w:rPr>
                <w:rFonts w:ascii="Arial" w:cs="Arial" w:eastAsia="Arial" w:hAnsi="Arial"/>
                <w:sz w:val="12"/>
                <w:szCs w:val="12"/>
                <w:color w:val="auto"/>
              </w:rPr>
              <w:t>Adjusted EBITDA</w:t>
            </w:r>
          </w:p>
        </w:tc>
        <w:tc>
          <w:tcPr>
            <w:tcW w:w="220" w:type="dxa"/>
            <w:vAlign w:val="bottom"/>
          </w:tcPr>
          <w:p>
            <w:pPr>
              <w:spacing w:after="0"/>
              <w:rPr>
                <w:sz w:val="11"/>
                <w:szCs w:val="11"/>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5,200</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95"/>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2,435</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As used herein, Adjusted EBITDA represents net loss before interest income, interest expense, income tax provision (benefit), depreciation, amortization, change in fair value of warrant liabilities, stock-based compensation expense, and non-recurring integration and acquisition-related costs that were incurred in connection with the acquisition of Cantaloupe, including a charge for inventory fair value step-up, in the current fiscal year and the acquisition of the VendScreen business the previous fiscal year.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integration and acquisition expenses incurred in connection with the Cantaloupe acquisition, including a charge for inventory fair value step-up, during the current fiscal year and the VendScreen transaction from the previous fiscal year in order to allow for a more accurate comparison of the financial results to historical operations, as they pertain to period operational expenses that are not a core function of our business.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Operating Loss to Adjusted Operating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0"/>
                <w:szCs w:val="10"/>
                <w:b w:val="1"/>
                <w:bCs w:val="1"/>
                <w:color w:val="auto"/>
              </w:rPr>
              <w:t>Six months ended December 31,</w:t>
            </w: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58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jc w:val="right"/>
              <w:ind w:right="663"/>
              <w:spacing w:after="0" w:line="90" w:lineRule="exact"/>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662"/>
              <w:spacing w:after="0" w:line="90" w:lineRule="exact"/>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35"/>
        </w:trPr>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Operating loss</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(3,752)</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35"/>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6"/>
        </w:trPr>
        <w:tc>
          <w:tcPr>
            <w:tcW w:w="4580" w:type="dxa"/>
            <w:vAlign w:val="bottom"/>
          </w:tcPr>
          <w:p>
            <w:pPr>
              <w:ind w:left="60"/>
              <w:spacing w:after="0"/>
              <w:rPr>
                <w:sz w:val="20"/>
                <w:szCs w:val="20"/>
                <w:color w:val="auto"/>
              </w:rPr>
            </w:pPr>
            <w:r>
              <w:rPr>
                <w:rFonts w:ascii="Arial" w:cs="Arial" w:eastAsia="Arial" w:hAnsi="Arial"/>
                <w:sz w:val="12"/>
                <w:szCs w:val="12"/>
                <w:color w:val="auto"/>
              </w:rPr>
              <w:t>Plus integration and acquisition costs and inventory step-up</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4,120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6"/>
        </w:trPr>
        <w:tc>
          <w:tcPr>
            <w:tcW w:w="4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Plus amortization expense</w:t>
            </w:r>
          </w:p>
        </w:tc>
        <w:tc>
          <w:tcPr>
            <w:tcW w:w="1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35"/>
        </w:trPr>
        <w:tc>
          <w:tcPr>
            <w:tcW w:w="4580" w:type="dxa"/>
            <w:vAlign w:val="bottom"/>
          </w:tcPr>
          <w:p>
            <w:pPr>
              <w:spacing w:after="0" w:line="135" w:lineRule="exact"/>
              <w:rPr>
                <w:sz w:val="20"/>
                <w:szCs w:val="20"/>
                <w:color w:val="auto"/>
              </w:rPr>
            </w:pPr>
            <w:r>
              <w:rPr>
                <w:rFonts w:ascii="Arial" w:cs="Arial" w:eastAsia="Arial" w:hAnsi="Arial"/>
                <w:sz w:val="12"/>
                <w:szCs w:val="12"/>
                <w:color w:val="auto"/>
              </w:rPr>
              <w:t>Adjusted operating income (loss)</w:t>
            </w:r>
          </w:p>
        </w:tc>
        <w:tc>
          <w:tcPr>
            <w:tcW w:w="180" w:type="dxa"/>
            <w:vAlign w:val="bottom"/>
          </w:tcPr>
          <w:p>
            <w:pPr>
              <w:spacing w:after="0"/>
              <w:rPr>
                <w:sz w:val="11"/>
                <w:szCs w:val="11"/>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884</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35"/>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i w:val="1"/>
          <w:iCs w:val="1"/>
          <w:color w:val="auto"/>
        </w:rPr>
        <w:t>As used herein, adjusted operating loss represents operating loss before the non-recurring integration and acquisition costs and expenses incurred in connection with the acquisition of Cantaloupe, including a charge for inventory fair value step-up, and VendScreen transaction, and the amortization expenses related to our acquisition-related intangibles. We have excluded these non-recurring costs and expenses in order to allow for a more accurate comparison of the financial results to historical operations and we believe such a comparison is useful to investors as a measure of comparative operating performance. This is the first financial period for which we have adjusted for the amortization expenses related to our acquisition-related intangibles, and we intend to make such adjustments for future financial periods.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5485" cy="11430"/>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0" w:name="page31"/>
    <w:bookmarkEnd w:id="3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Loss to Non-GAAP Net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0"/>
                <w:szCs w:val="10"/>
                <w:b w:val="1"/>
                <w:bCs w:val="1"/>
                <w:color w:val="auto"/>
              </w:rPr>
              <w:t>Six months ended December 31,</w:t>
            </w: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80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jc w:val="right"/>
              <w:ind w:right="622"/>
              <w:spacing w:after="0" w:line="90"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jc w:val="right"/>
              <w:ind w:right="601"/>
              <w:spacing w:after="0" w:line="90" w:lineRule="exact"/>
              <w:rPr>
                <w:sz w:val="20"/>
                <w:szCs w:val="20"/>
                <w:color w:val="auto"/>
              </w:rPr>
            </w:pPr>
            <w:r>
              <w:rPr>
                <w:rFonts w:ascii="Arial" w:cs="Arial" w:eastAsia="Arial" w:hAnsi="Arial"/>
                <w:sz w:val="10"/>
                <w:szCs w:val="10"/>
                <w:b w:val="1"/>
                <w:bCs w:val="1"/>
                <w:color w:val="auto"/>
                <w:w w:val="98"/>
              </w:rPr>
              <w:t>2016</w:t>
            </w:r>
          </w:p>
        </w:tc>
        <w:tc>
          <w:tcPr>
            <w:tcW w:w="0" w:type="dxa"/>
            <w:vAlign w:val="bottom"/>
          </w:tcPr>
          <w:p>
            <w:pPr>
              <w:spacing w:after="0"/>
              <w:rPr>
                <w:sz w:val="1"/>
                <w:szCs w:val="1"/>
                <w:color w:val="auto"/>
              </w:rPr>
            </w:pPr>
          </w:p>
        </w:tc>
      </w:tr>
      <w:tr>
        <w:trPr>
          <w:trHeight w:val="135"/>
        </w:trPr>
        <w:tc>
          <w:tcPr>
            <w:tcW w:w="4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(12,729)</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35"/>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2"/>
                <w:szCs w:val="12"/>
                <w:color w:val="auto"/>
              </w:rPr>
              <w:t>Non-GAAP adjustments: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Non-cash portion of income tax benefit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6"/>
        </w:trPr>
        <w:tc>
          <w:tcPr>
            <w:tcW w:w="4800" w:type="dxa"/>
            <w:vAlign w:val="bottom"/>
          </w:tcPr>
          <w:p>
            <w:pPr>
              <w:ind w:left="60"/>
              <w:spacing w:after="0"/>
              <w:rPr>
                <w:sz w:val="20"/>
                <w:szCs w:val="20"/>
                <w:color w:val="auto"/>
              </w:rPr>
            </w:pPr>
            <w:r>
              <w:rPr>
                <w:rFonts w:ascii="Arial" w:cs="Arial" w:eastAsia="Arial" w:hAnsi="Arial"/>
                <w:sz w:val="12"/>
                <w:szCs w:val="12"/>
                <w:color w:val="auto"/>
              </w:rPr>
              <w:t>Fair value of warrant adjustment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Amortization expense</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6"/>
        </w:trPr>
        <w:tc>
          <w:tcPr>
            <w:tcW w:w="4800" w:type="dxa"/>
            <w:vAlign w:val="bottom"/>
          </w:tcPr>
          <w:p>
            <w:pPr>
              <w:ind w:left="6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1,356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Litigation related professional fees</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6"/>
        </w:trPr>
        <w:tc>
          <w:tcPr>
            <w:tcW w:w="480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Integration and acquisition-related costs</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4,175</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35"/>
        </w:trPr>
        <w:tc>
          <w:tcPr>
            <w:tcW w:w="48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Non-GAAP net income (loss)</w:t>
            </w: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1,923</w:t>
            </w:r>
          </w:p>
        </w:tc>
        <w:tc>
          <w:tcPr>
            <w:tcW w:w="1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i w:val="1"/>
          <w:iCs w:val="1"/>
          <w:color w:val="auto"/>
        </w:rPr>
        <w:t>As used herein, non-GAAP net income (loss) represents GAAP net income (loss) excluding costs or benefits relating to any non-cash portions of the Company’s income tax benefit, adjustment for fair value of warrant liabilities, professional fees incurred in connection with the class action litigation and the special litigation committee investigation, and non-recurring costs and expenses that were incurred in connection with the acquisition and integration of Cantaloupe, including a charge for inventory fair value step-up and a write-off of deferred financing costs, during the current fiscal year and VendScreen during the prior fiscal year. This is the first financial period for which we have adjusted for the non-cash expenses attributable to equity awards under our equity incentive plans, and we intend to make such adjustments for future financial periods.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provided by or (used in) operating activities. Management recognizes that non-GAAP financial measures have limitations in that they do not reflect all of the items associated with the Company’s net loss as determined in accordance with GAAP, and are not a substitute for or a measure of the Company’s profitability or net earnings.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Cash provided by operating activities was $4.1 million for the six months ended December 31, 2017 compared to cash of $5.1 million used in the same period in 2016. The $9.3 million increase in cash provided by operating activities was primarily driven by a cash inflow of $5.8 million from the payment for finance receivables related to a significant order received by us during the fourth quarter of the prior fiscal year as well as a cash inflow of $10.8 million related to the timing of accounts payable and accrued expenses, partially offset by a $2.8 million increase in merchant receivables due to timing differences related to the remittance of credit card receipts, and a $3.1 million increase related to inventory due to purchases made to support the company’s anticipated future growth.</w:t>
      </w:r>
    </w:p>
    <w:p>
      <w:pPr>
        <w:spacing w:after="0" w:line="128"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Cash used in investing activities was $66.8 million for the six months ended December 31, 2017 compared to $1.9 million for the same period in 2016. The $64.9 million increase is primarily related to net cash consideration paid for the acquisition of Cantaloupe.</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Cash provided by financing activities was $65.3 million for the six months ended December 31, 2017 compared to $5.8 million for the same period in 2016. The $59.5 million increase was primarily due to the public offering which closed in July 2017 with net proceeds of $39.9 million as well as an increase of $35.0 million related to the Term Loan and Revolving Credit Facility, partially offset by $6.2 million in proceeds received from the exercise of the warrants during the six months ended September 30, 2016 and an increase in repayments of debt during the six months ended December 31, 2017 of $8.9 million.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1" w:name="page32"/>
    <w:bookmarkEnd w:id="3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 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Customers who utilize third party finance companies in connection with the QuickStart program improve our cash flow from operations, and our QuickStart program reduces cash flow needed for investing activities otherwise incurred by us for our JumpStart program.</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via JumpStart, which accounted for 65% of our gross connections in fiscal year 2014, to QuickStart and sales under normal trade receivable terms, which accounted for 89%, 91%, and 93% of our gross connections in fiscal years 2015, 2016, and 2017 respectively. JumpStart was approximately 1% of our gross new connections for the six months ended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continually seeking to expand its outside financing partners in order to accommodate expected growth.</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Sources of Cash</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The Company’s net working capital, which is defined as current assets less current liabilities, increased $7.3 million from $5.8 million as of June 30, 2017,  to $13.1 million as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2017. As of December 31, 2017, the Company’s primary sources of cash include:</w:t>
      </w:r>
    </w:p>
    <w:p>
      <w:pPr>
        <w:spacing w:after="0" w:line="145" w:lineRule="exact"/>
        <w:rPr>
          <w:sz w:val="20"/>
          <w:szCs w:val="20"/>
          <w:color w:val="auto"/>
        </w:rPr>
      </w:pPr>
    </w:p>
    <w:p>
      <w:pPr>
        <w:ind w:left="440" w:hanging="226"/>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Cash on hand of approximately $15.4 million;</w:t>
      </w:r>
    </w:p>
    <w:p>
      <w:pPr>
        <w:spacing w:after="0" w:line="153" w:lineRule="exact"/>
        <w:rPr>
          <w:rFonts w:ascii="Arial" w:cs="Arial" w:eastAsia="Arial" w:hAnsi="Arial"/>
          <w:sz w:val="12"/>
          <w:szCs w:val="12"/>
          <w:color w:val="auto"/>
        </w:rPr>
      </w:pPr>
    </w:p>
    <w:p>
      <w:pPr>
        <w:ind w:left="440" w:right="20" w:hanging="226"/>
        <w:spacing w:after="0" w:line="282"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$2.5 million available under the Revolving Credit Facility provided we continue to satisfy the various covenants set forth in the loan agreement, including the requirement to meet the minimum quarterly Total Leverage Ratio and Fixed Charge Coverage Ratio;</w:t>
      </w:r>
    </w:p>
    <w:p>
      <w:pPr>
        <w:spacing w:after="0" w:line="113" w:lineRule="exact"/>
        <w:rPr>
          <w:rFonts w:ascii="Arial" w:cs="Arial" w:eastAsia="Arial" w:hAnsi="Arial"/>
          <w:sz w:val="12"/>
          <w:szCs w:val="12"/>
          <w:color w:val="auto"/>
        </w:rPr>
      </w:pPr>
    </w:p>
    <w:p>
      <w:pPr>
        <w:ind w:left="440" w:hanging="226"/>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Sales to third party lenders of all or a portion of our $16.7 million of finance receivables which may occur in future quarters; and</w:t>
      </w:r>
    </w:p>
    <w:p>
      <w:pPr>
        <w:spacing w:after="0" w:line="153" w:lineRule="exact"/>
        <w:rPr>
          <w:rFonts w:ascii="Arial" w:cs="Arial" w:eastAsia="Arial" w:hAnsi="Arial"/>
          <w:sz w:val="12"/>
          <w:szCs w:val="12"/>
          <w:color w:val="auto"/>
        </w:rPr>
      </w:pPr>
    </w:p>
    <w:p>
      <w:pPr>
        <w:ind w:left="440" w:hanging="226"/>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Anticipated cash which may be provided by operating activities in future quarters.</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Company believes its existing cash and available cash resources described above, would provide sufficient capital resources to operate its anticipated business over the next twelve months.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There have been no significant changes to our market risk since June 30, 2017. For a discussion of our exposure to market risk, refer to Part II, Item 7A. “Quantitative and Qualitative Disclosures about Market Risk,” contained in our Annual Report on Form 10-K for the year ended June 30, 2017.</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7854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2" w:name="page33"/>
    <w:bookmarkEnd w:id="32"/>
    <w:p>
      <w:pPr>
        <w:ind w:left="5"/>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3"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Item 4. Controls and Procedures.</w:t>
      </w:r>
    </w:p>
    <w:p>
      <w:pPr>
        <w:spacing w:after="0" w:line="76" w:lineRule="exact"/>
        <w:rPr>
          <w:sz w:val="20"/>
          <w:szCs w:val="20"/>
          <w:color w:val="auto"/>
        </w:rPr>
      </w:pPr>
    </w:p>
    <w:p>
      <w:pPr>
        <w:ind w:left="5"/>
        <w:spacing w:after="0"/>
        <w:rPr>
          <w:sz w:val="20"/>
          <w:szCs w:val="20"/>
          <w:color w:val="auto"/>
        </w:rPr>
      </w:pPr>
      <w:r>
        <w:rPr>
          <w:rFonts w:ascii="Arial" w:cs="Arial" w:eastAsia="Arial" w:hAnsi="Arial"/>
          <w:sz w:val="12"/>
          <w:szCs w:val="12"/>
          <w:color w:val="auto"/>
        </w:rPr>
        <w:t>(a) Disclosure Controls and Procedures</w:t>
      </w:r>
    </w:p>
    <w:p>
      <w:pPr>
        <w:spacing w:after="0" w:line="63" w:lineRule="exact"/>
        <w:rPr>
          <w:sz w:val="20"/>
          <w:szCs w:val="20"/>
          <w:color w:val="auto"/>
        </w:rPr>
      </w:pPr>
    </w:p>
    <w:p>
      <w:pPr>
        <w:jc w:val="both"/>
        <w:ind w:left="5"/>
        <w:spacing w:after="0" w:line="287" w:lineRule="auto"/>
        <w:rPr>
          <w:sz w:val="20"/>
          <w:szCs w:val="20"/>
          <w:color w:val="auto"/>
        </w:rPr>
      </w:pPr>
      <w:r>
        <w:rPr>
          <w:rFonts w:ascii="Arial" w:cs="Arial" w:eastAsia="Arial" w:hAnsi="Arial"/>
          <w:sz w:val="11"/>
          <w:szCs w:val="11"/>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management, including our chief executive officer and chief financial officer, has concluded that our disclosure controls and procedures were effective as of the end of such period.</w:t>
      </w:r>
    </w:p>
    <w:p>
      <w:pPr>
        <w:spacing w:after="0" w:line="32" w:lineRule="exact"/>
        <w:rPr>
          <w:sz w:val="20"/>
          <w:szCs w:val="20"/>
          <w:color w:val="auto"/>
        </w:rPr>
      </w:pPr>
    </w:p>
    <w:p>
      <w:pPr>
        <w:ind w:left="5"/>
        <w:spacing w:after="0"/>
        <w:rPr>
          <w:sz w:val="20"/>
          <w:szCs w:val="20"/>
          <w:color w:val="auto"/>
        </w:rPr>
      </w:pPr>
      <w:r>
        <w:rPr>
          <w:rFonts w:ascii="Arial" w:cs="Arial" w:eastAsia="Arial" w:hAnsi="Arial"/>
          <w:sz w:val="12"/>
          <w:szCs w:val="12"/>
          <w:color w:val="auto"/>
        </w:rPr>
        <w:t>(b) Changes in Internal Control over Financial Reporting</w:t>
      </w:r>
    </w:p>
    <w:p>
      <w:pPr>
        <w:spacing w:after="0" w:line="154"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2"/>
          <w:szCs w:val="12"/>
          <w:color w:val="auto"/>
        </w:rPr>
        <w:t>There were no changes in our internal controls over financial reporting that occurred during the quarter ended December 31, 2017 that materially affected, or are reasonably likely to materially affect, our internal controls over financial reporting.</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Part II - Other Information</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Item 6. Exhibits</w:t>
      </w:r>
    </w:p>
    <w:p>
      <w:pPr>
        <w:spacing w:after="0" w:line="138" w:lineRule="exact"/>
        <w:rPr>
          <w:sz w:val="20"/>
          <w:szCs w:val="20"/>
          <w:color w:val="auto"/>
        </w:rPr>
      </w:pPr>
    </w:p>
    <w:tbl>
      <w:tblPr>
        <w:tblLayout w:type="fixed"/>
        <w:tblInd w:w="5" w:type="dxa"/>
        <w:tblCellMar>
          <w:top w:w="0" w:type="dxa"/>
          <w:left w:w="0" w:type="dxa"/>
          <w:bottom w:w="0" w:type="dxa"/>
          <w:right w:w="0" w:type="dxa"/>
        </w:tblCellMar>
      </w:tblPr>
      <w:tr>
        <w:trPr>
          <w:trHeight w:val="115"/>
        </w:trPr>
        <w:tc>
          <w:tcPr>
            <w:tcW w:w="122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1220" w:type="dxa"/>
            <w:vAlign w:val="bottom"/>
            <w:gridSpan w:val="2"/>
          </w:tcPr>
          <w:p>
            <w:pPr>
              <w:spacing w:after="0"/>
              <w:rPr>
                <w:sz w:val="20"/>
                <w:szCs w:val="20"/>
                <w:color w:val="auto"/>
              </w:rPr>
            </w:pPr>
            <w:r>
              <w:rPr>
                <w:rFonts w:ascii="Arial" w:cs="Arial" w:eastAsia="Arial" w:hAnsi="Arial"/>
                <w:sz w:val="10"/>
                <w:szCs w:val="10"/>
                <w:b w:val="1"/>
                <w:bCs w:val="1"/>
                <w:color w:val="auto"/>
              </w:rPr>
              <w:t>Number</w:t>
            </w:r>
          </w:p>
        </w:tc>
        <w:tc>
          <w:tcPr>
            <w:tcW w:w="7880" w:type="dxa"/>
            <w:vAlign w:val="bottom"/>
            <w:gridSpan w:val="10"/>
          </w:tcPr>
          <w:p>
            <w:pPr>
              <w:spacing w:after="0"/>
              <w:rPr>
                <w:sz w:val="20"/>
                <w:szCs w:val="20"/>
                <w:color w:val="auto"/>
              </w:rPr>
            </w:pPr>
            <w:r>
              <w:rPr>
                <w:rFonts w:ascii="Arial" w:cs="Arial" w:eastAsia="Arial" w:hAnsi="Arial"/>
                <w:sz w:val="10"/>
                <w:szCs w:val="10"/>
                <w:b w:val="1"/>
                <w:bCs w:val="1"/>
                <w:color w:val="auto"/>
              </w:rPr>
              <w:t>Description</w:t>
            </w:r>
          </w:p>
        </w:tc>
      </w:tr>
      <w:tr>
        <w:trPr>
          <w:trHeight w:val="254"/>
        </w:trPr>
        <w:tc>
          <w:tcPr>
            <w:tcW w:w="10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10.1</w:t>
            </w:r>
          </w:p>
        </w:tc>
        <w:tc>
          <w:tcPr>
            <w:tcW w:w="180" w:type="dxa"/>
            <w:vAlign w:val="bottom"/>
          </w:tcPr>
          <w:p>
            <w:pPr>
              <w:spacing w:after="0"/>
              <w:rPr>
                <w:sz w:val="22"/>
                <w:szCs w:val="22"/>
                <w:color w:val="auto"/>
              </w:rPr>
            </w:pPr>
          </w:p>
        </w:tc>
        <w:tc>
          <w:tcPr>
            <w:tcW w:w="7880" w:type="dxa"/>
            <w:vAlign w:val="bottom"/>
            <w:tcBorders>
              <w:top w:val="single" w:sz="8" w:color="auto"/>
            </w:tcBorders>
            <w:gridSpan w:val="10"/>
          </w:tcPr>
          <w:p>
            <w:pPr>
              <w:spacing w:after="0"/>
              <w:rPr>
                <w:rFonts w:ascii="Arial" w:cs="Arial" w:eastAsia="Arial" w:hAnsi="Arial"/>
                <w:sz w:val="12"/>
                <w:szCs w:val="12"/>
                <w:color w:val="0000EE"/>
                <w:w w:val="92"/>
              </w:rPr>
            </w:pPr>
            <w:hyperlink w:anchor="page35">
              <w:r>
                <w:rPr>
                  <w:rFonts w:ascii="Arial" w:cs="Arial" w:eastAsia="Arial" w:hAnsi="Arial"/>
                  <w:sz w:val="12"/>
                  <w:szCs w:val="12"/>
                  <w:color w:val="0000EE"/>
                  <w:w w:val="92"/>
                </w:rPr>
                <w:t>Visa Small Ticket Deployment and Incentive Agreement dated as of October 31, 2017 (Portions of this exhibit were redacted pursuant to a confidential treatment</w:t>
              </w:r>
            </w:hyperlink>
          </w:p>
        </w:tc>
      </w:tr>
      <w:tr>
        <w:trPr>
          <w:trHeight w:val="126"/>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40" w:type="dxa"/>
            <w:vAlign w:val="bottom"/>
            <w:tcBorders>
              <w:top w:val="single" w:sz="8" w:color="0000EE"/>
            </w:tcBorders>
            <w:gridSpan w:val="9"/>
          </w:tcPr>
          <w:p>
            <w:pPr>
              <w:spacing w:after="0" w:line="126" w:lineRule="exact"/>
              <w:rPr>
                <w:rFonts w:ascii="Arial" w:cs="Arial" w:eastAsia="Arial" w:hAnsi="Arial"/>
                <w:sz w:val="12"/>
                <w:szCs w:val="12"/>
                <w:color w:val="0000EE"/>
              </w:rPr>
            </w:pPr>
            <w:hyperlink w:anchor="page35">
              <w:r>
                <w:rPr>
                  <w:rFonts w:ascii="Arial" w:cs="Arial" w:eastAsia="Arial" w:hAnsi="Arial"/>
                  <w:sz w:val="12"/>
                  <w:szCs w:val="12"/>
                  <w:color w:val="0000EE"/>
                </w:rPr>
                <w:t>request).</w:t>
              </w:r>
            </w:hyperlink>
          </w:p>
        </w:tc>
        <w:tc>
          <w:tcPr>
            <w:tcW w:w="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10.2</w:t>
            </w:r>
          </w:p>
        </w:tc>
        <w:tc>
          <w:tcPr>
            <w:tcW w:w="180" w:type="dxa"/>
            <w:vAlign w:val="bottom"/>
          </w:tcPr>
          <w:p>
            <w:pPr>
              <w:spacing w:after="0"/>
              <w:rPr>
                <w:sz w:val="23"/>
                <w:szCs w:val="23"/>
                <w:color w:val="auto"/>
              </w:rPr>
            </w:pPr>
          </w:p>
        </w:tc>
        <w:tc>
          <w:tcPr>
            <w:tcW w:w="7880" w:type="dxa"/>
            <w:vAlign w:val="bottom"/>
            <w:tcBorders>
              <w:bottom w:val="single" w:sz="8" w:color="0000EE"/>
            </w:tcBorders>
            <w:gridSpan w:val="10"/>
          </w:tcPr>
          <w:p>
            <w:pPr>
              <w:spacing w:after="0"/>
              <w:rPr>
                <w:rFonts w:ascii="Arial" w:cs="Arial" w:eastAsia="Arial" w:hAnsi="Arial"/>
                <w:sz w:val="12"/>
                <w:szCs w:val="12"/>
                <w:color w:val="0000EE"/>
                <w:w w:val="91"/>
              </w:rPr>
            </w:pPr>
            <w:hyperlink w:anchor="page52">
              <w:r>
                <w:rPr>
                  <w:rFonts w:ascii="Arial" w:cs="Arial" w:eastAsia="Arial" w:hAnsi="Arial"/>
                  <w:sz w:val="12"/>
                  <w:szCs w:val="12"/>
                  <w:color w:val="0000EE"/>
                  <w:w w:val="91"/>
                </w:rPr>
                <w:t>Credit Agreement by and among the Company, its subsidiaries, and JPMorgan Chase Bank, N.A., dated November 9, 2017 (Portions of this exhibit were redacted</w:t>
              </w:r>
            </w:hyperlink>
          </w:p>
        </w:tc>
      </w:tr>
      <w:tr>
        <w:trPr>
          <w:trHeight w:val="126"/>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80" w:type="dxa"/>
            <w:vAlign w:val="bottom"/>
            <w:gridSpan w:val="10"/>
          </w:tcPr>
          <w:p>
            <w:pPr>
              <w:spacing w:after="0" w:line="126" w:lineRule="exact"/>
              <w:rPr>
                <w:rFonts w:ascii="Arial" w:cs="Arial" w:eastAsia="Arial" w:hAnsi="Arial"/>
                <w:sz w:val="12"/>
                <w:szCs w:val="12"/>
                <w:color w:val="0000EE"/>
              </w:rPr>
            </w:pPr>
            <w:hyperlink w:anchor="page52">
              <w:r>
                <w:rPr>
                  <w:rFonts w:ascii="Arial" w:cs="Arial" w:eastAsia="Arial" w:hAnsi="Arial"/>
                  <w:sz w:val="12"/>
                  <w:szCs w:val="12"/>
                  <w:color w:val="0000EE"/>
                </w:rPr>
                <w:t>pursuant to a confidential treatment request).</w:t>
              </w:r>
            </w:hyperlink>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10.3</w:t>
            </w:r>
          </w:p>
        </w:tc>
        <w:tc>
          <w:tcPr>
            <w:tcW w:w="180" w:type="dxa"/>
            <w:vAlign w:val="bottom"/>
          </w:tcPr>
          <w:p>
            <w:pPr>
              <w:spacing w:after="0"/>
              <w:rPr>
                <w:sz w:val="23"/>
                <w:szCs w:val="23"/>
                <w:color w:val="auto"/>
              </w:rPr>
            </w:pPr>
          </w:p>
        </w:tc>
        <w:tc>
          <w:tcPr>
            <w:tcW w:w="7880" w:type="dxa"/>
            <w:vAlign w:val="bottom"/>
            <w:gridSpan w:val="10"/>
          </w:tcPr>
          <w:p>
            <w:pPr>
              <w:spacing w:after="0"/>
              <w:rPr>
                <w:rFonts w:ascii="Arial" w:cs="Arial" w:eastAsia="Arial" w:hAnsi="Arial"/>
                <w:sz w:val="12"/>
                <w:szCs w:val="12"/>
                <w:color w:val="0000EE"/>
                <w:w w:val="95"/>
              </w:rPr>
            </w:pPr>
            <w:hyperlink w:anchor="page262">
              <w:r>
                <w:rPr>
                  <w:rFonts w:ascii="Arial" w:cs="Arial" w:eastAsia="Arial" w:hAnsi="Arial"/>
                  <w:sz w:val="12"/>
                  <w:szCs w:val="12"/>
                  <w:color w:val="0000EE"/>
                  <w:w w:val="95"/>
                </w:rPr>
                <w:t>Employment, Non-Interference, Non-Solicitation, Non-Competition and Invention Assignment Agreement by and between the Company and Mandeep Arora</w:t>
              </w:r>
            </w:hyperlink>
          </w:p>
        </w:tc>
      </w:tr>
      <w:tr>
        <w:trPr>
          <w:trHeight w:val="126"/>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0000EE"/>
              <w:bottom w:val="single" w:sz="8" w:color="0000EE"/>
            </w:tcBorders>
            <w:gridSpan w:val="2"/>
          </w:tcPr>
          <w:p>
            <w:pPr>
              <w:spacing w:after="0" w:line="126" w:lineRule="exact"/>
              <w:rPr>
                <w:rFonts w:ascii="Arial" w:cs="Arial" w:eastAsia="Arial" w:hAnsi="Arial"/>
                <w:sz w:val="12"/>
                <w:szCs w:val="12"/>
                <w:color w:val="0000EE"/>
                <w:w w:val="90"/>
              </w:rPr>
            </w:pPr>
            <w:hyperlink w:anchor="page262">
              <w:r>
                <w:rPr>
                  <w:rFonts w:ascii="Arial" w:cs="Arial" w:eastAsia="Arial" w:hAnsi="Arial"/>
                  <w:sz w:val="12"/>
                  <w:szCs w:val="12"/>
                  <w:color w:val="0000EE"/>
                  <w:w w:val="90"/>
                </w:rPr>
                <w:t>dated November 9, 2017.</w:t>
              </w:r>
            </w:hyperlink>
          </w:p>
        </w:tc>
        <w:tc>
          <w:tcPr>
            <w:tcW w:w="6440" w:type="dxa"/>
            <w:vAlign w:val="bottom"/>
            <w:tcBorders>
              <w:top w:val="single" w:sz="8" w:color="0000EE"/>
            </w:tcBorders>
            <w:gridSpan w:val="6"/>
          </w:tcPr>
          <w:p>
            <w:pPr>
              <w:spacing w:after="0"/>
              <w:rPr>
                <w:sz w:val="10"/>
                <w:szCs w:val="10"/>
                <w:color w:val="auto"/>
              </w:rPr>
            </w:pPr>
          </w:p>
        </w:tc>
        <w:tc>
          <w:tcPr>
            <w:tcW w:w="200" w:type="dxa"/>
            <w:vAlign w:val="bottom"/>
            <w:gridSpan w:val="2"/>
          </w:tcPr>
          <w:p>
            <w:pPr>
              <w:spacing w:after="0"/>
              <w:rPr>
                <w:sz w:val="10"/>
                <w:szCs w:val="10"/>
                <w:color w:val="auto"/>
              </w:rPr>
            </w:pPr>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31.1</w:t>
            </w:r>
          </w:p>
        </w:tc>
        <w:tc>
          <w:tcPr>
            <w:tcW w:w="180" w:type="dxa"/>
            <w:vAlign w:val="bottom"/>
          </w:tcPr>
          <w:p>
            <w:pPr>
              <w:spacing w:after="0"/>
              <w:rPr>
                <w:sz w:val="23"/>
                <w:szCs w:val="23"/>
                <w:color w:val="auto"/>
              </w:rPr>
            </w:pPr>
          </w:p>
        </w:tc>
        <w:tc>
          <w:tcPr>
            <w:tcW w:w="5480" w:type="dxa"/>
            <w:vAlign w:val="bottom"/>
            <w:tcBorders>
              <w:bottom w:val="single" w:sz="8" w:color="0000EE"/>
            </w:tcBorders>
            <w:gridSpan w:val="5"/>
          </w:tcPr>
          <w:p>
            <w:pPr>
              <w:spacing w:after="0"/>
              <w:rPr>
                <w:rFonts w:ascii="Arial" w:cs="Arial" w:eastAsia="Arial" w:hAnsi="Arial"/>
                <w:sz w:val="12"/>
                <w:szCs w:val="12"/>
                <w:color w:val="0000EE"/>
                <w:w w:val="92"/>
              </w:rPr>
            </w:pPr>
            <w:hyperlink w:anchor="page294">
              <w:r>
                <w:rPr>
                  <w:rFonts w:ascii="Arial" w:cs="Arial" w:eastAsia="Arial" w:hAnsi="Arial"/>
                  <w:sz w:val="12"/>
                  <w:szCs w:val="12"/>
                  <w:color w:val="0000EE"/>
                  <w:w w:val="92"/>
                </w:rPr>
                <w:t>Certifications of Chief Executive Officer pursuant to Rule 13a-14(a) under the Securities Exchange Act of 1934.</w:t>
              </w:r>
            </w:hyperlink>
          </w:p>
        </w:tc>
        <w:tc>
          <w:tcPr>
            <w:tcW w:w="2400" w:type="dxa"/>
            <w:vAlign w:val="bottom"/>
            <w:gridSpan w:val="5"/>
          </w:tcPr>
          <w:p>
            <w:pPr>
              <w:spacing w:after="0"/>
              <w:rPr>
                <w:sz w:val="23"/>
                <w:szCs w:val="23"/>
                <w:color w:val="auto"/>
              </w:rPr>
            </w:pPr>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31.2</w:t>
            </w:r>
          </w:p>
        </w:tc>
        <w:tc>
          <w:tcPr>
            <w:tcW w:w="180" w:type="dxa"/>
            <w:vAlign w:val="bottom"/>
          </w:tcPr>
          <w:p>
            <w:pPr>
              <w:spacing w:after="0"/>
              <w:rPr>
                <w:sz w:val="23"/>
                <w:szCs w:val="23"/>
                <w:color w:val="auto"/>
              </w:rPr>
            </w:pPr>
          </w:p>
        </w:tc>
        <w:tc>
          <w:tcPr>
            <w:tcW w:w="7880" w:type="dxa"/>
            <w:vAlign w:val="bottom"/>
            <w:gridSpan w:val="10"/>
          </w:tcPr>
          <w:p>
            <w:pPr>
              <w:spacing w:after="0"/>
              <w:rPr>
                <w:rFonts w:ascii="Arial" w:cs="Arial" w:eastAsia="Arial" w:hAnsi="Arial"/>
                <w:sz w:val="12"/>
                <w:szCs w:val="12"/>
                <w:color w:val="0000EE"/>
              </w:rPr>
            </w:pPr>
            <w:hyperlink w:anchor="page295">
              <w:r>
                <w:rPr>
                  <w:rFonts w:ascii="Arial" w:cs="Arial" w:eastAsia="Arial" w:hAnsi="Arial"/>
                  <w:sz w:val="12"/>
                  <w:szCs w:val="12"/>
                  <w:color w:val="0000EE"/>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32.1</w:t>
            </w:r>
          </w:p>
        </w:tc>
        <w:tc>
          <w:tcPr>
            <w:tcW w:w="180" w:type="dxa"/>
            <w:vAlign w:val="bottom"/>
          </w:tcPr>
          <w:p>
            <w:pPr>
              <w:spacing w:after="0"/>
              <w:rPr>
                <w:sz w:val="23"/>
                <w:szCs w:val="23"/>
                <w:color w:val="auto"/>
              </w:rPr>
            </w:pPr>
          </w:p>
        </w:tc>
        <w:tc>
          <w:tcPr>
            <w:tcW w:w="7880" w:type="dxa"/>
            <w:vAlign w:val="bottom"/>
            <w:gridSpan w:val="10"/>
          </w:tcPr>
          <w:p>
            <w:pPr>
              <w:spacing w:after="0"/>
              <w:rPr>
                <w:rFonts w:ascii="Arial" w:cs="Arial" w:eastAsia="Arial" w:hAnsi="Arial"/>
                <w:sz w:val="12"/>
                <w:szCs w:val="12"/>
                <w:color w:val="0000EE"/>
                <w:w w:val="99"/>
              </w:rPr>
            </w:pPr>
            <w:hyperlink w:anchor="page296">
              <w:r>
                <w:rPr>
                  <w:rFonts w:ascii="Arial" w:cs="Arial" w:eastAsia="Arial" w:hAnsi="Arial"/>
                  <w:sz w:val="12"/>
                  <w:szCs w:val="12"/>
                  <w:color w:val="0000EE"/>
                  <w:w w:val="99"/>
                </w:rPr>
                <w:t>Certification of the Chief Executive Officer pursuant to 18 USC Section 1350, as adopted pursuant to Section 906 of the Sarbanes-Oxley Act of 2002.</w:t>
              </w:r>
            </w:hyperlink>
          </w:p>
        </w:tc>
      </w:tr>
      <w:tr>
        <w:trPr>
          <w:trHeight w:val="272"/>
        </w:trPr>
        <w:tc>
          <w:tcPr>
            <w:tcW w:w="1040" w:type="dxa"/>
            <w:vAlign w:val="bottom"/>
          </w:tcPr>
          <w:p>
            <w:pPr>
              <w:spacing w:after="0"/>
              <w:rPr>
                <w:sz w:val="20"/>
                <w:szCs w:val="20"/>
                <w:color w:val="auto"/>
              </w:rPr>
            </w:pPr>
            <w:r>
              <w:rPr>
                <w:rFonts w:ascii="Arial" w:cs="Arial" w:eastAsia="Arial" w:hAnsi="Arial"/>
                <w:sz w:val="12"/>
                <w:szCs w:val="12"/>
                <w:color w:val="auto"/>
              </w:rPr>
              <w:t>32.2</w:t>
            </w:r>
          </w:p>
        </w:tc>
        <w:tc>
          <w:tcPr>
            <w:tcW w:w="180" w:type="dxa"/>
            <w:vAlign w:val="bottom"/>
          </w:tcPr>
          <w:p>
            <w:pPr>
              <w:spacing w:after="0"/>
              <w:rPr>
                <w:sz w:val="23"/>
                <w:szCs w:val="23"/>
                <w:color w:val="auto"/>
              </w:rPr>
            </w:pPr>
          </w:p>
        </w:tc>
        <w:tc>
          <w:tcPr>
            <w:tcW w:w="728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92"/>
              </w:rPr>
            </w:pPr>
            <w:hyperlink w:anchor="page297">
              <w:r>
                <w:rPr>
                  <w:rFonts w:ascii="Arial" w:cs="Arial" w:eastAsia="Arial" w:hAnsi="Arial"/>
                  <w:sz w:val="12"/>
                  <w:szCs w:val="12"/>
                  <w:color w:val="0000EE"/>
                  <w:w w:val="92"/>
                </w:rPr>
                <w:t>Certification of the Chief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23"/>
                <w:szCs w:val="23"/>
                <w:color w:val="auto"/>
              </w:rPr>
            </w:pPr>
          </w:p>
        </w:tc>
        <w:tc>
          <w:tcPr>
            <w:tcW w:w="580" w:type="dxa"/>
            <w:vAlign w:val="bottom"/>
            <w:gridSpan w:val="3"/>
          </w:tcPr>
          <w:p>
            <w:pPr>
              <w:spacing w:after="0"/>
              <w:rPr>
                <w:sz w:val="23"/>
                <w:szCs w:val="23"/>
                <w:color w:val="auto"/>
              </w:rPr>
            </w:pPr>
          </w:p>
        </w:tc>
      </w:tr>
    </w:tbl>
    <w:p>
      <w:pPr>
        <w:spacing w:after="0" w:line="155" w:lineRule="exact"/>
        <w:rPr>
          <w:sz w:val="20"/>
          <w:szCs w:val="20"/>
          <w:color w:val="auto"/>
        </w:rPr>
      </w:pPr>
    </w:p>
    <w:p>
      <w:pPr>
        <w:ind w:left="1225" w:right="20" w:hanging="1225"/>
        <w:spacing w:after="0" w:line="260" w:lineRule="auto"/>
        <w:tabs>
          <w:tab w:leader="none" w:pos="1225"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following financial information from our Quarterly Report on Form 10-Q for the quarter ended December 31, 2017, filed with the SEC on February 8, 2018, formatted in Extensible Business Reporting Language (XBRL): (1) the Consolidated Balance Sheets as of December 31, 2017 and June 30, 2017, (2) the Consolidated Statements of Operations for the three-month and six-month periods ended December 31, 2017 and 2016, (3) the Consolidated Statements of Shareholders’ Equity for the six-month period ended December 31, 2017, (4) the Consolidated Statements of Cash Flows for the six-month period ended December 31, 2017 and 2016, and (5) the Notes to Consolidated Financial Statements.</w:t>
      </w:r>
    </w:p>
    <w:p>
      <w:pPr>
        <w:spacing w:after="0" w:line="301" w:lineRule="exact"/>
        <w:rPr>
          <w:sz w:val="20"/>
          <w:szCs w:val="20"/>
          <w:color w:val="auto"/>
        </w:rPr>
      </w:pPr>
    </w:p>
    <w:p>
      <w:pPr>
        <w:jc w:val="center"/>
        <w:ind w:right="-4"/>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578548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5485" cy="17145"/>
                    </a:xfrm>
                    <a:prstGeom prst="rect">
                      <a:avLst/>
                    </a:prstGeom>
                    <a:noFill/>
                  </pic:spPr>
                </pic:pic>
              </a:graphicData>
            </a:graphic>
          </wp:anchor>
        </w:drawing>
      </w:r>
    </w:p>
    <w:p>
      <w:pPr>
        <w:sectPr>
          <w:pgSz w:w="11900" w:h="16838" w:orient="portrait"/>
          <w:cols w:equalWidth="0" w:num="1">
            <w:col w:w="9125"/>
          </w:cols>
          <w:pgMar w:left="1395" w:top="131" w:right="1379" w:bottom="1440" w:gutter="0" w:footer="0" w:header="0"/>
        </w:sectPr>
      </w:pPr>
    </w:p>
    <w:bookmarkStart w:id="33" w:name="page34"/>
    <w:bookmarkEnd w:id="3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USA TECHNOLOGIES, INC.</w:t>
            </w:r>
          </w:p>
        </w:tc>
      </w:tr>
      <w:tr>
        <w:trPr>
          <w:trHeight w:val="292"/>
        </w:trPr>
        <w:tc>
          <w:tcPr>
            <w:tcW w:w="2800" w:type="dxa"/>
            <w:vAlign w:val="bottom"/>
          </w:tcPr>
          <w:p>
            <w:pPr>
              <w:spacing w:after="0"/>
              <w:rPr>
                <w:sz w:val="20"/>
                <w:szCs w:val="20"/>
                <w:color w:val="auto"/>
              </w:rPr>
            </w:pPr>
            <w:r>
              <w:rPr>
                <w:rFonts w:ascii="Arial" w:cs="Arial" w:eastAsia="Arial" w:hAnsi="Arial"/>
                <w:sz w:val="12"/>
                <w:szCs w:val="12"/>
                <w:color w:val="auto"/>
              </w:rPr>
              <w:t>Date: February 9, 2018</w:t>
            </w:r>
          </w:p>
        </w:tc>
        <w:tc>
          <w:tcPr>
            <w:tcW w:w="1760" w:type="dxa"/>
            <w:vAlign w:val="bottom"/>
          </w:tcPr>
          <w:p>
            <w:pPr>
              <w:spacing w:after="0"/>
              <w:rPr>
                <w:sz w:val="24"/>
                <w:szCs w:val="24"/>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Stephen P. Herbert</w:t>
            </w:r>
          </w:p>
        </w:tc>
      </w:tr>
      <w:tr>
        <w:trPr>
          <w:trHeight w:val="126"/>
        </w:trPr>
        <w:tc>
          <w:tcPr>
            <w:tcW w:w="2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Stephen P. Herbert,</w:t>
            </w:r>
          </w:p>
        </w:tc>
      </w:tr>
      <w:tr>
        <w:trPr>
          <w:trHeight w:val="154"/>
        </w:trPr>
        <w:tc>
          <w:tcPr>
            <w:tcW w:w="2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292"/>
        </w:trPr>
        <w:tc>
          <w:tcPr>
            <w:tcW w:w="2800" w:type="dxa"/>
            <w:vAlign w:val="bottom"/>
          </w:tcPr>
          <w:p>
            <w:pPr>
              <w:spacing w:after="0"/>
              <w:rPr>
                <w:sz w:val="20"/>
                <w:szCs w:val="20"/>
                <w:color w:val="auto"/>
              </w:rPr>
            </w:pPr>
            <w:r>
              <w:rPr>
                <w:rFonts w:ascii="Arial" w:cs="Arial" w:eastAsia="Arial" w:hAnsi="Arial"/>
                <w:sz w:val="12"/>
                <w:szCs w:val="12"/>
                <w:color w:val="auto"/>
              </w:rPr>
              <w:t>Date: February 9, 2018</w:t>
            </w:r>
          </w:p>
        </w:tc>
        <w:tc>
          <w:tcPr>
            <w:tcW w:w="1760" w:type="dxa"/>
            <w:vAlign w:val="bottom"/>
          </w:tcPr>
          <w:p>
            <w:pPr>
              <w:spacing w:after="0"/>
              <w:rPr>
                <w:sz w:val="24"/>
                <w:szCs w:val="24"/>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Priyanka Singh</w:t>
            </w:r>
          </w:p>
        </w:tc>
      </w:tr>
      <w:tr>
        <w:trPr>
          <w:trHeight w:val="126"/>
        </w:trPr>
        <w:tc>
          <w:tcPr>
            <w:tcW w:w="2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Priyanka Singh</w:t>
            </w:r>
          </w:p>
        </w:tc>
      </w:tr>
      <w:tr>
        <w:trPr>
          <w:trHeight w:val="154"/>
        </w:trPr>
        <w:tc>
          <w:tcPr>
            <w:tcW w:w="2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593"/>
        </w:trPr>
        <w:tc>
          <w:tcPr>
            <w:tcW w:w="2800" w:type="dxa"/>
            <w:vAlign w:val="bottom"/>
          </w:tcPr>
          <w:p>
            <w:pPr>
              <w:spacing w:after="0"/>
              <w:rPr>
                <w:sz w:val="24"/>
                <w:szCs w:val="24"/>
                <w:color w:val="auto"/>
              </w:rPr>
            </w:pPr>
          </w:p>
        </w:tc>
        <w:tc>
          <w:tcPr>
            <w:tcW w:w="6300" w:type="dxa"/>
            <w:vAlign w:val="bottom"/>
            <w:gridSpan w:val="2"/>
          </w:tcPr>
          <w:p>
            <w:pPr>
              <w:jc w:val="right"/>
              <w:ind w:right="4419"/>
              <w:spacing w:after="0"/>
              <w:rPr>
                <w:sz w:val="20"/>
                <w:szCs w:val="20"/>
                <w:color w:val="auto"/>
              </w:rPr>
            </w:pPr>
            <w:r>
              <w:rPr>
                <w:rFonts w:ascii="Arial" w:cs="Arial" w:eastAsia="Arial" w:hAnsi="Arial"/>
                <w:sz w:val="12"/>
                <w:szCs w:val="12"/>
                <w:color w:val="auto"/>
              </w:rPr>
              <w:t>34</w:t>
            </w:r>
          </w:p>
        </w:tc>
      </w:tr>
      <w:tr>
        <w:trPr>
          <w:trHeight w:val="227"/>
        </w:trPr>
        <w:tc>
          <w:tcPr>
            <w:tcW w:w="28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r>
    </w:tbl>
    <w:p>
      <w:pPr>
        <w:sectPr>
          <w:pgSz w:w="11900" w:h="16838" w:orient="portrait"/>
          <w:cols w:equalWidth="0" w:num="1">
            <w:col w:w="9100"/>
          </w:cols>
          <w:pgMar w:left="1400" w:top="131" w:right="139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10.1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VISA U.S.A.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SMALL TICKET AND DEPLOYMENT SUPPORT INCENTIVE AGREEMENT</w:t>
      </w:r>
    </w:p>
    <w:p>
      <w:pPr>
        <w:spacing w:after="0" w:line="65" w:lineRule="exact"/>
        <w:rPr>
          <w:sz w:val="20"/>
          <w:szCs w:val="20"/>
          <w:color w:val="auto"/>
        </w:rPr>
      </w:pPr>
    </w:p>
    <w:p>
      <w:pPr>
        <w:jc w:val="both"/>
        <w:ind w:firstLine="219"/>
        <w:spacing w:after="0" w:line="235" w:lineRule="auto"/>
        <w:rPr>
          <w:sz w:val="20"/>
          <w:szCs w:val="20"/>
          <w:color w:val="auto"/>
        </w:rPr>
      </w:pPr>
      <w:r>
        <w:rPr>
          <w:rFonts w:ascii="Arial" w:cs="Arial" w:eastAsia="Arial" w:hAnsi="Arial"/>
          <w:sz w:val="15"/>
          <w:szCs w:val="15"/>
          <w:color w:val="auto"/>
        </w:rPr>
        <w:t>This Visa Small Ticket and Deployment Support Incentive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entered into between </w:t>
      </w:r>
      <w:r>
        <w:rPr>
          <w:rFonts w:ascii="Arial" w:cs="Arial" w:eastAsia="Arial" w:hAnsi="Arial"/>
          <w:sz w:val="15"/>
          <w:szCs w:val="15"/>
          <w:b w:val="1"/>
          <w:bCs w:val="1"/>
          <w:color w:val="auto"/>
        </w:rPr>
        <w:t>USA Technologies, Inc.</w:t>
      </w:r>
      <w:r>
        <w:rPr>
          <w:rFonts w:ascii="Arial" w:cs="Arial" w:eastAsia="Arial" w:hAnsi="Arial"/>
          <w:sz w:val="15"/>
          <w:szCs w:val="15"/>
          <w:color w:val="auto"/>
        </w:rPr>
        <w:t>, a Pennsylvania corporation, with its principal office at 100 Deerfield Lane, Suite 300, Malvern, Pennsylvania 19355 (“</w:t>
      </w:r>
      <w:r>
        <w:rPr>
          <w:rFonts w:ascii="Arial" w:cs="Arial" w:eastAsia="Arial" w:hAnsi="Arial"/>
          <w:sz w:val="15"/>
          <w:szCs w:val="15"/>
          <w:b w:val="1"/>
          <w:bCs w:val="1"/>
          <w:color w:val="auto"/>
        </w:rPr>
        <w:t>Client</w:t>
      </w:r>
      <w:r>
        <w:rPr>
          <w:rFonts w:ascii="Arial" w:cs="Arial" w:eastAsia="Arial" w:hAnsi="Arial"/>
          <w:sz w:val="15"/>
          <w:szCs w:val="15"/>
          <w:color w:val="auto"/>
        </w:rPr>
        <w:t xml:space="preserve">”) and </w:t>
      </w:r>
      <w:r>
        <w:rPr>
          <w:rFonts w:ascii="Arial" w:cs="Arial" w:eastAsia="Arial" w:hAnsi="Arial"/>
          <w:sz w:val="15"/>
          <w:szCs w:val="15"/>
          <w:b w:val="1"/>
          <w:bCs w:val="1"/>
          <w:color w:val="auto"/>
        </w:rPr>
        <w:t>Visa U.S.A. Inc.</w:t>
      </w:r>
      <w:r>
        <w:rPr>
          <w:rFonts w:ascii="Arial" w:cs="Arial" w:eastAsia="Arial" w:hAnsi="Arial"/>
          <w:sz w:val="15"/>
          <w:szCs w:val="15"/>
          <w:color w:val="auto"/>
        </w:rPr>
        <w:t>, a Delaware corporation, with its principal place of business at 900 Metro Center Boulevard, Foster City, California 94404 (mailing address P.O. Box 8999, San Francisco, California 94128-8999) (“</w:t>
      </w:r>
      <w:r>
        <w:rPr>
          <w:rFonts w:ascii="Arial" w:cs="Arial" w:eastAsia="Arial" w:hAnsi="Arial"/>
          <w:sz w:val="15"/>
          <w:szCs w:val="15"/>
          <w:b w:val="1"/>
          <w:bCs w:val="1"/>
          <w:color w:val="auto"/>
        </w:rPr>
        <w:t>Visa</w:t>
      </w:r>
      <w:r>
        <w:rPr>
          <w:rFonts w:ascii="Arial" w:cs="Arial" w:eastAsia="Arial" w:hAnsi="Arial"/>
          <w:sz w:val="15"/>
          <w:szCs w:val="15"/>
          <w:color w:val="auto"/>
        </w:rPr>
        <w:t>”, and together with Client, the “</w:t>
      </w:r>
      <w:r>
        <w:rPr>
          <w:rFonts w:ascii="Arial" w:cs="Arial" w:eastAsia="Arial" w:hAnsi="Arial"/>
          <w:sz w:val="15"/>
          <w:szCs w:val="15"/>
          <w:b w:val="1"/>
          <w:bCs w:val="1"/>
          <w:color w:val="auto"/>
        </w:rPr>
        <w:t>Parties</w:t>
      </w:r>
      <w:r>
        <w:rPr>
          <w:rFonts w:ascii="Arial" w:cs="Arial" w:eastAsia="Arial" w:hAnsi="Arial"/>
          <w:sz w:val="15"/>
          <w:szCs w:val="15"/>
          <w:color w:val="auto"/>
        </w:rPr>
        <w:t>”). Capitalized terms used but not defined herein shall have the meanings ascribed to such terms in the Visa Rules (as defined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21" w:right="879" w:bottom="1440" w:gutter="0" w:footer="0" w:header="0"/>
        </w:sectPr>
      </w:pP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ARTICLE I: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-97155</wp:posOffset>
            </wp:positionV>
            <wp:extent cx="5715" cy="2832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2832100"/>
                    </a:xfrm>
                    <a:prstGeom prst="rect">
                      <a:avLst/>
                    </a:prstGeom>
                    <a:noFill/>
                  </pic:spPr>
                </pic:pic>
              </a:graphicData>
            </a:graphic>
          </wp:anchor>
        </w:drawing>
      </w:r>
    </w:p>
    <w:p>
      <w:pPr>
        <w:jc w:val="both"/>
        <w:ind w:right="60"/>
        <w:spacing w:after="0" w:line="252" w:lineRule="auto"/>
        <w:rPr>
          <w:sz w:val="20"/>
          <w:szCs w:val="20"/>
          <w:color w:val="auto"/>
        </w:rPr>
      </w:pPr>
      <w:r>
        <w:rPr>
          <w:rFonts w:ascii="Arial" w:cs="Arial" w:eastAsia="Arial" w:hAnsi="Arial"/>
          <w:sz w:val="14"/>
          <w:szCs w:val="14"/>
          <w:color w:val="auto"/>
        </w:rPr>
        <w:t>Subject to the terms and conditions of this Agreement, Visa will provide Client the incentives described in Schedule A (the “</w:t>
      </w:r>
      <w:r>
        <w:rPr>
          <w:rFonts w:ascii="Arial" w:cs="Arial" w:eastAsia="Arial" w:hAnsi="Arial"/>
          <w:sz w:val="14"/>
          <w:szCs w:val="14"/>
          <w:b w:val="1"/>
          <w:bCs w:val="1"/>
          <w:color w:val="auto"/>
        </w:rPr>
        <w:t>Incentives</w:t>
      </w:r>
      <w:r>
        <w:rPr>
          <w:rFonts w:ascii="Arial" w:cs="Arial" w:eastAsia="Arial" w:hAnsi="Arial"/>
          <w:sz w:val="14"/>
          <w:szCs w:val="14"/>
          <w:color w:val="auto"/>
        </w:rPr>
        <w:t>”). The primary objective of this Agreement is to encourage and reward Client to grow Visa System payment volume at certain unattended payment terminals of Client’s Merchants.</w:t>
      </w:r>
    </w:p>
    <w:p>
      <w:pPr>
        <w:jc w:val="center"/>
        <w:ind w:right="60"/>
        <w:spacing w:after="0" w:line="247" w:lineRule="auto"/>
        <w:rPr>
          <w:sz w:val="20"/>
          <w:szCs w:val="20"/>
          <w:color w:val="auto"/>
        </w:rPr>
      </w:pPr>
      <w:r>
        <w:rPr>
          <w:rFonts w:ascii="Arial" w:cs="Arial" w:eastAsia="Arial" w:hAnsi="Arial"/>
          <w:sz w:val="15"/>
          <w:szCs w:val="15"/>
          <w:b w:val="1"/>
          <w:bCs w:val="1"/>
          <w:color w:val="auto"/>
        </w:rPr>
        <w:t>ARTICLE II: DEFINITIONS; TERM AND TERMINATION; ACQUIRER AND THIRD PARTY FEES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u w:val="single" w:color="auto"/>
          <w:color w:val="auto"/>
        </w:rPr>
        <w:t>Term and Termination</w:t>
      </w:r>
      <w:r>
        <w:rPr>
          <w:rFonts w:ascii="Arial" w:cs="Arial" w:eastAsia="Arial" w:hAnsi="Arial"/>
          <w:sz w:val="15"/>
          <w:szCs w:val="15"/>
          <w:color w:val="auto"/>
        </w:rPr>
        <w:t>.</w:t>
      </w:r>
    </w:p>
    <w:p>
      <w:pPr>
        <w:spacing w:after="0" w:line="18" w:lineRule="exact"/>
        <w:rPr>
          <w:sz w:val="20"/>
          <w:szCs w:val="20"/>
          <w:color w:val="auto"/>
        </w:rPr>
      </w:pPr>
    </w:p>
    <w:p>
      <w:pPr>
        <w:jc w:val="both"/>
        <w:ind w:right="60" w:firstLine="8"/>
        <w:spacing w:after="0" w:line="236" w:lineRule="auto"/>
        <w:tabs>
          <w:tab w:leader="none" w:pos="49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of this Agreement (the “</w:t>
      </w:r>
      <w:r>
        <w:rPr>
          <w:rFonts w:ascii="Arial" w:cs="Arial" w:eastAsia="Arial" w:hAnsi="Arial"/>
          <w:sz w:val="15"/>
          <w:szCs w:val="15"/>
          <w:b w:val="1"/>
          <w:bCs w:val="1"/>
          <w:color w:val="auto"/>
        </w:rPr>
        <w:t>Term</w:t>
      </w:r>
      <w:r>
        <w:rPr>
          <w:rFonts w:ascii="Arial" w:cs="Arial" w:eastAsia="Arial" w:hAnsi="Arial"/>
          <w:sz w:val="15"/>
          <w:szCs w:val="15"/>
          <w:color w:val="auto"/>
        </w:rPr>
        <w:t>”) will commence as of July 1, 2017 (the “</w:t>
      </w:r>
      <w:r>
        <w:rPr>
          <w:rFonts w:ascii="Arial" w:cs="Arial" w:eastAsia="Arial" w:hAnsi="Arial"/>
          <w:sz w:val="15"/>
          <w:szCs w:val="15"/>
          <w:b w:val="1"/>
          <w:bCs w:val="1"/>
          <w:color w:val="auto"/>
        </w:rPr>
        <w:t>Effective Date</w:t>
      </w:r>
      <w:r>
        <w:rPr>
          <w:rFonts w:ascii="Arial" w:cs="Arial" w:eastAsia="Arial" w:hAnsi="Arial"/>
          <w:sz w:val="15"/>
          <w:szCs w:val="15"/>
          <w:color w:val="auto"/>
        </w:rPr>
        <w:t>”) and expire on September 30, 2020, unless earlier terminated as provided herein.</w:t>
      </w:r>
    </w:p>
    <w:p>
      <w:pPr>
        <w:spacing w:after="0" w:line="7" w:lineRule="exact"/>
        <w:rPr>
          <w:rFonts w:ascii="Arial" w:cs="Arial" w:eastAsia="Arial" w:hAnsi="Arial"/>
          <w:sz w:val="15"/>
          <w:szCs w:val="15"/>
          <w:color w:val="auto"/>
        </w:rPr>
      </w:pPr>
    </w:p>
    <w:p>
      <w:pPr>
        <w:jc w:val="both"/>
        <w:ind w:right="60" w:firstLine="8"/>
        <w:spacing w:after="0" w:line="250" w:lineRule="auto"/>
        <w:tabs>
          <w:tab w:leader="none" w:pos="635"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Breach</w:t>
      </w:r>
      <w:r>
        <w:rPr>
          <w:rFonts w:ascii="Arial" w:cs="Arial" w:eastAsia="Arial" w:hAnsi="Arial"/>
          <w:sz w:val="14"/>
          <w:szCs w:val="14"/>
          <w:color w:val="auto"/>
        </w:rPr>
        <w:t>. If (i) either Party commits a material breach of the terms of this Agreement, (ii) Client breaches the Visa Rules, or (iii) Client fails to comply with the Payment Card Industry Data Security Standards, the non-breaching Party may terminate this Agreement by giving the breaching Party at least 30 calendar days’ written notice prior to the effective date of termination; provided, however, that any such notice will not result in termination if the breaching Party cures such breach before such period elapses.</w:t>
      </w:r>
    </w:p>
    <w:p>
      <w:pPr>
        <w:spacing w:after="0" w:line="2" w:lineRule="exact"/>
        <w:rPr>
          <w:rFonts w:ascii="Arial" w:cs="Arial" w:eastAsia="Arial" w:hAnsi="Arial"/>
          <w:sz w:val="14"/>
          <w:szCs w:val="14"/>
          <w:color w:val="auto"/>
        </w:rPr>
      </w:pPr>
    </w:p>
    <w:p>
      <w:pPr>
        <w:jc w:val="both"/>
        <w:ind w:right="60" w:firstLine="8"/>
        <w:spacing w:after="0" w:line="238" w:lineRule="auto"/>
        <w:tabs>
          <w:tab w:leader="none" w:pos="518"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Termination for Convenience</w:t>
      </w:r>
      <w:r>
        <w:rPr>
          <w:rFonts w:ascii="Arial" w:cs="Arial" w:eastAsia="Arial" w:hAnsi="Arial"/>
          <w:sz w:val="15"/>
          <w:szCs w:val="15"/>
          <w:color w:val="auto"/>
        </w:rPr>
        <w:t>. Either Party may terminate this Agreement at any time and for no reason and without liability, by providing 90 calendar days’ prior written notice of termination to the other Party.</w:t>
      </w:r>
    </w:p>
    <w:p>
      <w:pPr>
        <w:spacing w:after="0" w:line="1" w:lineRule="exact"/>
        <w:rPr>
          <w:rFonts w:ascii="Arial" w:cs="Arial" w:eastAsia="Arial" w:hAnsi="Arial"/>
          <w:sz w:val="15"/>
          <w:szCs w:val="15"/>
          <w:color w:val="auto"/>
        </w:rPr>
      </w:pPr>
    </w:p>
    <w:p>
      <w:pPr>
        <w:jc w:val="both"/>
        <w:ind w:right="60" w:firstLine="8"/>
        <w:spacing w:after="0" w:line="252" w:lineRule="auto"/>
        <w:tabs>
          <w:tab w:leader="none" w:pos="581"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If Client, or an entity directly or indirectly controlling Client, comes under the control of, or is acquired by, a third party, then Visa may, without liability, terminate this Agreement immediately by providing written notice to Client. Client shall give written notice to Visa promptly of the execution of an agreement that may result in such a Change of Control or acquisition.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43382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382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6" w:hanging="6"/>
        <w:spacing w:after="0" w:line="250" w:lineRule="auto"/>
        <w:tabs>
          <w:tab w:leader="none" w:pos="523"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Termination for Insolvency</w:t>
      </w:r>
      <w:r>
        <w:rPr>
          <w:rFonts w:ascii="Arial" w:cs="Arial" w:eastAsia="Arial" w:hAnsi="Arial"/>
          <w:sz w:val="14"/>
          <w:szCs w:val="14"/>
          <w:color w:val="auto"/>
        </w:rPr>
        <w:t>. A Party may terminate this Agreement if it reasonably determines that the other Party is insolvent, has failed generally to pay its debts as they become due (unless such debts are subject to a good-faith dispute as to liability or amount), or is unable to meet its obligations under this Agreement due to financial distress, whether or not a petition for bankruptcy is filed or a receiver is appointed.</w:t>
      </w:r>
    </w:p>
    <w:p>
      <w:pPr>
        <w:jc w:val="both"/>
        <w:ind w:left="6" w:right="20" w:hanging="6"/>
        <w:spacing w:after="0" w:line="276" w:lineRule="auto"/>
        <w:tabs>
          <w:tab w:leader="none" w:pos="526"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No Surcharging</w:t>
      </w:r>
      <w:r>
        <w:rPr>
          <w:rFonts w:ascii="Arial" w:cs="Arial" w:eastAsia="Arial" w:hAnsi="Arial"/>
          <w:sz w:val="13"/>
          <w:szCs w:val="13"/>
          <w:color w:val="auto"/>
        </w:rPr>
        <w:t>. If any Merchant assesses any surcharge or checkout fee on any Visa transaction for which Visa is offering the Incentives, Visa may terminate this Agreement immediately by providing written notice to Client.</w:t>
      </w:r>
    </w:p>
    <w:p>
      <w:pPr>
        <w:jc w:val="both"/>
        <w:ind w:left="6" w:right="20" w:hanging="6"/>
        <w:spacing w:after="0" w:line="272" w:lineRule="auto"/>
        <w:tabs>
          <w:tab w:leader="none" w:pos="559"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Effect of Termination</w:t>
      </w:r>
      <w:r>
        <w:rPr>
          <w:rFonts w:ascii="Arial" w:cs="Arial" w:eastAsia="Arial" w:hAnsi="Arial"/>
          <w:sz w:val="13"/>
          <w:szCs w:val="13"/>
          <w:color w:val="auto"/>
        </w:rPr>
        <w:t>. All obligations and rights under this Agreement will cease immediately and automatically upon its expiration or termination. Any provision that by its terms expressly survives or needs to survive to give effect to its purpose will also survive the expiration or termination of this Agreement.</w:t>
      </w:r>
    </w:p>
    <w:p>
      <w:pPr>
        <w:spacing w:after="0" w:line="2" w:lineRule="exact"/>
        <w:rPr>
          <w:rFonts w:ascii="Arial" w:cs="Arial" w:eastAsia="Arial" w:hAnsi="Arial"/>
          <w:sz w:val="13"/>
          <w:szCs w:val="13"/>
          <w:color w:val="auto"/>
        </w:rPr>
      </w:pPr>
    </w:p>
    <w:p>
      <w:pPr>
        <w:jc w:val="both"/>
        <w:ind w:left="6"/>
        <w:spacing w:after="0" w:line="249" w:lineRule="auto"/>
        <w:rPr>
          <w:rFonts w:ascii="Arial" w:cs="Arial" w:eastAsia="Arial" w:hAnsi="Arial"/>
          <w:sz w:val="13"/>
          <w:szCs w:val="13"/>
          <w:color w:val="auto"/>
        </w:rPr>
      </w:pPr>
      <w:r>
        <w:rPr>
          <w:rFonts w:ascii="Arial" w:cs="Arial" w:eastAsia="Arial" w:hAnsi="Arial"/>
          <w:sz w:val="14"/>
          <w:szCs w:val="14"/>
          <w:b w:val="1"/>
          <w:bCs w:val="1"/>
          <w:color w:val="auto"/>
        </w:rPr>
        <w:t xml:space="preserve">Section 2.2 </w:t>
      </w:r>
      <w:r>
        <w:rPr>
          <w:rFonts w:ascii="Arial" w:cs="Arial" w:eastAsia="Arial" w:hAnsi="Arial"/>
          <w:sz w:val="14"/>
          <w:szCs w:val="14"/>
          <w:u w:val="single" w:color="auto"/>
          <w:color w:val="auto"/>
        </w:rPr>
        <w:t>Promotional IRF Rates; Acquirer and Third Party Fees</w:t>
      </w:r>
      <w:r>
        <w:rPr>
          <w:rFonts w:ascii="Arial" w:cs="Arial" w:eastAsia="Arial" w:hAnsi="Arial"/>
          <w:sz w:val="14"/>
          <w:szCs w:val="14"/>
          <w:color w:val="auto"/>
        </w:rPr>
        <w:t>. Client is</w:t>
      </w:r>
      <w:r>
        <w:rPr>
          <w:rFonts w:ascii="Arial" w:cs="Arial" w:eastAsia="Arial" w:hAnsi="Arial"/>
          <w:sz w:val="14"/>
          <w:szCs w:val="14"/>
          <w:b w:val="1"/>
          <w:bCs w:val="1"/>
          <w:color w:val="auto"/>
        </w:rPr>
        <w:t xml:space="preserve"> </w:t>
      </w:r>
      <w:r>
        <w:rPr>
          <w:rFonts w:ascii="Arial" w:cs="Arial" w:eastAsia="Arial" w:hAnsi="Arial"/>
          <w:sz w:val="14"/>
          <w:szCs w:val="14"/>
          <w:color w:val="auto"/>
        </w:rPr>
        <w:t>solely responsible for ensuring that its Acquirer’s systems are capable of implementing, and that its Acquirer implements, any promotional IRF rates made available by Visa to Client’s Acquirer under this Agreement, and is solely responsible for negotiating with its Acquirer any pricing (including its merchant discount rate and other fees) related to acceptance of the products for which Visa provides the Incentives. Visa is not responsible for any third party fees or expenses charged to Client in connection with this Agreement, including without limitation acquirer or processor fees or expenses.</w:t>
      </w:r>
    </w:p>
    <w:p>
      <w:pPr>
        <w:ind w:left="1286"/>
        <w:spacing w:after="0"/>
        <w:rPr>
          <w:rFonts w:ascii="Arial" w:cs="Arial" w:eastAsia="Arial" w:hAnsi="Arial"/>
          <w:sz w:val="13"/>
          <w:szCs w:val="13"/>
          <w:color w:val="auto"/>
        </w:rPr>
      </w:pPr>
      <w:r>
        <w:rPr>
          <w:rFonts w:ascii="Arial" w:cs="Arial" w:eastAsia="Arial" w:hAnsi="Arial"/>
          <w:sz w:val="15"/>
          <w:szCs w:val="15"/>
          <w:b w:val="1"/>
          <w:bCs w:val="1"/>
          <w:color w:val="auto"/>
        </w:rPr>
        <w:t>ARTICLE III: GENERAL TERMS</w:t>
      </w:r>
    </w:p>
    <w:p>
      <w:pPr>
        <w:spacing w:after="0" w:line="11" w:lineRule="exact"/>
        <w:rPr>
          <w:rFonts w:ascii="Arial" w:cs="Arial" w:eastAsia="Arial" w:hAnsi="Arial"/>
          <w:sz w:val="13"/>
          <w:szCs w:val="13"/>
          <w:color w:val="auto"/>
        </w:rPr>
      </w:pPr>
    </w:p>
    <w:p>
      <w:pPr>
        <w:ind w:left="6" w:right="280"/>
        <w:spacing w:after="0" w:line="296" w:lineRule="auto"/>
        <w:rPr>
          <w:rFonts w:ascii="Arial" w:cs="Arial" w:eastAsia="Arial" w:hAnsi="Arial"/>
          <w:sz w:val="13"/>
          <w:szCs w:val="13"/>
          <w:color w:val="auto"/>
        </w:rPr>
      </w:pPr>
      <w:r>
        <w:rPr>
          <w:rFonts w:ascii="Arial" w:cs="Arial" w:eastAsia="Arial" w:hAnsi="Arial"/>
          <w:sz w:val="13"/>
          <w:szCs w:val="13"/>
          <w:b w:val="1"/>
          <w:bCs w:val="1"/>
          <w:color w:val="auto"/>
        </w:rPr>
        <w:t xml:space="preserve">Section 3.1 </w:t>
      </w:r>
      <w:r>
        <w:rPr>
          <w:rFonts w:ascii="Arial" w:cs="Arial" w:eastAsia="Arial" w:hAnsi="Arial"/>
          <w:sz w:val="13"/>
          <w:szCs w:val="13"/>
          <w:u w:val="single" w:color="auto"/>
          <w:color w:val="auto"/>
        </w:rPr>
        <w:t>Representations</w:t>
      </w:r>
      <w:r>
        <w:rPr>
          <w:rFonts w:ascii="Arial" w:cs="Arial" w:eastAsia="Arial" w:hAnsi="Arial"/>
          <w:sz w:val="13"/>
          <w:szCs w:val="13"/>
          <w:color w:val="auto"/>
        </w:rPr>
        <w:t>. Each Party represents and warrants to the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that: (i) it has the power and authority to grant the rights and perform the obligations set forth in this Agreement; (ii) the execution of this</w:t>
      </w:r>
    </w:p>
    <w:p>
      <w:pPr>
        <w:sectPr>
          <w:pgSz w:w="11900" w:h="16838" w:orient="portrait"/>
          <w:cols w:equalWidth="0" w:num="2">
            <w:col w:w="5100" w:space="214"/>
            <w:col w:w="4826"/>
          </w:cols>
          <w:pgMar w:left="880" w:top="121" w:right="879" w:bottom="1440" w:gutter="0" w:footer="0" w:header="0"/>
          <w:type w:val="continuous"/>
        </w:sectPr>
      </w:pPr>
    </w:p>
    <w:bookmarkStart w:id="35" w:name="page36"/>
    <w:bookmarkEnd w:id="35"/>
    <w:p>
      <w:pPr>
        <w:jc w:val="both"/>
        <w:ind w:right="60"/>
        <w:spacing w:after="0" w:line="249" w:lineRule="auto"/>
        <w:rPr>
          <w:sz w:val="20"/>
          <w:szCs w:val="20"/>
          <w:color w:val="auto"/>
        </w:rPr>
      </w:pPr>
      <w:r>
        <w:rPr>
          <w:rFonts w:ascii="Arial" w:cs="Arial" w:eastAsia="Arial" w:hAnsi="Arial"/>
          <w:sz w:val="14"/>
          <w:szCs w:val="14"/>
          <w:color w:val="auto"/>
        </w:rPr>
        <w:t>Agreement by the person representing it is sufficient to render this Agreement binding upon such Party, and upon execution, this Agreement will be a binding obligation of such Party enforceable against such Party in accordance with its terms; and (iii) the performance of its obligations under this Agreement does not violate applicable law or breach any other agreement to which such Party is bound. No Party’s approval of advertising or other copy submitted by the other Party will relieve the submitting Party’s responsibility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-732790</wp:posOffset>
            </wp:positionV>
            <wp:extent cx="5715" cy="3590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3590290"/>
                    </a:xfrm>
                    <a:prstGeom prst="rect">
                      <a:avLst/>
                    </a:prstGeom>
                    <a:noFill/>
                  </pic:spPr>
                </pic:pic>
              </a:graphicData>
            </a:graphic>
          </wp:anchor>
        </w:drawing>
      </w:r>
    </w:p>
    <w:p>
      <w:pPr>
        <w:jc w:val="both"/>
        <w:ind w:right="60"/>
        <w:spacing w:after="0" w:line="266" w:lineRule="auto"/>
        <w:rPr>
          <w:sz w:val="20"/>
          <w:szCs w:val="20"/>
          <w:color w:val="auto"/>
        </w:rPr>
      </w:pPr>
      <w:r>
        <w:rPr>
          <w:rFonts w:ascii="Arial" w:cs="Arial" w:eastAsia="Arial" w:hAnsi="Arial"/>
          <w:sz w:val="13"/>
          <w:szCs w:val="13"/>
          <w:b w:val="1"/>
          <w:bCs w:val="1"/>
          <w:color w:val="auto"/>
        </w:rPr>
        <w:t xml:space="preserve">Section 3.2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For the Term and a period of 3 years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termination or expiration of this Agreement, each Party receiving or obtaining Confidential Information (the “</w:t>
      </w:r>
      <w:r>
        <w:rPr>
          <w:rFonts w:ascii="Arial" w:cs="Arial" w:eastAsia="Arial" w:hAnsi="Arial"/>
          <w:sz w:val="13"/>
          <w:szCs w:val="13"/>
          <w:b w:val="1"/>
          <w:bCs w:val="1"/>
          <w:color w:val="auto"/>
        </w:rPr>
        <w:t>Recipient</w:t>
      </w:r>
      <w:r>
        <w:rPr>
          <w:rFonts w:ascii="Arial" w:cs="Arial" w:eastAsia="Arial" w:hAnsi="Arial"/>
          <w:sz w:val="13"/>
          <w:szCs w:val="13"/>
          <w:color w:val="auto"/>
        </w:rPr>
        <w:t>”) from the other Party or its affiliates (the “</w:t>
      </w:r>
      <w:r>
        <w:rPr>
          <w:rFonts w:ascii="Arial" w:cs="Arial" w:eastAsia="Arial" w:hAnsi="Arial"/>
          <w:sz w:val="13"/>
          <w:szCs w:val="13"/>
          <w:b w:val="1"/>
          <w:bCs w:val="1"/>
          <w:color w:val="auto"/>
        </w:rPr>
        <w:t>Discloser</w:t>
      </w:r>
      <w:r>
        <w:rPr>
          <w:rFonts w:ascii="Arial" w:cs="Arial" w:eastAsia="Arial" w:hAnsi="Arial"/>
          <w:sz w:val="13"/>
          <w:szCs w:val="13"/>
          <w:color w:val="auto"/>
        </w:rPr>
        <w:t>”) shall not, and shall cause each of its employees, contractors, subcontractors, agents, consultants, legal, financial, and tax advisors (“</w:t>
      </w:r>
      <w:r>
        <w:rPr>
          <w:rFonts w:ascii="Arial" w:cs="Arial" w:eastAsia="Arial" w:hAnsi="Arial"/>
          <w:sz w:val="13"/>
          <w:szCs w:val="13"/>
          <w:b w:val="1"/>
          <w:bCs w:val="1"/>
          <w:color w:val="auto"/>
        </w:rPr>
        <w:t>Representatives</w:t>
      </w:r>
      <w:r>
        <w:rPr>
          <w:rFonts w:ascii="Arial" w:cs="Arial" w:eastAsia="Arial" w:hAnsi="Arial"/>
          <w:sz w:val="13"/>
          <w:szCs w:val="13"/>
          <w:color w:val="auto"/>
        </w:rPr>
        <w:t>”) not to: (i) disclose Confidential Information to any person or entity other than Representatives of the Recipient that: (A) need to know Confidential Information for the purposes contemplated by this Agreement; and (B) agree to be bound by the provisions of this Section; or (ii) use Confidential Information for any purpose other than the purposes contemplated by this Agreement. However, a Party may disclose Confidential Information if required by court order, government demand or other compulsory legal process (each, a “</w:t>
      </w:r>
      <w:r>
        <w:rPr>
          <w:rFonts w:ascii="Arial" w:cs="Arial" w:eastAsia="Arial" w:hAnsi="Arial"/>
          <w:sz w:val="13"/>
          <w:szCs w:val="13"/>
          <w:b w:val="1"/>
          <w:bCs w:val="1"/>
          <w:color w:val="auto"/>
        </w:rPr>
        <w:t>Required Disclosure</w:t>
      </w:r>
      <w:r>
        <w:rPr>
          <w:rFonts w:ascii="Arial" w:cs="Arial" w:eastAsia="Arial" w:hAnsi="Arial"/>
          <w:sz w:val="13"/>
          <w:szCs w:val="13"/>
          <w:color w:val="auto"/>
        </w:rPr>
        <w:t>”) provided that it first notify the Discloser in writing at least 10 calendar days in advance of such order. Notwithstanding the foregoing, either Party may disclose this Agreement pursuant to a Required Disclosure and may do so without prior notice to the other Party provided that this Agreement is designated as “</w:t>
      </w:r>
      <w:r>
        <w:rPr>
          <w:rFonts w:ascii="Arial" w:cs="Arial" w:eastAsia="Arial" w:hAnsi="Arial"/>
          <w:sz w:val="13"/>
          <w:szCs w:val="13"/>
          <w:b w:val="1"/>
          <w:bCs w:val="1"/>
          <w:color w:val="auto"/>
        </w:rPr>
        <w:t>Highly Confidential -- Outside</w:t>
      </w:r>
      <w:r>
        <w:rPr>
          <w:rFonts w:ascii="Arial" w:cs="Arial" w:eastAsia="Arial" w:hAnsi="Arial"/>
          <w:sz w:val="13"/>
          <w:szCs w:val="13"/>
          <w:color w:val="auto"/>
        </w:rPr>
        <w:t xml:space="preserve"> </w:t>
      </w:r>
      <w:r>
        <w:rPr>
          <w:rFonts w:ascii="Arial" w:cs="Arial" w:eastAsia="Arial" w:hAnsi="Arial"/>
          <w:sz w:val="13"/>
          <w:szCs w:val="13"/>
          <w:b w:val="1"/>
          <w:bCs w:val="1"/>
          <w:color w:val="auto"/>
        </w:rPr>
        <w:t>Counsel’s Eyes Only</w:t>
      </w:r>
      <w:r>
        <w:rPr>
          <w:rFonts w:ascii="Arial" w:cs="Arial" w:eastAsia="Arial" w:hAnsi="Arial"/>
          <w:sz w:val="13"/>
          <w:szCs w:val="13"/>
          <w:color w:val="auto"/>
        </w:rPr>
        <w:t>” under each applicable protective order or confidentiality</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is otherwise protected from disclosure to third parties by operation of law. Promptly upon the written request of the Discloser, the Recipient shall, and shall cause its Representatives to, return to the Discloser or destroy Confidential Information. If the Recipient or its Representatives destroy Confidential Information, the Recipient shall certify that it has done so in writing and promptly deliver such certificate to the Discloser. For purposes of this Agreement, “</w:t>
      </w:r>
      <w:r>
        <w:rPr>
          <w:rFonts w:ascii="Arial" w:cs="Arial" w:eastAsia="Arial" w:hAnsi="Arial"/>
          <w:sz w:val="13"/>
          <w:szCs w:val="13"/>
          <w:b w:val="1"/>
          <w:bCs w:val="1"/>
          <w:color w:val="auto"/>
        </w:rPr>
        <w:t>Confidential</w:t>
      </w:r>
      <w:r>
        <w:rPr>
          <w:rFonts w:ascii="Arial" w:cs="Arial" w:eastAsia="Arial" w:hAnsi="Arial"/>
          <w:sz w:val="13"/>
          <w:szCs w:val="13"/>
          <w:color w:val="auto"/>
        </w:rPr>
        <w:t xml:space="preserve"> </w:t>
      </w:r>
      <w:r>
        <w:rPr>
          <w:rFonts w:ascii="Arial" w:cs="Arial" w:eastAsia="Arial" w:hAnsi="Arial"/>
          <w:sz w:val="13"/>
          <w:szCs w:val="13"/>
          <w:b w:val="1"/>
          <w:bCs w:val="1"/>
          <w:color w:val="auto"/>
        </w:rPr>
        <w:t>Information</w:t>
      </w:r>
      <w:r>
        <w:rPr>
          <w:rFonts w:ascii="Arial" w:cs="Arial" w:eastAsia="Arial" w:hAnsi="Arial"/>
          <w:sz w:val="13"/>
          <w:szCs w:val="13"/>
          <w:color w:val="auto"/>
        </w:rPr>
        <w:t>” means any information or data, oral or written, identified as</w:t>
      </w:r>
      <w:r>
        <w:rPr>
          <w:rFonts w:ascii="Arial" w:cs="Arial" w:eastAsia="Arial" w:hAnsi="Arial"/>
          <w:sz w:val="13"/>
          <w:szCs w:val="13"/>
          <w:b w:val="1"/>
          <w:bCs w:val="1"/>
          <w:color w:val="auto"/>
        </w:rPr>
        <w:t xml:space="preserve"> </w:t>
      </w:r>
      <w:r>
        <w:rPr>
          <w:rFonts w:ascii="Arial" w:cs="Arial" w:eastAsia="Arial" w:hAnsi="Arial"/>
          <w:sz w:val="13"/>
          <w:szCs w:val="13"/>
          <w:color w:val="auto"/>
        </w:rPr>
        <w:t>confidential by the Discloser or that the Recipient should reasonably be understood to be confidential,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4338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Arial" w:cs="Arial" w:eastAsia="Arial" w:hAnsi="Arial"/>
          <w:sz w:val="13"/>
          <w:szCs w:val="13"/>
          <w:color w:val="auto"/>
        </w:rPr>
        <w:t xml:space="preserve">including without limitation, the terms of this Agreement and Schedule A, any Visa proposal of the Incentives, and may include, but is not limited to information relating to marketing philosophy and objectives, competitive advantages and disadvantages, the types of services provided, financial results, the names and addresses of agents and service providers and a variety of other non-public information and material; </w:t>
      </w:r>
      <w:r>
        <w:rPr>
          <w:rFonts w:ascii="Arial" w:cs="Arial" w:eastAsia="Arial" w:hAnsi="Arial"/>
          <w:sz w:val="13"/>
          <w:szCs w:val="13"/>
          <w:u w:val="single" w:color="auto"/>
          <w:color w:val="auto"/>
        </w:rPr>
        <w:t>excluding</w:t>
      </w:r>
      <w:r>
        <w:rPr>
          <w:rFonts w:ascii="Arial" w:cs="Arial" w:eastAsia="Arial" w:hAnsi="Arial"/>
          <w:sz w:val="13"/>
          <w:szCs w:val="13"/>
          <w:color w:val="auto"/>
        </w:rPr>
        <w:t xml:space="preserve"> information that: (i) is or becomes available to the public through no breach of this Agreement; (ii) was previously known by the Recipient without any obligation to hold it in confidence; (iii) is received from a third party who Recipient reasonably believes is free to disclose such information without restriction; or (vi) is independently developed by the Recipient without the use of Confidential Information of the Discloser.</w:t>
      </w:r>
    </w:p>
    <w:p>
      <w:pPr>
        <w:spacing w:after="0" w:line="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b w:val="1"/>
          <w:bCs w:val="1"/>
          <w:color w:val="auto"/>
        </w:rPr>
        <w:t xml:space="preserve">Section 3.3 </w:t>
      </w:r>
      <w:r>
        <w:rPr>
          <w:rFonts w:ascii="Arial" w:cs="Arial" w:eastAsia="Arial" w:hAnsi="Arial"/>
          <w:sz w:val="14"/>
          <w:szCs w:val="14"/>
          <w:u w:val="single" w:color="auto"/>
          <w:color w:val="auto"/>
        </w:rPr>
        <w:t>Public Disclosure</w:t>
      </w:r>
      <w:r>
        <w:rPr>
          <w:rFonts w:ascii="Arial" w:cs="Arial" w:eastAsia="Arial" w:hAnsi="Arial"/>
          <w:sz w:val="14"/>
          <w:szCs w:val="14"/>
          <w:color w:val="auto"/>
        </w:rPr>
        <w:t>. Neither Party may issue an independent press</w:t>
      </w:r>
      <w:r>
        <w:rPr>
          <w:rFonts w:ascii="Arial" w:cs="Arial" w:eastAsia="Arial" w:hAnsi="Arial"/>
          <w:sz w:val="14"/>
          <w:szCs w:val="14"/>
          <w:b w:val="1"/>
          <w:bCs w:val="1"/>
          <w:color w:val="auto"/>
        </w:rPr>
        <w:t xml:space="preserve"> </w:t>
      </w:r>
      <w:r>
        <w:rPr>
          <w:rFonts w:ascii="Arial" w:cs="Arial" w:eastAsia="Arial" w:hAnsi="Arial"/>
          <w:sz w:val="14"/>
          <w:szCs w:val="14"/>
          <w:color w:val="auto"/>
        </w:rPr>
        <w:t>release or make any other public announcement, whether written, oral or otherwise, with respect to this Agreement without the prior written consent of the other Party, which consent shall not be reasonably withheld provided, however, that either Party may disclose the existence of this Agreement to any third party without the consent of the other Party.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color w:val="auto"/>
        </w:rPr>
        <w:t xml:space="preserve">Section 3.4 </w:t>
      </w:r>
      <w:r>
        <w:rPr>
          <w:rFonts w:ascii="Arial" w:cs="Arial" w:eastAsia="Arial" w:hAnsi="Arial"/>
          <w:sz w:val="14"/>
          <w:szCs w:val="14"/>
          <w:u w:val="single" w:color="auto"/>
          <w:color w:val="auto"/>
        </w:rPr>
        <w:t>Disclaimer; No Warranties</w:t>
      </w:r>
      <w:r>
        <w:rPr>
          <w:rFonts w:ascii="Arial" w:cs="Arial" w:eastAsia="Arial" w:hAnsi="Arial"/>
          <w:sz w:val="14"/>
          <w:szCs w:val="14"/>
          <w:color w:val="auto"/>
        </w:rPr>
        <w:t>. THIS AGREEMENT IS NOT A</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AGREEMENT OR AGREEMENT FOR DELIVERY OF VISA PRODUCTS, AND CLIENT’S REDRESS, IF ANY, FOR CLAIMS OR ANY LIABILITY ARISING FROM VISA SERVICES OR PRODUCTS SHALL BE AGAINST CLIENT’S MERCHANTS OR CLIENT’S ACQUIRER OR OTHER VISA MEMBER THROUGH WHICH CLIENT PARTICIPATES IN THE VISA SYSTEM. VISA DOES NOT MAKE OR GIVE UNDER THIS AGREEMENT, AND HEREBY EXPRESSLY DISCLAIMS, ALL WARRANTIES, REPRESENTATIONS OR CONDITIONS, BOTH EXPRESS AND IMPLIED, ARISING BY STATUTE OR OTHERWISE IN LAW, OR FROM COURSE OF DEALING OR USAGE OR TRADE, INCLUDING, BUT NOT LIMITED TO, ANY IMPLIED WARRANTY, REPRESENTATION, OR CONDITION OF MERCHANTABILITY, MERCHANTABLE QUALITY OR FITNESS FOR ANY PURPOSE, PARTICULAR, SPECIFIC, OR OTHERWISE, OR ANY WARRANTY OF TITLE OR NON-INFRINGEMENT FOR ANY AND ALL PRODUCTS, PROCESSING, SERVICES, PROGRAMS, SPECIFICATIONS, STANDARDS, SOFTWARE, HARDWARE OR FIRMWARE.</w:t>
      </w:r>
    </w:p>
    <w:p>
      <w:pPr>
        <w:sectPr>
          <w:pgSz w:w="11900" w:h="16838" w:orient="portrait"/>
          <w:cols w:equalWidth="0" w:num="2">
            <w:col w:w="5100" w:space="220"/>
            <w:col w:w="4820"/>
          </w:cols>
          <w:pgMar w:left="880" w:top="271" w:right="879" w:bottom="1440" w:gutter="0" w:footer="0" w:header="0"/>
        </w:sectPr>
      </w:pPr>
    </w:p>
    <w:bookmarkStart w:id="36" w:name="page37"/>
    <w:bookmarkEnd w:id="36"/>
    <w:p>
      <w:pPr>
        <w:jc w:val="both"/>
        <w:ind w:right="60"/>
        <w:spacing w:after="0" w:line="246" w:lineRule="auto"/>
        <w:rPr>
          <w:sz w:val="20"/>
          <w:szCs w:val="20"/>
          <w:color w:val="auto"/>
        </w:rPr>
      </w:pPr>
      <w:r>
        <w:rPr>
          <w:rFonts w:ascii="Arial" w:cs="Arial" w:eastAsia="Arial" w:hAnsi="Arial"/>
          <w:sz w:val="14"/>
          <w:szCs w:val="14"/>
          <w:b w:val="1"/>
          <w:bCs w:val="1"/>
          <w:color w:val="auto"/>
        </w:rPr>
        <w:t xml:space="preserve">Section 3.5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UNDER NO CIRCUMSTANCES WILL</w:t>
      </w:r>
      <w:r>
        <w:rPr>
          <w:rFonts w:ascii="Arial" w:cs="Arial" w:eastAsia="Arial" w:hAnsi="Arial"/>
          <w:sz w:val="14"/>
          <w:szCs w:val="14"/>
          <w:b w:val="1"/>
          <w:bCs w:val="1"/>
          <w:color w:val="auto"/>
        </w:rPr>
        <w:t xml:space="preserve"> </w:t>
      </w:r>
      <w:r>
        <w:rPr>
          <w:rFonts w:ascii="Arial" w:cs="Arial" w:eastAsia="Arial" w:hAnsi="Arial"/>
          <w:sz w:val="14"/>
          <w:szCs w:val="14"/>
          <w:color w:val="auto"/>
        </w:rPr>
        <w:t>EITHER PARTY BE LIABLE TO THE OTHER PARTY OR TO ANY OTHER PERSON OR ENTITY FOR ANY INDIRECT, SPECIAL, CONSEQUENTIAL, INCIDENTAL, EXEMPLARY OR PUNITIVE DAMAGES EVEN IF IT HAD REASON TO KNOW OF THE POSSIBILITY OF SUCH DAMAGES, INCLUDING, WITHOUT LIMITATION, LOSS OF REVENUE, PROFITS OR BUSINESS. OTHER THAN (i) INCENTIVE PAYMENTS DUE CLIENT, IF ANY, IN ACCORDANCE WITH SCHEDULE A, OR (ii) A PARTY’S BREACH OF ITS CONFIDENTIALITY OBLIGATIONS, IN NO EVENT WILL EITHER PARTY BE LIABLE TO THE OTHER PARTY OR ANY THIRD PARTY FOR ANY CLAIMS, PROCEEDINGS, LIABILITIES, OBLIGATIONS, DAMAGES, LOSSES, OR COSTS RELATED TO OR ARISING OUT OF ANY SUBJECT MATTER OF THIS AGREEMENT, FOR ANY INDIVIDUAL OR RELATED SERIES OF CLAIMS OR LIABILITIES, IN AN AMOUNT EXCEEDING TEN THOUSAND UNITED STATES DOLLARS ($10,000) IN THE AGGREGATE. THIS SECTION APPLIES WHETHER THE ALLEGED LIABILITY IS BASED ON CONTRACT, TORT, NEGLIGENCE, STRICT LIABILITY, OR ANY OTHER BASIS, EVEN IF VISA OR CLIENT HAS BEEN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-1978660</wp:posOffset>
            </wp:positionV>
            <wp:extent cx="5715" cy="381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3816350"/>
                    </a:xfrm>
                    <a:prstGeom prst="rect">
                      <a:avLst/>
                    </a:prstGeom>
                    <a:noFill/>
                  </pic:spPr>
                </pic:pic>
              </a:graphicData>
            </a:graphic>
          </wp:anchor>
        </w:drawing>
      </w:r>
    </w:p>
    <w:p>
      <w:pPr>
        <w:jc w:val="both"/>
        <w:ind w:right="60"/>
        <w:spacing w:after="0"/>
        <w:rPr>
          <w:sz w:val="20"/>
          <w:szCs w:val="20"/>
          <w:color w:val="auto"/>
        </w:rPr>
      </w:pPr>
      <w:r>
        <w:rPr>
          <w:rFonts w:ascii="Arial" w:cs="Arial" w:eastAsia="Arial" w:hAnsi="Arial"/>
          <w:sz w:val="15"/>
          <w:szCs w:val="15"/>
          <w:b w:val="1"/>
          <w:bCs w:val="1"/>
          <w:color w:val="auto"/>
        </w:rPr>
        <w:t xml:space="preserve">Section 3.6 </w:t>
      </w:r>
      <w:r>
        <w:rPr>
          <w:rFonts w:ascii="Arial" w:cs="Arial" w:eastAsia="Arial" w:hAnsi="Arial"/>
          <w:sz w:val="15"/>
          <w:szCs w:val="15"/>
          <w:u w:val="single" w:color="auto"/>
          <w:color w:val="auto"/>
        </w:rPr>
        <w:t>Relationship of the Parties</w:t>
      </w:r>
      <w:r>
        <w:rPr>
          <w:rFonts w:ascii="Arial" w:cs="Arial" w:eastAsia="Arial" w:hAnsi="Arial"/>
          <w:sz w:val="15"/>
          <w:szCs w:val="15"/>
          <w:color w:val="auto"/>
        </w:rPr>
        <w:t>. The Parties are independent contractors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does not create a partnership, joint venture, employee/employer or other agency relationship between them.</w:t>
      </w:r>
    </w:p>
    <w:p>
      <w:pPr>
        <w:spacing w:after="0" w:line="1" w:lineRule="exact"/>
        <w:rPr>
          <w:sz w:val="20"/>
          <w:szCs w:val="20"/>
          <w:color w:val="auto"/>
        </w:rPr>
      </w:pPr>
    </w:p>
    <w:p>
      <w:pPr>
        <w:jc w:val="both"/>
        <w:ind w:right="60"/>
        <w:spacing w:after="0" w:line="267" w:lineRule="auto"/>
        <w:rPr>
          <w:sz w:val="20"/>
          <w:szCs w:val="20"/>
          <w:color w:val="auto"/>
        </w:rPr>
      </w:pPr>
      <w:r>
        <w:rPr>
          <w:rFonts w:ascii="Arial" w:cs="Arial" w:eastAsia="Arial" w:hAnsi="Arial"/>
          <w:sz w:val="13"/>
          <w:szCs w:val="13"/>
          <w:b w:val="1"/>
          <w:bCs w:val="1"/>
          <w:color w:val="auto"/>
        </w:rPr>
        <w:t xml:space="preserve">Section 3.7 </w:t>
      </w:r>
      <w:r>
        <w:rPr>
          <w:rFonts w:ascii="Arial" w:cs="Arial" w:eastAsia="Arial" w:hAnsi="Arial"/>
          <w:sz w:val="13"/>
          <w:szCs w:val="13"/>
          <w:u w:val="single" w:color="auto"/>
          <w:color w:val="auto"/>
        </w:rPr>
        <w:t>Assignments</w:t>
      </w:r>
      <w:r>
        <w:rPr>
          <w:rFonts w:ascii="Arial" w:cs="Arial" w:eastAsia="Arial" w:hAnsi="Arial"/>
          <w:sz w:val="13"/>
          <w:szCs w:val="13"/>
          <w:color w:val="auto"/>
        </w:rPr>
        <w:t>. This Agreement binds and benefits each of the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and their respective permitted successors and assigns. No Party may assign, in whole or in part, any of its rights under this Agreement, voluntarily or involuntarily, whether by operation of law or any other manner, except as expressly permitted in this Section or with the prior written consent of the other Party. No Party may delegate any performance under this Agreement. Notwithstanding the foregoing, Visa may assign this Agreement to its affiliate without Client’s consent. Any purported assignment of rights in violation of this Section 3.7 is void.</w:t>
      </w:r>
    </w:p>
    <w:p>
      <w:pPr>
        <w:spacing w:after="0" w:line="3" w:lineRule="exact"/>
        <w:rPr>
          <w:sz w:val="20"/>
          <w:szCs w:val="20"/>
          <w:color w:val="auto"/>
        </w:rPr>
      </w:pPr>
    </w:p>
    <w:p>
      <w:pPr>
        <w:jc w:val="both"/>
        <w:ind w:right="60"/>
        <w:spacing w:after="0" w:line="276" w:lineRule="auto"/>
        <w:rPr>
          <w:sz w:val="20"/>
          <w:szCs w:val="20"/>
          <w:color w:val="auto"/>
        </w:rPr>
      </w:pPr>
      <w:r>
        <w:rPr>
          <w:rFonts w:ascii="Arial" w:cs="Arial" w:eastAsia="Arial" w:hAnsi="Arial"/>
          <w:sz w:val="13"/>
          <w:szCs w:val="13"/>
          <w:b w:val="1"/>
          <w:bCs w:val="1"/>
          <w:color w:val="auto"/>
        </w:rPr>
        <w:t xml:space="preserve">Section 3.8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to be given under this Agreement will be in writing</w:t>
      </w:r>
      <w:r>
        <w:rPr>
          <w:rFonts w:ascii="Arial" w:cs="Arial" w:eastAsia="Arial" w:hAnsi="Arial"/>
          <w:sz w:val="13"/>
          <w:szCs w:val="13"/>
          <w:b w:val="1"/>
          <w:bCs w:val="1"/>
          <w:color w:val="auto"/>
        </w:rPr>
        <w:t xml:space="preserve"> </w:t>
      </w:r>
      <w:r>
        <w:rPr>
          <w:rFonts w:ascii="Arial" w:cs="Arial" w:eastAsia="Arial" w:hAnsi="Arial"/>
          <w:sz w:val="13"/>
          <w:szCs w:val="13"/>
          <w:color w:val="auto"/>
        </w:rPr>
        <w:t>and will be deemed to have been given and received: (i) when personally delivered;</w:t>
      </w:r>
    </w:p>
    <w:p>
      <w:pPr>
        <w:jc w:val="both"/>
        <w:ind w:right="60" w:firstLine="8"/>
        <w:spacing w:after="0" w:line="276" w:lineRule="auto"/>
        <w:tabs>
          <w:tab w:leader="none" w:pos="22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three business days after mailing, postage prepaid, by certified mail; or (iii) one business day following dispatch by overnight delivery via a national or international courier service, in each case addressed to the Party at the addresses set forth on the first page of this Agreement (in the case of notices to Visa,</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4338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4"/>
          <w:szCs w:val="14"/>
          <w:color w:val="auto"/>
        </w:rPr>
        <w:t>a copy of any such notice will also be delivered to the Visa U.S.A. Legal Department, in care of the same Visa address), unless a different address is designated in writing. In the case of Client, a copy of any such notice will also be delivered to Douglas M. Lurio, Esquire, Lurio and Associates, P.C, 2005 Market Street, Suite 2340, Philadelphia, PA 19103</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5"/>
          <w:szCs w:val="15"/>
          <w:b w:val="1"/>
          <w:bCs w:val="1"/>
          <w:color w:val="auto"/>
        </w:rPr>
        <w:t xml:space="preserve">Section 3.9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and construed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the laws of New York, excluding such state’s choice-of-law principles.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auto"/>
        </w:rPr>
        <w:t xml:space="preserve">Section 3.10 </w:t>
      </w:r>
      <w:r>
        <w:rPr>
          <w:rFonts w:ascii="Arial" w:cs="Arial" w:eastAsia="Arial" w:hAnsi="Arial"/>
          <w:sz w:val="13"/>
          <w:szCs w:val="13"/>
          <w:u w:val="single" w:color="auto"/>
          <w:color w:val="auto"/>
        </w:rPr>
        <w:t>Arbitration</w:t>
      </w:r>
      <w:r>
        <w:rPr>
          <w:rFonts w:ascii="Arial" w:cs="Arial" w:eastAsia="Arial" w:hAnsi="Arial"/>
          <w:sz w:val="13"/>
          <w:szCs w:val="13"/>
          <w:color w:val="auto"/>
        </w:rPr>
        <w:t>. Any dispute, controversy, or claim arising out of or</w:t>
      </w:r>
      <w:r>
        <w:rPr>
          <w:rFonts w:ascii="Arial" w:cs="Arial" w:eastAsia="Arial" w:hAnsi="Arial"/>
          <w:sz w:val="13"/>
          <w:szCs w:val="13"/>
          <w:b w:val="1"/>
          <w:bCs w:val="1"/>
          <w:color w:val="auto"/>
        </w:rPr>
        <w:t xml:space="preserve"> </w:t>
      </w:r>
      <w:r>
        <w:rPr>
          <w:rFonts w:ascii="Arial" w:cs="Arial" w:eastAsia="Arial" w:hAnsi="Arial"/>
          <w:sz w:val="13"/>
          <w:szCs w:val="13"/>
          <w:color w:val="auto"/>
        </w:rPr>
        <w:t>relating to this Agreement, or the interpretation, enforceability, performance, breach, termination, or validity thereof, including, without limitation, this arbitration provision, shall be solely and finally settled by confidential arbitration in San Francisco, California, in accordance with the Commercial Arbitration Rules of the American Arbitration Association. An award rendered in connection with arbitration pursuant to this Section shall be final and binding upon the Parties, and any judgment upon such an award may be entered and enforced in any court of competent jurisdiction. No provision of this subsection limits the right of a Party to obtain provisional, injunctive or ancillary remedies from a court of competent jurisdiction before, after or during the pendency of any arbitration. Neither Party has the right to arbitrate on a class action basis any dispute, controversy, or claim arising out of or relating to this Agreement, or the interpretation, enforceability, performance, breach, termination, or validity thereof, including, without limitation, this arbitration provision.</w:t>
      </w:r>
    </w:p>
    <w:p>
      <w:pPr>
        <w:spacing w:after="0" w:line="154" w:lineRule="exact"/>
        <w:rPr>
          <w:sz w:val="20"/>
          <w:szCs w:val="20"/>
          <w:color w:val="auto"/>
        </w:rPr>
      </w:pPr>
    </w:p>
    <w:p>
      <w:pPr>
        <w:jc w:val="both"/>
        <w:spacing w:after="0" w:line="233" w:lineRule="auto"/>
        <w:rPr>
          <w:sz w:val="20"/>
          <w:szCs w:val="20"/>
          <w:color w:val="auto"/>
        </w:rPr>
      </w:pPr>
      <w:r>
        <w:rPr>
          <w:rFonts w:ascii="Arial" w:cs="Arial" w:eastAsia="Arial" w:hAnsi="Arial"/>
          <w:sz w:val="15"/>
          <w:szCs w:val="15"/>
          <w:b w:val="1"/>
          <w:bCs w:val="1"/>
          <w:color w:val="auto"/>
        </w:rPr>
        <w:t xml:space="preserve">Section 3.11 </w:t>
      </w:r>
      <w:r>
        <w:rPr>
          <w:rFonts w:ascii="Arial" w:cs="Arial" w:eastAsia="Arial" w:hAnsi="Arial"/>
          <w:sz w:val="15"/>
          <w:szCs w:val="15"/>
          <w:u w:val="single" w:color="auto"/>
          <w:color w:val="auto"/>
        </w:rPr>
        <w:t>Use of Marks; Materials with other Party’s Name</w:t>
      </w:r>
      <w:r>
        <w:rPr>
          <w:rFonts w:ascii="Arial" w:cs="Arial" w:eastAsia="Arial" w:hAnsi="Arial"/>
          <w:sz w:val="15"/>
          <w:szCs w:val="15"/>
          <w:color w:val="auto"/>
        </w:rPr>
        <w:t>. Except as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provided herein, nothing in this Agreement gives either Party a license or other right to use the trademarks, service marks, trade dress, corporate name, logos, brands, copyrights, or other intellectual property of the other Party. Any such use (including in any advertisement, marketing material or other signage) will require the prior written consent of the Party that owns such intellectual property.</w:t>
      </w:r>
    </w:p>
    <w:p>
      <w:pPr>
        <w:sectPr>
          <w:pgSz w:w="11900" w:h="16838" w:orient="portrait"/>
          <w:cols w:equalWidth="0" w:num="2">
            <w:col w:w="5100" w:space="220"/>
            <w:col w:w="4820"/>
          </w:cols>
          <w:pgMar w:left="880" w:top="267" w:right="879" w:bottom="1440" w:gutter="0" w:footer="0" w:header="0"/>
        </w:sectPr>
      </w:pPr>
    </w:p>
    <w:bookmarkStart w:id="37" w:name="page38"/>
    <w:bookmarkEnd w:id="37"/>
    <w:p>
      <w:pPr>
        <w:jc w:val="both"/>
        <w:ind w:right="60"/>
        <w:spacing w:after="0" w:line="248" w:lineRule="auto"/>
        <w:rPr>
          <w:sz w:val="20"/>
          <w:szCs w:val="20"/>
          <w:color w:val="auto"/>
        </w:rPr>
      </w:pPr>
      <w:r>
        <w:rPr>
          <w:rFonts w:ascii="Arial" w:cs="Arial" w:eastAsia="Arial" w:hAnsi="Arial"/>
          <w:sz w:val="14"/>
          <w:szCs w:val="14"/>
          <w:b w:val="1"/>
          <w:bCs w:val="1"/>
          <w:color w:val="auto"/>
        </w:rPr>
        <w:t xml:space="preserve">Section 3.12 </w:t>
      </w:r>
      <w:r>
        <w:rPr>
          <w:rFonts w:ascii="Arial" w:cs="Arial" w:eastAsia="Arial" w:hAnsi="Arial"/>
          <w:sz w:val="14"/>
          <w:szCs w:val="14"/>
          <w:u w:val="single" w:color="auto"/>
          <w:color w:val="auto"/>
        </w:rPr>
        <w:t>Complete Agreement</w:t>
      </w:r>
      <w:r>
        <w:rPr>
          <w:rFonts w:ascii="Arial" w:cs="Arial" w:eastAsia="Arial" w:hAnsi="Arial"/>
          <w:sz w:val="14"/>
          <w:szCs w:val="14"/>
          <w:color w:val="auto"/>
        </w:rPr>
        <w:t>. This Agreement constitutes the entire final</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understanding between Visa and Client with respect to their rights and obligations set forth herein, and there are no other agreements, representations, warranties or understandings between Visa and Client with respect to such subject matter. To the extent that any other agreement, written or verbal, exists or appears to exist between the Parties with respect to the subject matter hereof, this Agreement supersedes any such agreement. All schedules and appendices attached hereto or referred to herein are hereby incorporated in and made a part of this Agreement. This Agreement has been fully reviewed and negotiated by the Parties and their respective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-1044575</wp:posOffset>
            </wp:positionV>
            <wp:extent cx="5715" cy="4551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4551680"/>
                    </a:xfrm>
                    <a:prstGeom prst="rect">
                      <a:avLst/>
                    </a:prstGeom>
                    <a:noFill/>
                  </pic:spPr>
                </pic:pic>
              </a:graphicData>
            </a:graphic>
          </wp:anchor>
        </w:drawing>
      </w:r>
    </w:p>
    <w:p>
      <w:pPr>
        <w:jc w:val="both"/>
        <w:ind w:right="60"/>
        <w:spacing w:after="0" w:line="251" w:lineRule="auto"/>
        <w:rPr>
          <w:sz w:val="20"/>
          <w:szCs w:val="20"/>
          <w:color w:val="auto"/>
        </w:rPr>
      </w:pPr>
      <w:r>
        <w:rPr>
          <w:rFonts w:ascii="Arial" w:cs="Arial" w:eastAsia="Arial" w:hAnsi="Arial"/>
          <w:sz w:val="14"/>
          <w:szCs w:val="14"/>
          <w:b w:val="1"/>
          <w:bCs w:val="1"/>
          <w:color w:val="auto"/>
        </w:rPr>
        <w:t xml:space="preserve">Section 3.13 </w:t>
      </w:r>
      <w:r>
        <w:rPr>
          <w:rFonts w:ascii="Arial" w:cs="Arial" w:eastAsia="Arial" w:hAnsi="Arial"/>
          <w:sz w:val="14"/>
          <w:szCs w:val="14"/>
          <w:u w:val="single" w:color="auto"/>
          <w:color w:val="auto"/>
        </w:rPr>
        <w:t>Force Majeure</w:t>
      </w:r>
      <w:r>
        <w:rPr>
          <w:rFonts w:ascii="Arial" w:cs="Arial" w:eastAsia="Arial" w:hAnsi="Arial"/>
          <w:sz w:val="14"/>
          <w:szCs w:val="14"/>
          <w:color w:val="auto"/>
        </w:rPr>
        <w:t>. Neither Party will be liable to the other Party for any</w:t>
      </w:r>
      <w:r>
        <w:rPr>
          <w:rFonts w:ascii="Arial" w:cs="Arial" w:eastAsia="Arial" w:hAnsi="Arial"/>
          <w:sz w:val="14"/>
          <w:szCs w:val="14"/>
          <w:b w:val="1"/>
          <w:bCs w:val="1"/>
          <w:color w:val="auto"/>
        </w:rPr>
        <w:t xml:space="preserve"> </w:t>
      </w:r>
      <w:r>
        <w:rPr>
          <w:rFonts w:ascii="Arial" w:cs="Arial" w:eastAsia="Arial" w:hAnsi="Arial"/>
          <w:sz w:val="14"/>
          <w:szCs w:val="14"/>
          <w:color w:val="auto"/>
        </w:rPr>
        <w:t>loss, damage, cost, delay, or failure to perform in whole or in part resulting from causes beyond such Party’s control, including but not limited to fires, floods, storms, earthquakes, hurricanes, tornadoes, or other severe weather or climatic conditions; act of a public enemy, war, or terrorist attack, blockade, strikes, insurrections, riots, or requirements of any governmental authority.</w:t>
      </w:r>
    </w:p>
    <w:p>
      <w:pPr>
        <w:spacing w:after="0" w:line="1" w:lineRule="exact"/>
        <w:rPr>
          <w:sz w:val="20"/>
          <w:szCs w:val="20"/>
          <w:color w:val="auto"/>
        </w:rPr>
      </w:pPr>
    </w:p>
    <w:p>
      <w:pPr>
        <w:jc w:val="both"/>
        <w:ind w:right="60"/>
        <w:spacing w:after="0" w:line="265" w:lineRule="auto"/>
        <w:rPr>
          <w:sz w:val="20"/>
          <w:szCs w:val="20"/>
          <w:color w:val="auto"/>
        </w:rPr>
      </w:pPr>
      <w:r>
        <w:rPr>
          <w:rFonts w:ascii="Arial" w:cs="Arial" w:eastAsia="Arial" w:hAnsi="Arial"/>
          <w:sz w:val="13"/>
          <w:szCs w:val="13"/>
          <w:b w:val="1"/>
          <w:bCs w:val="1"/>
          <w:color w:val="auto"/>
        </w:rPr>
        <w:t xml:space="preserve">Section 3.14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or becomes invalid,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unenforceable, the validity, legality and enforceability of the remaining provisions of this Agreement will remain in full force and effect. If the determination of such invalidity, illegality, or unenforceability has a significant effect, in the reasonable judgment of the affected Party (the “</w:t>
      </w:r>
      <w:r>
        <w:rPr>
          <w:rFonts w:ascii="Arial" w:cs="Arial" w:eastAsia="Arial" w:hAnsi="Arial"/>
          <w:sz w:val="13"/>
          <w:szCs w:val="13"/>
          <w:b w:val="1"/>
          <w:bCs w:val="1"/>
          <w:color w:val="auto"/>
        </w:rPr>
        <w:t>Affected Party</w:t>
      </w:r>
      <w:r>
        <w:rPr>
          <w:rFonts w:ascii="Arial" w:cs="Arial" w:eastAsia="Arial" w:hAnsi="Arial"/>
          <w:sz w:val="13"/>
          <w:szCs w:val="13"/>
          <w:color w:val="auto"/>
        </w:rPr>
        <w:t>”), on the financial and/or commercial position of the Affected Party, the Parties will negotiate in good faith to replace such provision with a valid, legal and enforceable provision which will, in effect, from an economic viewpoint, most nearly and fairly approach the effect of such provision. However, if the Parties cannot agree on a mutually acceptable amendment to the invalid, illegal or unenforceable provision within 30 calendar days following the date the Affected Party provided written notice to the other Party of its wish to renegotiate such provision, then this Agreement will terminate immediately upon the expiration of such period.</w:t>
      </w:r>
    </w:p>
    <w:p>
      <w:pPr>
        <w:spacing w:after="0" w:line="8"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b w:val="1"/>
          <w:bCs w:val="1"/>
          <w:color w:val="auto"/>
        </w:rPr>
        <w:t xml:space="preserve">Section 3.15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This Agreement does not confer any</w:t>
      </w:r>
      <w:r>
        <w:rPr>
          <w:rFonts w:ascii="Arial" w:cs="Arial" w:eastAsia="Arial" w:hAnsi="Arial"/>
          <w:sz w:val="14"/>
          <w:szCs w:val="14"/>
          <w:b w:val="1"/>
          <w:bCs w:val="1"/>
          <w:color w:val="auto"/>
        </w:rPr>
        <w:t xml:space="preserve"> </w:t>
      </w:r>
      <w:r>
        <w:rPr>
          <w:rFonts w:ascii="Arial" w:cs="Arial" w:eastAsia="Arial" w:hAnsi="Arial"/>
          <w:sz w:val="14"/>
          <w:szCs w:val="14"/>
          <w:color w:val="auto"/>
        </w:rPr>
        <w:t>rights or remedies upon any person or entity other than the Parties. Only the Parties have enforceable rights and remedies under this Agreement.</w:t>
      </w:r>
    </w:p>
    <w:p>
      <w:pPr>
        <w:spacing w:after="0" w:line="1" w:lineRule="exact"/>
        <w:rPr>
          <w:sz w:val="20"/>
          <w:szCs w:val="20"/>
          <w:color w:val="auto"/>
        </w:rPr>
      </w:pPr>
    </w:p>
    <w:p>
      <w:pPr>
        <w:jc w:val="both"/>
        <w:ind w:right="60"/>
        <w:spacing w:after="0" w:line="237" w:lineRule="auto"/>
        <w:rPr>
          <w:sz w:val="20"/>
          <w:szCs w:val="20"/>
          <w:color w:val="auto"/>
        </w:rPr>
      </w:pPr>
      <w:r>
        <w:rPr>
          <w:rFonts w:ascii="Arial" w:cs="Arial" w:eastAsia="Arial" w:hAnsi="Arial"/>
          <w:sz w:val="15"/>
          <w:szCs w:val="15"/>
          <w:b w:val="1"/>
          <w:bCs w:val="1"/>
          <w:color w:val="auto"/>
        </w:rPr>
        <w:t xml:space="preserve">Section 3.16 </w:t>
      </w:r>
      <w:r>
        <w:rPr>
          <w:rFonts w:ascii="Arial" w:cs="Arial" w:eastAsia="Arial" w:hAnsi="Arial"/>
          <w:sz w:val="15"/>
          <w:szCs w:val="15"/>
          <w:u w:val="single" w:color="auto"/>
          <w:color w:val="auto"/>
        </w:rPr>
        <w:t>Modifications, Amendments and Waivers</w:t>
      </w:r>
      <w:r>
        <w:rPr>
          <w:rFonts w:ascii="Arial" w:cs="Arial" w:eastAsia="Arial" w:hAnsi="Arial"/>
          <w:sz w:val="15"/>
          <w:szCs w:val="15"/>
          <w:color w:val="auto"/>
        </w:rPr>
        <w:t>. This Agreement may not be</w:t>
      </w:r>
      <w:r>
        <w:rPr>
          <w:rFonts w:ascii="Arial" w:cs="Arial" w:eastAsia="Arial" w:hAnsi="Arial"/>
          <w:sz w:val="15"/>
          <w:szCs w:val="15"/>
          <w:b w:val="1"/>
          <w:bCs w:val="1"/>
          <w:color w:val="auto"/>
        </w:rPr>
        <w:t xml:space="preserve"> </w:t>
      </w:r>
      <w:r>
        <w:rPr>
          <w:rFonts w:ascii="Arial" w:cs="Arial" w:eastAsia="Arial" w:hAnsi="Arial"/>
          <w:sz w:val="15"/>
          <w:szCs w:val="15"/>
          <w:color w:val="auto"/>
        </w:rPr>
        <w:t>modified or amended except by a writing signed by both Parties. Any waiver of the provisions of this Agreement or of a Party’s rights or remedies under this Agreement must be in writing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4338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5"/>
          <w:szCs w:val="15"/>
          <w:color w:val="auto"/>
        </w:rPr>
        <w:t>The waiver by either Party of a breach of any provision contained herein shall be in writing and shall in no way be construed as a waiver of any subsequent breach of such provision or the waiver of the provision itself.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5"/>
          <w:szCs w:val="15"/>
          <w:b w:val="1"/>
          <w:bCs w:val="1"/>
          <w:color w:val="auto"/>
        </w:rPr>
        <w:t xml:space="preserve">Section 3.17 </w:t>
      </w:r>
      <w:r>
        <w:rPr>
          <w:rFonts w:ascii="Arial" w:cs="Arial" w:eastAsia="Arial" w:hAnsi="Arial"/>
          <w:sz w:val="15"/>
          <w:szCs w:val="15"/>
          <w:u w:val="single" w:color="auto"/>
          <w:color w:val="auto"/>
        </w:rPr>
        <w:t>Counterparts; Signature Dates</w:t>
      </w:r>
      <w:r>
        <w:rPr>
          <w:rFonts w:ascii="Arial" w:cs="Arial" w:eastAsia="Arial" w:hAnsi="Arial"/>
          <w:sz w:val="15"/>
          <w:szCs w:val="15"/>
          <w:color w:val="auto"/>
        </w:rPr>
        <w:t>. This Agreement may be signed in</w:t>
      </w:r>
      <w:r>
        <w:rPr>
          <w:rFonts w:ascii="Arial" w:cs="Arial" w:eastAsia="Arial" w:hAnsi="Arial"/>
          <w:sz w:val="15"/>
          <w:szCs w:val="15"/>
          <w:b w:val="1"/>
          <w:bCs w:val="1"/>
          <w:color w:val="auto"/>
        </w:rPr>
        <w:t xml:space="preserve"> </w:t>
      </w:r>
      <w:r>
        <w:rPr>
          <w:rFonts w:ascii="Arial" w:cs="Arial" w:eastAsia="Arial" w:hAnsi="Arial"/>
          <w:sz w:val="15"/>
          <w:szCs w:val="15"/>
          <w:color w:val="auto"/>
        </w:rPr>
        <w:t>counterparts, including counterparts transmitted by facsimile, each of which will be deemed an original and all of which will constitute one and the same instrument. In the event that Client returns an executed but undated copy of this Agreement to Visa, Client agrees and authorizes Visa to insert the date of Visa’s receipt of the executed copy.</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5"/>
          <w:szCs w:val="15"/>
          <w:b w:val="1"/>
          <w:bCs w:val="1"/>
          <w:color w:val="auto"/>
        </w:rPr>
        <w:t xml:space="preserve">Section 3.18 </w:t>
      </w:r>
      <w:r>
        <w:rPr>
          <w:rFonts w:ascii="Arial" w:cs="Arial" w:eastAsia="Arial" w:hAnsi="Arial"/>
          <w:sz w:val="15"/>
          <w:szCs w:val="15"/>
          <w:u w:val="single" w:color="auto"/>
          <w:color w:val="auto"/>
        </w:rPr>
        <w:t>No Party a Drafter; Titles and Subtitles</w:t>
      </w:r>
      <w:r>
        <w:rPr>
          <w:rFonts w:ascii="Arial" w:cs="Arial" w:eastAsia="Arial" w:hAnsi="Arial"/>
          <w:sz w:val="15"/>
          <w:szCs w:val="15"/>
          <w:color w:val="auto"/>
        </w:rPr>
        <w:t>. No Party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considered to be the drafter of this Agreement for purposes of any rule of interpretation or construction that might cause any provision to be construed against the drafter hereof. The titles and subtitles used in this Agreement are for convenience only and are not to be considered in construing or interpreting this Agreement.</w:t>
      </w:r>
    </w:p>
    <w:p>
      <w:pPr>
        <w:spacing w:after="0" w:line="4" w:lineRule="exact"/>
        <w:rPr>
          <w:sz w:val="20"/>
          <w:szCs w:val="20"/>
          <w:color w:val="auto"/>
        </w:rPr>
      </w:pPr>
    </w:p>
    <w:p>
      <w:pPr>
        <w:jc w:val="both"/>
        <w:ind w:right="20"/>
        <w:spacing w:after="0"/>
        <w:rPr>
          <w:sz w:val="20"/>
          <w:szCs w:val="20"/>
          <w:color w:val="auto"/>
        </w:rPr>
      </w:pPr>
      <w:r>
        <w:rPr>
          <w:rFonts w:ascii="Arial" w:cs="Arial" w:eastAsia="Arial" w:hAnsi="Arial"/>
          <w:sz w:val="15"/>
          <w:szCs w:val="15"/>
          <w:b w:val="1"/>
          <w:bCs w:val="1"/>
          <w:color w:val="auto"/>
        </w:rPr>
        <w:t xml:space="preserve">Section 3.19 </w:t>
      </w:r>
      <w:r>
        <w:rPr>
          <w:rFonts w:ascii="Arial" w:cs="Arial" w:eastAsia="Arial" w:hAnsi="Arial"/>
          <w:sz w:val="15"/>
          <w:szCs w:val="15"/>
          <w:u w:val="single" w:color="auto"/>
          <w:color w:val="auto"/>
        </w:rPr>
        <w:t>Taxes</w:t>
      </w:r>
      <w:r>
        <w:rPr>
          <w:rFonts w:ascii="Arial" w:cs="Arial" w:eastAsia="Arial" w:hAnsi="Arial"/>
          <w:sz w:val="15"/>
          <w:szCs w:val="15"/>
          <w:color w:val="auto"/>
        </w:rPr>
        <w:t>. Client is responsible for any and all taxes which may be</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to any incentives, benefits, and funding it receives pursuant to this Agreement.</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Agreement will be effective as of the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USA TECHNOLOGIES, INC.</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Michael K.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1615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1540" cy="57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5"/>
          <w:szCs w:val="15"/>
          <w:b w:val="1"/>
          <w:bCs w:val="1"/>
          <w:color w:val="auto"/>
        </w:rPr>
        <w:t>(SIGNATURE OF CLIENT’S AUTHORIZED EMPLOYEE)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Name: </w:t>
      </w:r>
      <w:r>
        <w:rPr>
          <w:rFonts w:ascii="Arial" w:cs="Arial" w:eastAsia="Arial" w:hAnsi="Arial"/>
          <w:sz w:val="15"/>
          <w:szCs w:val="15"/>
          <w:color w:val="auto"/>
        </w:rPr>
        <w:t>Michael K. Lawlor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Title: </w:t>
      </w:r>
      <w:r>
        <w:rPr>
          <w:rFonts w:ascii="Arial" w:cs="Arial" w:eastAsia="Arial" w:hAnsi="Arial"/>
          <w:sz w:val="15"/>
          <w:szCs w:val="15"/>
          <w:color w:val="auto"/>
        </w:rPr>
        <w:t>Chief Services Officer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October 27, 2017</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VISA U.S.A. INC.</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78003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0030" cy="571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5"/>
          <w:szCs w:val="15"/>
          <w:b w:val="1"/>
          <w:bCs w:val="1"/>
          <w:color w:val="auto"/>
        </w:rPr>
        <w:t>(SIGNATURE OF VISA’S AUTHORIZED EMPLOYEE)</w:t>
      </w:r>
    </w:p>
    <w:p>
      <w:pPr>
        <w:spacing w:after="0" w:line="140"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w:t>
      </w:r>
    </w:p>
    <w:p>
      <w:pPr>
        <w:spacing w:after="0" w:line="1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Title:</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278003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8003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278003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80030"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October 27, 2017</w:t>
      </w:r>
    </w:p>
    <w:p>
      <w:pPr>
        <w:sectPr>
          <w:pgSz w:w="11900" w:h="16838" w:orient="portrait"/>
          <w:cols w:equalWidth="0" w:num="2">
            <w:col w:w="5100" w:space="220"/>
            <w:col w:w="4820"/>
          </w:cols>
          <w:pgMar w:left="880" w:top="122" w:right="879" w:bottom="1440" w:gutter="0" w:footer="0" w:header="0"/>
        </w:sectPr>
      </w:pPr>
    </w:p>
    <w:bookmarkStart w:id="38" w:name="page39"/>
    <w:bookmarkEnd w:id="38"/>
    <w:p>
      <w:pPr>
        <w:jc w:val="center"/>
        <w:ind w:right="220"/>
        <w:spacing w:after="0"/>
        <w:rPr>
          <w:sz w:val="20"/>
          <w:szCs w:val="20"/>
          <w:color w:val="auto"/>
        </w:rPr>
      </w:pPr>
      <w:r>
        <w:rPr>
          <w:rFonts w:ascii="Arial" w:cs="Arial" w:eastAsia="Arial" w:hAnsi="Arial"/>
          <w:sz w:val="15"/>
          <w:szCs w:val="15"/>
          <w:b w:val="1"/>
          <w:bCs w:val="1"/>
          <w:color w:val="auto"/>
        </w:rPr>
        <w:t>SCHEDULE A</w:t>
      </w:r>
    </w:p>
    <w:p>
      <w:pPr>
        <w:spacing w:after="0" w:line="183" w:lineRule="exact"/>
        <w:rPr>
          <w:sz w:val="20"/>
          <w:szCs w:val="20"/>
          <w:color w:val="auto"/>
        </w:rPr>
      </w:pPr>
    </w:p>
    <w:p>
      <w:pPr>
        <w:ind w:left="220" w:hanging="213"/>
        <w:spacing w:after="0"/>
        <w:tabs>
          <w:tab w:leader="none" w:pos="22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Defined Terms</w:t>
      </w:r>
      <w:r>
        <w:rPr>
          <w:rFonts w:ascii="Arial" w:cs="Arial" w:eastAsia="Arial" w:hAnsi="Arial"/>
          <w:sz w:val="15"/>
          <w:szCs w:val="15"/>
          <w:color w:val="auto"/>
        </w:rPr>
        <w:t>.</w:t>
      </w:r>
    </w:p>
    <w:p>
      <w:pPr>
        <w:spacing w:after="0" w:line="64" w:lineRule="exact"/>
        <w:rPr>
          <w:rFonts w:ascii="Arial" w:cs="Arial" w:eastAsia="Arial" w:hAnsi="Arial"/>
          <w:sz w:val="15"/>
          <w:szCs w:val="15"/>
          <w:b w:val="1"/>
          <w:bCs w:val="1"/>
          <w:color w:val="auto"/>
        </w:rPr>
      </w:pPr>
    </w:p>
    <w:p>
      <w:pPr>
        <w:ind w:left="500" w:hanging="274"/>
        <w:spacing w:after="0" w:line="252" w:lineRule="auto"/>
        <w:tabs>
          <w:tab w:leader="none" w:pos="552"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Acceptance Device</w:t>
      </w:r>
      <w:r>
        <w:rPr>
          <w:rFonts w:ascii="Arial" w:cs="Arial" w:eastAsia="Arial" w:hAnsi="Arial"/>
          <w:sz w:val="15"/>
          <w:szCs w:val="15"/>
          <w:color w:val="auto"/>
        </w:rPr>
        <w:t>” means any point-of-sale device, digital application, e-commerce platform, or other solution at an Unattended Merchant Location used to effect a financial transaction.</w:t>
      </w:r>
    </w:p>
    <w:p>
      <w:pPr>
        <w:spacing w:after="0" w:line="39" w:lineRule="exact"/>
        <w:rPr>
          <w:rFonts w:ascii="Arial" w:cs="Arial" w:eastAsia="Arial" w:hAnsi="Arial"/>
          <w:sz w:val="15"/>
          <w:szCs w:val="15"/>
          <w:color w:val="auto"/>
        </w:rPr>
      </w:pPr>
    </w:p>
    <w:p>
      <w:pPr>
        <w:ind w:left="540" w:hanging="314"/>
        <w:spacing w:after="0"/>
        <w:tabs>
          <w:tab w:leader="none" w:pos="5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w:t>
      </w:r>
      <w:r>
        <w:rPr>
          <w:rFonts w:ascii="Arial" w:cs="Arial" w:eastAsia="Arial" w:hAnsi="Arial"/>
          <w:sz w:val="15"/>
          <w:szCs w:val="15"/>
          <w:color w:val="auto"/>
        </w:rPr>
        <w:t>” means a source of value or funds, such as a demand deposit account, credit or charge account, or prepaid account.</w:t>
      </w:r>
    </w:p>
    <w:p>
      <w:pPr>
        <w:spacing w:after="0" w:line="64" w:lineRule="exact"/>
        <w:rPr>
          <w:rFonts w:ascii="Arial" w:cs="Arial" w:eastAsia="Arial" w:hAnsi="Arial"/>
          <w:sz w:val="15"/>
          <w:szCs w:val="15"/>
          <w:color w:val="auto"/>
        </w:rPr>
      </w:pPr>
    </w:p>
    <w:p>
      <w:pPr>
        <w:ind w:left="540" w:hanging="314"/>
        <w:spacing w:after="0"/>
        <w:tabs>
          <w:tab w:leader="none" w:pos="5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Card-Absent</w:t>
      </w:r>
      <w:r>
        <w:rPr>
          <w:rFonts w:ascii="Arial" w:cs="Arial" w:eastAsia="Arial" w:hAnsi="Arial"/>
          <w:sz w:val="15"/>
          <w:szCs w:val="15"/>
          <w:color w:val="auto"/>
        </w:rPr>
        <w:t>” describes a transaction completed in a Card-Absent Environment as defined in the Visa Rules.</w:t>
      </w:r>
    </w:p>
    <w:p>
      <w:pPr>
        <w:spacing w:after="0" w:line="64" w:lineRule="exact"/>
        <w:rPr>
          <w:rFonts w:ascii="Arial" w:cs="Arial" w:eastAsia="Arial" w:hAnsi="Arial"/>
          <w:sz w:val="15"/>
          <w:szCs w:val="15"/>
          <w:color w:val="auto"/>
        </w:rPr>
      </w:pPr>
    </w:p>
    <w:p>
      <w:pPr>
        <w:ind w:left="540" w:hanging="314"/>
        <w:spacing w:after="0"/>
        <w:tabs>
          <w:tab w:leader="none" w:pos="5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Card-Present</w:t>
      </w:r>
      <w:r>
        <w:rPr>
          <w:rFonts w:ascii="Arial" w:cs="Arial" w:eastAsia="Arial" w:hAnsi="Arial"/>
          <w:sz w:val="15"/>
          <w:szCs w:val="15"/>
          <w:color w:val="auto"/>
        </w:rPr>
        <w:t>” describes a transaction completed in a Card-Present Environment as defined in the Visa Rules.</w:t>
      </w:r>
    </w:p>
    <w:p>
      <w:pPr>
        <w:spacing w:after="0" w:line="64" w:lineRule="exact"/>
        <w:rPr>
          <w:rFonts w:ascii="Arial" w:cs="Arial" w:eastAsia="Arial" w:hAnsi="Arial"/>
          <w:sz w:val="15"/>
          <w:szCs w:val="15"/>
          <w:color w:val="auto"/>
        </w:rPr>
      </w:pPr>
    </w:p>
    <w:p>
      <w:pPr>
        <w:ind w:left="500" w:hanging="274"/>
        <w:spacing w:after="0" w:line="252" w:lineRule="auto"/>
        <w:tabs>
          <w:tab w:leader="none" w:pos="57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Client’s Acquirer</w:t>
      </w:r>
      <w:r>
        <w:rPr>
          <w:rFonts w:ascii="Arial" w:cs="Arial" w:eastAsia="Arial" w:hAnsi="Arial"/>
          <w:sz w:val="15"/>
          <w:szCs w:val="15"/>
          <w:color w:val="auto"/>
        </w:rPr>
        <w:t>” means the acquirer(s) with whom Client has entered into an agreement to process Visa Debit Transactions and Visa Credit Transactions that originating at an Unattended Merchant Location.</w:t>
      </w:r>
    </w:p>
    <w:p>
      <w:pPr>
        <w:spacing w:after="0" w:line="43" w:lineRule="exact"/>
        <w:rPr>
          <w:rFonts w:ascii="Arial" w:cs="Arial" w:eastAsia="Arial" w:hAnsi="Arial"/>
          <w:sz w:val="15"/>
          <w:szCs w:val="15"/>
          <w:color w:val="auto"/>
        </w:rPr>
      </w:pPr>
    </w:p>
    <w:p>
      <w:pPr>
        <w:ind w:left="540" w:hanging="314"/>
        <w:spacing w:after="0"/>
        <w:tabs>
          <w:tab w:leader="none" w:pos="5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540" w:hanging="314"/>
        <w:spacing w:after="0"/>
        <w:tabs>
          <w:tab w:leader="none" w:pos="5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Transaction</w:t>
      </w:r>
      <w:r>
        <w:rPr>
          <w:rFonts w:ascii="Arial" w:cs="Arial" w:eastAsia="Arial" w:hAnsi="Arial"/>
          <w:sz w:val="15"/>
          <w:szCs w:val="15"/>
          <w:color w:val="auto"/>
        </w:rPr>
        <w:t>” means, with respect to a:</w:t>
      </w:r>
    </w:p>
    <w:p>
      <w:pPr>
        <w:spacing w:after="0" w:line="68" w:lineRule="exact"/>
        <w:rPr>
          <w:rFonts w:ascii="Arial" w:cs="Arial" w:eastAsia="Arial" w:hAnsi="Arial"/>
          <w:sz w:val="15"/>
          <w:szCs w:val="15"/>
          <w:color w:val="auto"/>
        </w:rPr>
      </w:pPr>
    </w:p>
    <w:p>
      <w:pPr>
        <w:jc w:val="both"/>
        <w:ind w:left="780" w:hanging="226"/>
        <w:spacing w:after="0" w:line="292" w:lineRule="auto"/>
        <w:tabs>
          <w:tab w:leader="none" w:pos="857" w:val="left"/>
        </w:tabs>
        <w:numPr>
          <w:ilvl w:val="2"/>
          <w:numId w:val="18"/>
        </w:numPr>
        <w:rPr>
          <w:rFonts w:ascii="Arial" w:cs="Arial" w:eastAsia="Arial" w:hAnsi="Arial"/>
          <w:sz w:val="13"/>
          <w:szCs w:val="13"/>
          <w:color w:val="auto"/>
        </w:rPr>
      </w:pPr>
      <w:r>
        <w:rPr>
          <w:rFonts w:ascii="Arial" w:cs="Arial" w:eastAsia="Arial" w:hAnsi="Arial"/>
          <w:sz w:val="13"/>
          <w:szCs w:val="13"/>
          <w:color w:val="auto"/>
        </w:rPr>
        <w:t>*** Non-Regulated Card-Present Visa Debit IRF Rate, a Card-Present transaction for goods or services originating on a Debit Product at an Unattended Merchant Location assigned ***, other than Regulated Debit Transactions and credits, chargebacks, cash transactions (e.g., cash back transactions or prepaid card cash loads) and transactions that have been fully or partially refunded (due to a chargeback, credit or return, for example).</w:t>
      </w:r>
    </w:p>
    <w:p>
      <w:pPr>
        <w:spacing w:after="0" w:line="19" w:lineRule="exact"/>
        <w:rPr>
          <w:rFonts w:ascii="Arial" w:cs="Arial" w:eastAsia="Arial" w:hAnsi="Arial"/>
          <w:sz w:val="13"/>
          <w:szCs w:val="13"/>
          <w:color w:val="auto"/>
        </w:rPr>
      </w:pPr>
    </w:p>
    <w:p>
      <w:pPr>
        <w:jc w:val="both"/>
        <w:ind w:left="780" w:hanging="226"/>
        <w:spacing w:after="0" w:line="292" w:lineRule="auto"/>
        <w:tabs>
          <w:tab w:leader="none" w:pos="869" w:val="left"/>
        </w:tabs>
        <w:numPr>
          <w:ilvl w:val="2"/>
          <w:numId w:val="18"/>
        </w:numPr>
        <w:rPr>
          <w:rFonts w:ascii="Arial" w:cs="Arial" w:eastAsia="Arial" w:hAnsi="Arial"/>
          <w:sz w:val="13"/>
          <w:szCs w:val="13"/>
          <w:color w:val="auto"/>
        </w:rPr>
      </w:pPr>
      <w:r>
        <w:rPr>
          <w:rFonts w:ascii="Arial" w:cs="Arial" w:eastAsia="Arial" w:hAnsi="Arial"/>
          <w:sz w:val="13"/>
          <w:szCs w:val="13"/>
          <w:color w:val="auto"/>
        </w:rPr>
        <w:t>*** Non-Regulated Card-Absent Visa Debit IRF Rate, a Card-Absent transaction for goods or services originating on a Debit Product at an Unattended Merchant Location assigned ***, other than Regulated Debit Transactions and credits, chargebacks, cash transactions (e.g., cash back transactions or prepaid card cash loads) and transactions that have been fully or partially refunded (due to a chargeback, credit or return, for example).</w:t>
      </w:r>
    </w:p>
    <w:p>
      <w:pPr>
        <w:spacing w:after="0" w:line="19" w:lineRule="exact"/>
        <w:rPr>
          <w:rFonts w:ascii="Arial" w:cs="Arial" w:eastAsia="Arial" w:hAnsi="Arial"/>
          <w:sz w:val="13"/>
          <w:szCs w:val="13"/>
          <w:color w:val="auto"/>
        </w:rPr>
      </w:pPr>
    </w:p>
    <w:p>
      <w:pPr>
        <w:ind w:left="860" w:hanging="306"/>
        <w:spacing w:after="0"/>
        <w:tabs>
          <w:tab w:leader="none" w:pos="860" w:val="left"/>
        </w:tabs>
        <w:numPr>
          <w:ilvl w:val="2"/>
          <w:numId w:val="18"/>
        </w:numPr>
        <w:rPr>
          <w:rFonts w:ascii="Arial" w:cs="Arial" w:eastAsia="Arial" w:hAnsi="Arial"/>
          <w:sz w:val="13"/>
          <w:szCs w:val="13"/>
          <w:color w:val="auto"/>
        </w:rPr>
      </w:pPr>
      <w:r>
        <w:rPr>
          <w:rFonts w:ascii="Arial" w:cs="Arial" w:eastAsia="Arial" w:hAnsi="Arial"/>
          <w:sz w:val="13"/>
          <w:szCs w:val="13"/>
          <w:color w:val="auto"/>
        </w:rPr>
        <w:t>*** Regulated Card-Present Visa Debit IRF Rate, a Card-Present Regulated Debit Transaction originating at an Unattended Merchant Location assigned</w:t>
      </w:r>
    </w:p>
    <w:p>
      <w:pPr>
        <w:spacing w:after="0" w:line="26" w:lineRule="exact"/>
        <w:rPr>
          <w:rFonts w:ascii="Arial" w:cs="Arial" w:eastAsia="Arial" w:hAnsi="Arial"/>
          <w:sz w:val="13"/>
          <w:szCs w:val="13"/>
          <w:color w:val="auto"/>
        </w:rPr>
      </w:pPr>
    </w:p>
    <w:p>
      <w:pPr>
        <w:ind w:left="780"/>
        <w:spacing w:after="0" w:line="235" w:lineRule="auto"/>
        <w:rPr>
          <w:rFonts w:ascii="Arial" w:cs="Arial" w:eastAsia="Arial" w:hAnsi="Arial"/>
          <w:sz w:val="13"/>
          <w:szCs w:val="13"/>
          <w:color w:val="auto"/>
        </w:rPr>
      </w:pPr>
      <w:r>
        <w:rPr>
          <w:rFonts w:ascii="Arial" w:cs="Arial" w:eastAsia="Arial" w:hAnsi="Arial"/>
          <w:sz w:val="15"/>
          <w:szCs w:val="15"/>
          <w:color w:val="auto"/>
        </w:rPr>
        <w:t>***, other than credits, chargebacks, cash transactions (e.g., cash back transactions or prepaid card cash loads) and transactions that have been fully or partially refunded (due to a chargeback, credit or return, for example).</w:t>
      </w:r>
    </w:p>
    <w:p>
      <w:pPr>
        <w:spacing w:after="0" w:line="51" w:lineRule="exact"/>
        <w:rPr>
          <w:rFonts w:ascii="Arial" w:cs="Arial" w:eastAsia="Arial" w:hAnsi="Arial"/>
          <w:sz w:val="13"/>
          <w:szCs w:val="13"/>
          <w:color w:val="auto"/>
        </w:rPr>
      </w:pPr>
    </w:p>
    <w:p>
      <w:pPr>
        <w:ind w:left="860" w:hanging="306"/>
        <w:spacing w:after="0"/>
        <w:tabs>
          <w:tab w:leader="none" w:pos="860" w:val="left"/>
        </w:tabs>
        <w:numPr>
          <w:ilvl w:val="2"/>
          <w:numId w:val="18"/>
        </w:numPr>
        <w:rPr>
          <w:rFonts w:ascii="Arial" w:cs="Arial" w:eastAsia="Arial" w:hAnsi="Arial"/>
          <w:sz w:val="13"/>
          <w:szCs w:val="13"/>
          <w:color w:val="auto"/>
        </w:rPr>
      </w:pPr>
      <w:r>
        <w:rPr>
          <w:rFonts w:ascii="Arial" w:cs="Arial" w:eastAsia="Arial" w:hAnsi="Arial"/>
          <w:sz w:val="13"/>
          <w:szCs w:val="13"/>
          <w:color w:val="auto"/>
        </w:rPr>
        <w:t>*** Regulated Card-Absent Visa Debit IRF Rate, a Card-Absent Regulated Debit Transaction originating at an Unattended Merchant Location assigned</w:t>
      </w:r>
    </w:p>
    <w:p>
      <w:pPr>
        <w:spacing w:after="0" w:line="26" w:lineRule="exact"/>
        <w:rPr>
          <w:rFonts w:ascii="Arial" w:cs="Arial" w:eastAsia="Arial" w:hAnsi="Arial"/>
          <w:sz w:val="13"/>
          <w:szCs w:val="13"/>
          <w:color w:val="auto"/>
        </w:rPr>
      </w:pPr>
    </w:p>
    <w:p>
      <w:pPr>
        <w:ind w:left="780"/>
        <w:spacing w:after="0" w:line="235" w:lineRule="auto"/>
        <w:rPr>
          <w:rFonts w:ascii="Arial" w:cs="Arial" w:eastAsia="Arial" w:hAnsi="Arial"/>
          <w:sz w:val="13"/>
          <w:szCs w:val="13"/>
          <w:color w:val="auto"/>
        </w:rPr>
      </w:pPr>
      <w:r>
        <w:rPr>
          <w:rFonts w:ascii="Arial" w:cs="Arial" w:eastAsia="Arial" w:hAnsi="Arial"/>
          <w:sz w:val="15"/>
          <w:szCs w:val="15"/>
          <w:color w:val="auto"/>
        </w:rPr>
        <w:t>***, other than credits, chargebacks, cash transactions (e.g., cash back transactions or prepaid card cash loads) and transactions that have been fully or partially refunded (due to a chargeback, credit or return, for example).</w:t>
      </w:r>
    </w:p>
    <w:p>
      <w:pPr>
        <w:spacing w:after="0" w:line="51" w:lineRule="exact"/>
        <w:rPr>
          <w:rFonts w:ascii="Arial" w:cs="Arial" w:eastAsia="Arial" w:hAnsi="Arial"/>
          <w:sz w:val="13"/>
          <w:szCs w:val="13"/>
          <w:color w:val="auto"/>
        </w:rPr>
      </w:pPr>
    </w:p>
    <w:p>
      <w:pPr>
        <w:jc w:val="both"/>
        <w:ind w:left="780" w:hanging="226"/>
        <w:spacing w:after="0" w:line="238" w:lineRule="auto"/>
        <w:tabs>
          <w:tab w:leader="none" w:pos="898" w:val="left"/>
        </w:tabs>
        <w:numPr>
          <w:ilvl w:val="2"/>
          <w:numId w:val="18"/>
        </w:numPr>
        <w:rPr>
          <w:rFonts w:ascii="Arial" w:cs="Arial" w:eastAsia="Arial" w:hAnsi="Arial"/>
          <w:sz w:val="15"/>
          <w:szCs w:val="15"/>
          <w:color w:val="auto"/>
        </w:rPr>
      </w:pPr>
      <w:r>
        <w:rPr>
          <w:rFonts w:ascii="Arial" w:cs="Arial" w:eastAsia="Arial" w:hAnsi="Arial"/>
          <w:sz w:val="15"/>
          <w:szCs w:val="15"/>
          <w:color w:val="auto"/>
        </w:rPr>
        <w:t>*** Card-Present Visa Credit IRF Rate, a Card-Present transaction for goods or services originating on a Credit Product at an Unattended Merchant Location assigned ***, other than credits, chargebacks, cash transactions (e.g., cash back transactions or prepaid card cash loads) and transactions that have been fully or partially refunded (due to a chargeback, credit or return, for example).</w:t>
      </w:r>
    </w:p>
    <w:p>
      <w:pPr>
        <w:spacing w:after="0" w:line="52" w:lineRule="exact"/>
        <w:rPr>
          <w:rFonts w:ascii="Arial" w:cs="Arial" w:eastAsia="Arial" w:hAnsi="Arial"/>
          <w:sz w:val="15"/>
          <w:szCs w:val="15"/>
          <w:color w:val="auto"/>
        </w:rPr>
      </w:pPr>
    </w:p>
    <w:p>
      <w:pPr>
        <w:jc w:val="both"/>
        <w:ind w:left="780" w:hanging="226"/>
        <w:spacing w:after="0" w:line="238" w:lineRule="auto"/>
        <w:tabs>
          <w:tab w:leader="none" w:pos="935" w:val="left"/>
        </w:tabs>
        <w:numPr>
          <w:ilvl w:val="2"/>
          <w:numId w:val="18"/>
        </w:numPr>
        <w:rPr>
          <w:rFonts w:ascii="Arial" w:cs="Arial" w:eastAsia="Arial" w:hAnsi="Arial"/>
          <w:sz w:val="15"/>
          <w:szCs w:val="15"/>
          <w:color w:val="auto"/>
        </w:rPr>
      </w:pPr>
      <w:r>
        <w:rPr>
          <w:rFonts w:ascii="Arial" w:cs="Arial" w:eastAsia="Arial" w:hAnsi="Arial"/>
          <w:sz w:val="15"/>
          <w:szCs w:val="15"/>
          <w:color w:val="auto"/>
        </w:rPr>
        <w:t>*** Card-Absent Visa Credit IRF Rate, a Card-Absent transaction for goods or services originating on a Credit Product at an Unattended Merchant Location assigned ***, other than credits, chargebacks, cash transactions (e.g., cash back transactions or prepaid card cash loads) and transactions that have been fully or partially refunded (due to a chargeback, credit or return, for example).</w:t>
      </w:r>
    </w:p>
    <w:p>
      <w:pPr>
        <w:spacing w:after="0" w:line="52" w:lineRule="exact"/>
        <w:rPr>
          <w:rFonts w:ascii="Arial" w:cs="Arial" w:eastAsia="Arial" w:hAnsi="Arial"/>
          <w:sz w:val="15"/>
          <w:szCs w:val="15"/>
          <w:color w:val="auto"/>
        </w:rPr>
      </w:pPr>
    </w:p>
    <w:p>
      <w:pPr>
        <w:jc w:val="both"/>
        <w:ind w:left="780" w:hanging="226"/>
        <w:spacing w:after="0" w:line="263" w:lineRule="auto"/>
        <w:tabs>
          <w:tab w:leader="none" w:pos="832" w:val="left"/>
        </w:tabs>
        <w:numPr>
          <w:ilvl w:val="2"/>
          <w:numId w:val="18"/>
        </w:numPr>
        <w:rPr>
          <w:rFonts w:ascii="Arial" w:cs="Arial" w:eastAsia="Arial" w:hAnsi="Arial"/>
          <w:sz w:val="14"/>
          <w:szCs w:val="14"/>
          <w:color w:val="auto"/>
        </w:rPr>
      </w:pPr>
      <w:r>
        <w:rPr>
          <w:rFonts w:ascii="Arial" w:cs="Arial" w:eastAsia="Arial" w:hAnsi="Arial"/>
          <w:sz w:val="14"/>
          <w:szCs w:val="14"/>
          <w:color w:val="auto"/>
        </w:rPr>
        <w:t>*** Regulated Card-Present Visa Debit IRF Rate, a Card-Present Regulated Debit Transaction originating at an Unattended Merchant Location assigned an Eligible Merchant Category Code other than ***, other than credits, chargebacks, cash transactions (e.g., cash back transactions or prepaid card cash loads) and transactions that have been fully or partially refunded (due to a chargeback, credit or return, for example).</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43382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3820" cy="11430"/>
                    </a:xfrm>
                    <a:prstGeom prst="rect">
                      <a:avLst/>
                    </a:prstGeom>
                    <a:noFill/>
                  </pic:spPr>
                </pic:pic>
              </a:graphicData>
            </a:graphic>
          </wp:anchor>
        </w:drawing>
      </w:r>
    </w:p>
    <w:p>
      <w:pPr>
        <w:sectPr>
          <w:pgSz w:w="11900" w:h="16838" w:orient="portrait"/>
          <w:cols w:equalWidth="0" w:num="1">
            <w:col w:w="9920"/>
          </w:cols>
          <w:pgMar w:left="1100" w:top="122" w:right="879" w:bottom="1440" w:gutter="0" w:footer="0" w:header="0"/>
        </w:sectPr>
      </w:pPr>
    </w:p>
    <w:bookmarkStart w:id="39" w:name="page40"/>
    <w:bookmarkEnd w:id="39"/>
    <w:p>
      <w:pPr>
        <w:jc w:val="both"/>
        <w:ind w:left="560" w:hanging="226"/>
        <w:spacing w:after="0" w:line="263" w:lineRule="auto"/>
        <w:tabs>
          <w:tab w:leader="none" w:pos="617" w:val="left"/>
        </w:tabs>
        <w:numPr>
          <w:ilvl w:val="2"/>
          <w:numId w:val="19"/>
        </w:numPr>
        <w:rPr>
          <w:rFonts w:ascii="Arial" w:cs="Arial" w:eastAsia="Arial" w:hAnsi="Arial"/>
          <w:sz w:val="14"/>
          <w:szCs w:val="14"/>
          <w:color w:val="auto"/>
        </w:rPr>
      </w:pPr>
      <w:r>
        <w:rPr>
          <w:rFonts w:ascii="Arial" w:cs="Arial" w:eastAsia="Arial" w:hAnsi="Arial"/>
          <w:sz w:val="14"/>
          <w:szCs w:val="14"/>
          <w:color w:val="auto"/>
        </w:rPr>
        <w:t>*** Regulated Card-Absent Visa Debit IRF Rate, a Card-Absent Regulated Debit Transaction originating at an Unattended Merchant Location assigned an Eligible Merchant Category Code other than ***, other than credits, chargebacks, cash transactions (e.g., cash back transactions or prepaid card cash loads) and transactions that have been fully or partially refunded (due to a chargeback, credit or return, for example).</w:t>
      </w:r>
    </w:p>
    <w:p>
      <w:pPr>
        <w:spacing w:after="0" w:line="35" w:lineRule="exact"/>
        <w:rPr>
          <w:rFonts w:ascii="Arial" w:cs="Arial" w:eastAsia="Arial" w:hAnsi="Arial"/>
          <w:sz w:val="14"/>
          <w:szCs w:val="14"/>
          <w:color w:val="auto"/>
        </w:rPr>
      </w:pPr>
    </w:p>
    <w:p>
      <w:pPr>
        <w:jc w:val="both"/>
        <w:ind w:left="560" w:hanging="226"/>
        <w:spacing w:after="0" w:line="236" w:lineRule="auto"/>
        <w:tabs>
          <w:tab w:leader="none" w:pos="660" w:val="left"/>
        </w:tabs>
        <w:numPr>
          <w:ilvl w:val="2"/>
          <w:numId w:val="19"/>
        </w:numPr>
        <w:rPr>
          <w:rFonts w:ascii="Arial" w:cs="Arial" w:eastAsia="Arial" w:hAnsi="Arial"/>
          <w:sz w:val="15"/>
          <w:szCs w:val="15"/>
          <w:color w:val="auto"/>
        </w:rPr>
      </w:pPr>
      <w:r>
        <w:rPr>
          <w:rFonts w:ascii="Arial" w:cs="Arial" w:eastAsia="Arial" w:hAnsi="Arial"/>
          <w:sz w:val="15"/>
          <w:szCs w:val="15"/>
          <w:color w:val="auto"/>
        </w:rPr>
        <w:t>*** Non-Regulated Card-Absent Visa Debit IRF Rate, a Card-Absent transaction for goods or services originating on a Debit Product at an Unattended Merchant Location assigned an Eligible Merchant Category Code other than ***, other than Regulated Debit Transactions and credits, chargebacks, cash transactions (e.g., cash back transactions or prepaid card cash loads) and transactions that have been fully or partially refunded (due to a chargeback, credit or return, for example).</w:t>
      </w:r>
    </w:p>
    <w:p>
      <w:pPr>
        <w:spacing w:after="0" w:line="51" w:lineRule="exact"/>
        <w:rPr>
          <w:rFonts w:ascii="Arial" w:cs="Arial" w:eastAsia="Arial" w:hAnsi="Arial"/>
          <w:sz w:val="15"/>
          <w:szCs w:val="15"/>
          <w:color w:val="auto"/>
        </w:rPr>
      </w:pPr>
    </w:p>
    <w:p>
      <w:pPr>
        <w:ind w:left="560" w:hanging="226"/>
        <w:spacing w:after="0" w:line="282" w:lineRule="auto"/>
        <w:tabs>
          <w:tab w:leader="none" w:pos="709" w:val="left"/>
        </w:tabs>
        <w:numPr>
          <w:ilvl w:val="2"/>
          <w:numId w:val="19"/>
        </w:numPr>
        <w:rPr>
          <w:rFonts w:ascii="Arial" w:cs="Arial" w:eastAsia="Arial" w:hAnsi="Arial"/>
          <w:sz w:val="14"/>
          <w:szCs w:val="14"/>
          <w:color w:val="auto"/>
        </w:rPr>
      </w:pPr>
      <w:r>
        <w:rPr>
          <w:rFonts w:ascii="Arial" w:cs="Arial" w:eastAsia="Arial" w:hAnsi="Arial"/>
          <w:sz w:val="14"/>
          <w:szCs w:val="14"/>
          <w:color w:val="auto"/>
        </w:rPr>
        <w:t>*** Card-Absent Visa Credit IRF Rate, a Card-Absent transaction for goods or services originating on a Credit Product at an Unattended Merchant Location assigned an Eligible Merchant Category Code other than ***, excluding Visa Signature Preferred Credit Products.</w:t>
      </w:r>
    </w:p>
    <w:p>
      <w:pPr>
        <w:spacing w:after="0" w:line="18" w:lineRule="exact"/>
        <w:rPr>
          <w:rFonts w:ascii="Arial" w:cs="Arial" w:eastAsia="Arial" w:hAnsi="Arial"/>
          <w:sz w:val="14"/>
          <w:szCs w:val="14"/>
          <w:color w:val="auto"/>
        </w:rPr>
      </w:pPr>
    </w:p>
    <w:p>
      <w:pPr>
        <w:ind w:left="280" w:hanging="274"/>
        <w:spacing w:after="0" w:line="252" w:lineRule="auto"/>
        <w:tabs>
          <w:tab w:leader="none" w:pos="423"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CPS-qualified</w:t>
      </w:r>
      <w:r>
        <w:rPr>
          <w:rFonts w:ascii="Arial" w:cs="Arial" w:eastAsia="Arial" w:hAnsi="Arial"/>
          <w:sz w:val="15"/>
          <w:szCs w:val="15"/>
          <w:color w:val="auto"/>
        </w:rPr>
        <w:t>” means a Visa payment service that accommodates specific payment environments with an identifier that remains with the transaction throughout its life cycle.</w:t>
      </w:r>
    </w:p>
    <w:p>
      <w:pPr>
        <w:spacing w:after="0" w:line="39" w:lineRule="exact"/>
        <w:rPr>
          <w:rFonts w:ascii="Arial" w:cs="Arial" w:eastAsia="Arial" w:hAnsi="Arial"/>
          <w:sz w:val="15"/>
          <w:szCs w:val="15"/>
          <w:color w:val="auto"/>
        </w:rPr>
      </w:pPr>
    </w:p>
    <w:p>
      <w:pPr>
        <w:ind w:left="280" w:hanging="274"/>
        <w:spacing w:after="0" w:line="252" w:lineRule="auto"/>
        <w:tabs>
          <w:tab w:leader="none" w:pos="322"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Account</w:t>
      </w:r>
      <w:r>
        <w:rPr>
          <w:rFonts w:ascii="Arial" w:cs="Arial" w:eastAsia="Arial" w:hAnsi="Arial"/>
          <w:sz w:val="15"/>
          <w:szCs w:val="15"/>
          <w:color w:val="auto"/>
        </w:rPr>
        <w:t>” means a secured or unsecured open-ended credit Account, including revolving or non-revolving consumer, business or commercial credit or charge Accounts.</w:t>
      </w:r>
    </w:p>
    <w:p>
      <w:pPr>
        <w:spacing w:after="0" w:line="39"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Product</w:t>
      </w:r>
      <w:r>
        <w:rPr>
          <w:rFonts w:ascii="Arial" w:cs="Arial" w:eastAsia="Arial" w:hAnsi="Arial"/>
          <w:sz w:val="15"/>
          <w:szCs w:val="15"/>
          <w:color w:val="auto"/>
        </w:rPr>
        <w:t>” means a Payment Credential linked to a Credit Account that is issued or provisioned in the Territory.</w:t>
      </w:r>
    </w:p>
    <w:p>
      <w:pPr>
        <w:spacing w:after="0" w:line="64"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Debit Account</w:t>
      </w:r>
      <w:r>
        <w:rPr>
          <w:rFonts w:ascii="Arial" w:cs="Arial" w:eastAsia="Arial" w:hAnsi="Arial"/>
          <w:sz w:val="15"/>
          <w:szCs w:val="15"/>
          <w:color w:val="auto"/>
        </w:rPr>
        <w:t>” means a demand deposit, savings or other pre-funded Account, including reloadable and non-reloadable Accounts.</w:t>
      </w:r>
    </w:p>
    <w:p>
      <w:pPr>
        <w:spacing w:after="0" w:line="64" w:lineRule="exact"/>
        <w:rPr>
          <w:rFonts w:ascii="Arial" w:cs="Arial" w:eastAsia="Arial" w:hAnsi="Arial"/>
          <w:sz w:val="15"/>
          <w:szCs w:val="15"/>
          <w:color w:val="auto"/>
        </w:rPr>
      </w:pPr>
    </w:p>
    <w:p>
      <w:pPr>
        <w:ind w:left="280" w:hanging="274"/>
        <w:spacing w:after="0" w:line="252" w:lineRule="auto"/>
        <w:tabs>
          <w:tab w:leader="none" w:pos="341"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Debit Product</w:t>
      </w:r>
      <w:r>
        <w:rPr>
          <w:rFonts w:ascii="Arial" w:cs="Arial" w:eastAsia="Arial" w:hAnsi="Arial"/>
          <w:sz w:val="15"/>
          <w:szCs w:val="15"/>
          <w:color w:val="auto"/>
        </w:rPr>
        <w:t>” means a Payment Credential linked to a Debit Account that is issued or provisioned in the Territory and includes the term “Debit Card” as such term is defined in the EFTA.</w:t>
      </w:r>
    </w:p>
    <w:p>
      <w:pPr>
        <w:spacing w:after="0" w:line="39"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Merchant Category Code</w:t>
      </w:r>
      <w:r>
        <w:rPr>
          <w:rFonts w:ascii="Arial" w:cs="Arial" w:eastAsia="Arial" w:hAnsi="Arial"/>
          <w:sz w:val="15"/>
          <w:szCs w:val="15"/>
          <w:color w:val="auto"/>
        </w:rPr>
        <w:t>” means any one of the MCCs listed or named in Schedule B of this Agreement.</w:t>
      </w:r>
    </w:p>
    <w:p>
      <w:pPr>
        <w:spacing w:after="0" w:line="64" w:lineRule="exact"/>
        <w:rPr>
          <w:rFonts w:ascii="Arial" w:cs="Arial" w:eastAsia="Arial" w:hAnsi="Arial"/>
          <w:sz w:val="15"/>
          <w:szCs w:val="15"/>
          <w:color w:val="auto"/>
        </w:rPr>
      </w:pPr>
    </w:p>
    <w:p>
      <w:pPr>
        <w:jc w:val="both"/>
        <w:ind w:left="280" w:hanging="274"/>
        <w:spacing w:after="0" w:line="255" w:lineRule="auto"/>
        <w:tabs>
          <w:tab w:leader="none" w:pos="35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Transactions</w:t>
      </w:r>
      <w:r>
        <w:rPr>
          <w:rFonts w:ascii="Arial" w:cs="Arial" w:eastAsia="Arial" w:hAnsi="Arial"/>
          <w:sz w:val="14"/>
          <w:szCs w:val="14"/>
          <w:color w:val="auto"/>
        </w:rPr>
        <w:t>” collectively refers to the Eligible *** Non-Regulated Card-Present Visa Debit Transactions, the Eligible *** Non-Regulated Card-Absent Visa Debit Transactions, the Eligible *** Regulated Card-Present Visa Debit Transactions, the Eligible MCC-5814 Regulated Card-Absent Visa Debit Transactions, the Eligible *** Card-Present Visa Credit Transactions, the Eligible *** Card-Absent Visa Credit Transactions, the Eligible *** Non-Regulated Card-Absent Visa Debit Transactions, the Eligible *** Regulated Card-Present Visa Debit Transactions, the Eligible *** Regulated Card-Absent Visa Debit Transactions, and the Eligible *** Card-Absent Visa Credit Transactions, each as defined in Section B(2) of this Schedule A.</w:t>
      </w:r>
    </w:p>
    <w:p>
      <w:pPr>
        <w:spacing w:after="0" w:line="38" w:lineRule="exact"/>
        <w:rPr>
          <w:rFonts w:ascii="Arial" w:cs="Arial" w:eastAsia="Arial" w:hAnsi="Arial"/>
          <w:sz w:val="14"/>
          <w:szCs w:val="14"/>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Incentive Quarter</w:t>
      </w:r>
      <w:r>
        <w:rPr>
          <w:rFonts w:ascii="Arial" w:cs="Arial" w:eastAsia="Arial" w:hAnsi="Arial"/>
          <w:sz w:val="15"/>
          <w:szCs w:val="15"/>
          <w:color w:val="auto"/>
        </w:rPr>
        <w:t>” means the three-month period starting on the Effective Date and each succeeding three-month period during the Term.</w:t>
      </w:r>
    </w:p>
    <w:p>
      <w:pPr>
        <w:spacing w:after="0" w:line="64" w:lineRule="exact"/>
        <w:rPr>
          <w:rFonts w:ascii="Arial" w:cs="Arial" w:eastAsia="Arial" w:hAnsi="Arial"/>
          <w:sz w:val="15"/>
          <w:szCs w:val="15"/>
          <w:color w:val="auto"/>
        </w:rPr>
      </w:pPr>
    </w:p>
    <w:p>
      <w:pPr>
        <w:ind w:left="280" w:hanging="274"/>
        <w:spacing w:after="0" w:line="252" w:lineRule="auto"/>
        <w:tabs>
          <w:tab w:leader="none" w:pos="3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Interlink Product</w:t>
      </w:r>
      <w:r>
        <w:rPr>
          <w:rFonts w:ascii="Arial" w:cs="Arial" w:eastAsia="Arial" w:hAnsi="Arial"/>
          <w:sz w:val="15"/>
          <w:szCs w:val="15"/>
          <w:color w:val="auto"/>
        </w:rPr>
        <w:t>” means a Debit Product that enables the authorization, clearing and settlement of a financial transaction using *** in accordance with the Interlink Rules.</w:t>
      </w:r>
    </w:p>
    <w:p>
      <w:pPr>
        <w:spacing w:after="0" w:line="39"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Interlink Rules</w:t>
      </w:r>
      <w:r>
        <w:rPr>
          <w:rFonts w:ascii="Arial" w:cs="Arial" w:eastAsia="Arial" w:hAnsi="Arial"/>
          <w:sz w:val="15"/>
          <w:szCs w:val="15"/>
          <w:color w:val="auto"/>
        </w:rPr>
        <w:t>” means the Interlink Bylaws and Operating Regulations as may be amended from time to time.</w:t>
      </w:r>
    </w:p>
    <w:p>
      <w:pPr>
        <w:spacing w:after="0" w:line="64"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Interlink Transaction</w:t>
      </w:r>
      <w:r>
        <w:rPr>
          <w:rFonts w:ascii="Arial" w:cs="Arial" w:eastAsia="Arial" w:hAnsi="Arial"/>
          <w:sz w:val="13"/>
          <w:szCs w:val="13"/>
          <w:color w:val="auto"/>
        </w:rPr>
        <w:t>” means a transaction for payment of goods or services that (a) initiates with an Interlink Product, (b) originates at a Merchant Location,</w:t>
      </w:r>
    </w:p>
    <w:p>
      <w:pPr>
        <w:spacing w:after="0" w:line="30" w:lineRule="exact"/>
        <w:rPr>
          <w:rFonts w:ascii="Arial" w:cs="Arial" w:eastAsia="Arial" w:hAnsi="Arial"/>
          <w:sz w:val="13"/>
          <w:szCs w:val="13"/>
          <w:color w:val="auto"/>
        </w:rPr>
      </w:pPr>
    </w:p>
    <w:p>
      <w:pPr>
        <w:jc w:val="both"/>
        <w:ind w:left="280"/>
        <w:spacing w:after="0" w:line="232" w:lineRule="auto"/>
        <w:tabs>
          <w:tab w:leader="none" w:pos="505" w:val="left"/>
        </w:tabs>
        <w:numPr>
          <w:ilvl w:val="1"/>
          <w:numId w:val="20"/>
        </w:numPr>
        <w:rPr>
          <w:rFonts w:ascii="Arial" w:cs="Arial" w:eastAsia="Arial" w:hAnsi="Arial"/>
          <w:sz w:val="15"/>
          <w:szCs w:val="15"/>
          <w:color w:val="auto"/>
        </w:rPr>
      </w:pPr>
      <w:r>
        <w:rPr>
          <w:rFonts w:ascii="Arial" w:cs="Arial" w:eastAsia="Arial" w:hAnsi="Arial"/>
          <w:sz w:val="15"/>
          <w:szCs w:val="15"/>
          <w:color w:val="auto"/>
        </w:rPr>
        <w:t>contains the applicable MVV, and (d) is routed for authorization, clearing and settlement over ***. “Interlink Transaction” does not include credits, chargebacks, returns and the corresponding original transactions that have been fully or partially refunded (due to such credit, chargeback or return), and cash transactions (e.g., cash back transactions or prepaid product cash loads).</w:t>
      </w:r>
    </w:p>
    <w:p>
      <w:pPr>
        <w:spacing w:after="0" w:line="53"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320" w:hanging="314"/>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MCC</w:t>
      </w:r>
      <w:r>
        <w:rPr>
          <w:rFonts w:ascii="Arial" w:cs="Arial" w:eastAsia="Arial" w:hAnsi="Arial"/>
          <w:sz w:val="14"/>
          <w:szCs w:val="14"/>
          <w:color w:val="auto"/>
        </w:rPr>
        <w:t>” means a code designating the principal trade, profession, or line of business in which a merchant is engaged, as specified in the Visa Rules.</w:t>
      </w:r>
    </w:p>
    <w:p>
      <w:pPr>
        <w:spacing w:after="0" w:line="1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57150</wp:posOffset>
            </wp:positionV>
            <wp:extent cx="64338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700"/>
          </w:cols>
          <w:pgMar w:left="1320" w:top="126" w:right="879" w:bottom="1440" w:gutter="0" w:footer="0" w:header="0"/>
        </w:sectPr>
      </w:pPr>
    </w:p>
    <w:bookmarkStart w:id="40" w:name="page41"/>
    <w:bookmarkEnd w:id="40"/>
    <w:p>
      <w:pPr>
        <w:ind w:left="280" w:hanging="274"/>
        <w:spacing w:after="0" w:line="252" w:lineRule="auto"/>
        <w:tabs>
          <w:tab w:leader="none" w:pos="3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Merchant</w:t>
      </w:r>
      <w:r>
        <w:rPr>
          <w:rFonts w:ascii="Arial" w:cs="Arial" w:eastAsia="Arial" w:hAnsi="Arial"/>
          <w:sz w:val="15"/>
          <w:szCs w:val="15"/>
          <w:color w:val="auto"/>
        </w:rPr>
        <w:t>” means the merchants with whom Client has entered into an agreement, directly or indirectly through a third party, for the acceptance of Visa Products or to provide authorization, clearing, and settlement services for transactions initiating with such Visa Products.</w:t>
      </w:r>
    </w:p>
    <w:p>
      <w:pPr>
        <w:spacing w:after="0" w:line="38"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MVV</w:t>
      </w:r>
      <w:r>
        <w:rPr>
          <w:rFonts w:ascii="Arial" w:cs="Arial" w:eastAsia="Arial" w:hAnsi="Arial"/>
          <w:sz w:val="15"/>
          <w:szCs w:val="15"/>
          <w:color w:val="auto"/>
        </w:rPr>
        <w:t>” means a value assigned by Visa used to identify participation in select merchant programs.</w:t>
      </w:r>
    </w:p>
    <w:p>
      <w:pPr>
        <w:spacing w:after="0" w:line="68"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Non-Regulated Visa Debit Transaction</w:t>
      </w:r>
      <w:r>
        <w:rPr>
          <w:rFonts w:ascii="Arial" w:cs="Arial" w:eastAsia="Arial" w:hAnsi="Arial"/>
          <w:sz w:val="15"/>
          <w:szCs w:val="15"/>
          <w:color w:val="auto"/>
        </w:rPr>
        <w:t>” means a Visa Debit Transaction, excluding Regulated Debit Product Transactions.</w:t>
      </w:r>
    </w:p>
    <w:p>
      <w:pPr>
        <w:spacing w:after="0" w:line="68"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Non-Visa-Owned Network</w:t>
      </w:r>
      <w:r>
        <w:rPr>
          <w:rFonts w:ascii="Arial" w:cs="Arial" w:eastAsia="Arial" w:hAnsi="Arial"/>
          <w:sz w:val="15"/>
          <w:szCs w:val="15"/>
          <w:color w:val="auto"/>
        </w:rPr>
        <w:t>” means any Payment Network operating in the Territory that is not owned by Visa.</w:t>
      </w:r>
    </w:p>
    <w:p>
      <w:pPr>
        <w:spacing w:after="0" w:line="64" w:lineRule="exact"/>
        <w:rPr>
          <w:rFonts w:ascii="Arial" w:cs="Arial" w:eastAsia="Arial" w:hAnsi="Arial"/>
          <w:sz w:val="15"/>
          <w:szCs w:val="15"/>
          <w:color w:val="auto"/>
        </w:rPr>
      </w:pPr>
    </w:p>
    <w:p>
      <w:pPr>
        <w:ind w:left="280" w:hanging="274"/>
        <w:spacing w:after="0" w:line="252" w:lineRule="auto"/>
        <w:tabs>
          <w:tab w:leader="none" w:pos="359"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Non-Visa Product</w:t>
      </w:r>
      <w:r>
        <w:rPr>
          <w:rFonts w:ascii="Arial" w:cs="Arial" w:eastAsia="Arial" w:hAnsi="Arial"/>
          <w:sz w:val="15"/>
          <w:szCs w:val="15"/>
          <w:color w:val="auto"/>
        </w:rPr>
        <w:t>” means a Payment Credential that is linked to an Account that is issued or provisioned in the Territory, excluding Visa Products and Interlink Products.</w:t>
      </w:r>
    </w:p>
    <w:p>
      <w:pPr>
        <w:spacing w:after="0" w:line="39" w:lineRule="exact"/>
        <w:rPr>
          <w:rFonts w:ascii="Arial" w:cs="Arial" w:eastAsia="Arial" w:hAnsi="Arial"/>
          <w:sz w:val="15"/>
          <w:szCs w:val="15"/>
          <w:color w:val="auto"/>
        </w:rPr>
      </w:pPr>
    </w:p>
    <w:p>
      <w:pPr>
        <w:ind w:left="320" w:hanging="314"/>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Non-Visa Transaction</w:t>
      </w:r>
      <w:r>
        <w:rPr>
          <w:rFonts w:ascii="Arial" w:cs="Arial" w:eastAsia="Arial" w:hAnsi="Arial"/>
          <w:sz w:val="15"/>
          <w:szCs w:val="15"/>
          <w:color w:val="auto"/>
        </w:rPr>
        <w:t>” means a transaction originating on a Non-Visa Product.</w:t>
      </w:r>
    </w:p>
    <w:p>
      <w:pPr>
        <w:spacing w:after="0" w:line="64" w:lineRule="exact"/>
        <w:rPr>
          <w:rFonts w:ascii="Arial" w:cs="Arial" w:eastAsia="Arial" w:hAnsi="Arial"/>
          <w:sz w:val="15"/>
          <w:szCs w:val="15"/>
          <w:color w:val="auto"/>
        </w:rPr>
      </w:pPr>
    </w:p>
    <w:p>
      <w:pPr>
        <w:jc w:val="both"/>
        <w:ind w:left="280" w:hanging="274"/>
        <w:spacing w:after="0"/>
        <w:tabs>
          <w:tab w:leader="none" w:pos="3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 Credential</w:t>
      </w:r>
      <w:r>
        <w:rPr>
          <w:rFonts w:ascii="Arial" w:cs="Arial" w:eastAsia="Arial" w:hAnsi="Arial"/>
          <w:sz w:val="15"/>
          <w:szCs w:val="15"/>
          <w:color w:val="auto"/>
        </w:rPr>
        <w:t>” means a payment code, identification number, or other credential (including any token or proxy) linked to an Account that enables a Payment Credential user to make financial transactions using a Payment Network’s systems. An example of a Payment Credential is a 16-digit number known as a PAN that utilizes a Bank Identification Number (BIN) licensed by a Payment Network.</w:t>
      </w:r>
    </w:p>
    <w:p>
      <w:pPr>
        <w:spacing w:after="0" w:line="47" w:lineRule="exact"/>
        <w:rPr>
          <w:rFonts w:ascii="Arial" w:cs="Arial" w:eastAsia="Arial" w:hAnsi="Arial"/>
          <w:sz w:val="15"/>
          <w:szCs w:val="15"/>
          <w:color w:val="auto"/>
        </w:rPr>
      </w:pPr>
    </w:p>
    <w:p>
      <w:pPr>
        <w:jc w:val="both"/>
        <w:ind w:left="280" w:hanging="274"/>
        <w:spacing w:after="0" w:line="237" w:lineRule="auto"/>
        <w:tabs>
          <w:tab w:leader="none" w:pos="35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 Communication Protocol</w:t>
      </w:r>
      <w:r>
        <w:rPr>
          <w:rFonts w:ascii="Arial" w:cs="Arial" w:eastAsia="Arial" w:hAnsi="Arial"/>
          <w:sz w:val="15"/>
          <w:szCs w:val="15"/>
          <w:color w:val="auto"/>
        </w:rPr>
        <w:t>” means any technology, protocol or solution by which information is communicated to an Acceptance Device for the purpose of effecting a financial transaction. Examples of a Payment Communication Protocol include but are not limited to magnetic stripe, contact chip, RFID, near field communication (NFC), Bluetooth Low Energy (BLE), Quick Response (QR) codes, bar codes, manual key entry of the Payment Credential, sound waves and magnetic secure transmissions (MST).</w:t>
      </w:r>
    </w:p>
    <w:p>
      <w:pPr>
        <w:spacing w:after="0" w:line="48" w:lineRule="exact"/>
        <w:rPr>
          <w:rFonts w:ascii="Arial" w:cs="Arial" w:eastAsia="Arial" w:hAnsi="Arial"/>
          <w:sz w:val="15"/>
          <w:szCs w:val="15"/>
          <w:color w:val="auto"/>
        </w:rPr>
      </w:pPr>
    </w:p>
    <w:p>
      <w:pPr>
        <w:jc w:val="both"/>
        <w:ind w:left="280" w:hanging="274"/>
        <w:spacing w:after="0"/>
        <w:tabs>
          <w:tab w:leader="none" w:pos="359"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 Device</w:t>
      </w:r>
      <w:r>
        <w:rPr>
          <w:rFonts w:ascii="Arial" w:cs="Arial" w:eastAsia="Arial" w:hAnsi="Arial"/>
          <w:sz w:val="15"/>
          <w:szCs w:val="15"/>
          <w:color w:val="auto"/>
        </w:rPr>
        <w:t>” means any card, device, digital application or other solution used to initiate a transaction with a Payment Credential. Examples of a Payment Device include plastic or metal payment cards, digital or virtual forms of payment cards, software applications, a key fob, a micro tag, an online customer protocol or a mobile wallet using a tokenized Payment Credential.</w:t>
      </w:r>
    </w:p>
    <w:p>
      <w:pPr>
        <w:spacing w:after="0" w:line="47" w:lineRule="exact"/>
        <w:rPr>
          <w:rFonts w:ascii="Arial" w:cs="Arial" w:eastAsia="Arial" w:hAnsi="Arial"/>
          <w:sz w:val="15"/>
          <w:szCs w:val="15"/>
          <w:color w:val="auto"/>
        </w:rPr>
      </w:pPr>
    </w:p>
    <w:p>
      <w:pPr>
        <w:ind w:left="280" w:hanging="274"/>
        <w:spacing w:after="0" w:line="252" w:lineRule="auto"/>
        <w:tabs>
          <w:tab w:leader="none" w:pos="3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 Network</w:t>
      </w:r>
      <w:r>
        <w:rPr>
          <w:rFonts w:ascii="Arial" w:cs="Arial" w:eastAsia="Arial" w:hAnsi="Arial"/>
          <w:sz w:val="15"/>
          <w:szCs w:val="15"/>
          <w:color w:val="auto"/>
        </w:rPr>
        <w:t>” means any electronic payment network, including but not limited to Visa, MasterCard, American Express, Discover, UnionPay, JCB, STAR, NYCE, PULSE, Maestro, Merchant Customer Exchange (MCX), Early Warning Services, LLC, Chase and PayPal.</w:t>
      </w:r>
    </w:p>
    <w:p>
      <w:pPr>
        <w:spacing w:after="0" w:line="39" w:lineRule="exact"/>
        <w:rPr>
          <w:rFonts w:ascii="Arial" w:cs="Arial" w:eastAsia="Arial" w:hAnsi="Arial"/>
          <w:sz w:val="15"/>
          <w:szCs w:val="15"/>
          <w:color w:val="auto"/>
        </w:rPr>
      </w:pPr>
    </w:p>
    <w:p>
      <w:pPr>
        <w:jc w:val="both"/>
        <w:ind w:left="280" w:hanging="274"/>
        <w:spacing w:after="0" w:line="276" w:lineRule="auto"/>
        <w:tabs>
          <w:tab w:leader="none" w:pos="322" w:val="left"/>
        </w:tabs>
        <w:numPr>
          <w:ilvl w:val="0"/>
          <w:numId w:val="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Promotional IRF Rates</w:t>
      </w:r>
      <w:r>
        <w:rPr>
          <w:rFonts w:ascii="Arial" w:cs="Arial" w:eastAsia="Arial" w:hAnsi="Arial"/>
          <w:sz w:val="13"/>
          <w:szCs w:val="13"/>
          <w:color w:val="auto"/>
        </w:rPr>
        <w:t>” collectively refers to the *** Non-Regulated Card-Present Visa Debit IRF Rate, the *** Non-Regulated Card-Absent Visa Debit IRF Rate, *** Regulated Card-Present Visa Debit IRF Rate, the *** Regulated Card-Absent Visa Debit IRF Rate, the *** Card-Present Visa Credit IRF Rate, the</w:t>
      </w:r>
    </w:p>
    <w:p>
      <w:pPr>
        <w:ind w:left="540" w:hanging="260"/>
        <w:spacing w:after="0"/>
        <w:tabs>
          <w:tab w:leader="none" w:pos="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Card-Absent Visa Credit IRF Rate, the *** Non-Regulated Card-Absent Visa Debit IRF Rate, the *** Regulated Card-Present Visa Debit IRF Rate, the ***</w:t>
      </w:r>
    </w:p>
    <w:p>
      <w:pPr>
        <w:spacing w:after="0" w:line="14"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4"/>
          <w:szCs w:val="14"/>
          <w:color w:val="auto"/>
        </w:rPr>
        <w:t>Regulated Card-Absent Visa Debit IRF Rate, and the *** Card-Absent Visa Credit IRF Rate, each as defined in Section B(2) of this Schedule A.</w:t>
      </w:r>
    </w:p>
    <w:p>
      <w:pPr>
        <w:spacing w:after="0" w:line="60" w:lineRule="exact"/>
        <w:rPr>
          <w:rFonts w:ascii="Arial" w:cs="Arial" w:eastAsia="Arial" w:hAnsi="Arial"/>
          <w:sz w:val="13"/>
          <w:szCs w:val="13"/>
          <w:color w:val="auto"/>
        </w:rPr>
      </w:pPr>
    </w:p>
    <w:p>
      <w:pPr>
        <w:jc w:val="both"/>
        <w:ind w:left="280" w:hanging="274"/>
        <w:spacing w:after="0" w:line="296" w:lineRule="auto"/>
        <w:tabs>
          <w:tab w:leader="none" w:pos="3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Regulated Debit Product Transaction</w:t>
      </w:r>
      <w:r>
        <w:rPr>
          <w:rFonts w:ascii="Arial" w:cs="Arial" w:eastAsia="Arial" w:hAnsi="Arial"/>
          <w:sz w:val="13"/>
          <w:szCs w:val="13"/>
          <w:color w:val="auto"/>
        </w:rPr>
        <w:t>” means a transaction for goods and services originating on a Debit Product that is a “Debit Card” (as such term is defined in section 920(c)(2) of The Electronic Fund Transfer Act, as amended (the “</w:t>
      </w:r>
      <w:r>
        <w:rPr>
          <w:rFonts w:ascii="Arial" w:cs="Arial" w:eastAsia="Arial" w:hAnsi="Arial"/>
          <w:sz w:val="13"/>
          <w:szCs w:val="13"/>
          <w:b w:val="1"/>
          <w:bCs w:val="1"/>
          <w:color w:val="auto"/>
        </w:rPr>
        <w:t>EFTA</w:t>
      </w:r>
      <w:r>
        <w:rPr>
          <w:rFonts w:ascii="Arial" w:cs="Arial" w:eastAsia="Arial" w:hAnsi="Arial"/>
          <w:sz w:val="13"/>
          <w:szCs w:val="13"/>
          <w:color w:val="auto"/>
        </w:rPr>
        <w:t>”)), including transactions originating on the types of cards listed in 920(a)(7)(B) of the EFTA, but excluding transactions originating on the types of cards listed in sections 920(a)(6) and 920(a)(7)(A) of the EFTA.</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57150</wp:posOffset>
            </wp:positionV>
            <wp:extent cx="64338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700"/>
          </w:cols>
          <w:pgMar w:left="1320" w:top="122" w:right="879" w:bottom="1440" w:gutter="0" w:footer="0" w:header="0"/>
        </w:sectPr>
      </w:pPr>
    </w:p>
    <w:bookmarkStart w:id="41" w:name="page42"/>
    <w:bookmarkEnd w:id="41"/>
    <w:p>
      <w:pPr>
        <w:ind w:left="500" w:hanging="274"/>
        <w:spacing w:after="0" w:line="252" w:lineRule="auto"/>
        <w:tabs>
          <w:tab w:leader="none" w:pos="542"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Regulations</w:t>
      </w:r>
      <w:r>
        <w:rPr>
          <w:rFonts w:ascii="Arial" w:cs="Arial" w:eastAsia="Arial" w:hAnsi="Arial"/>
          <w:sz w:val="15"/>
          <w:szCs w:val="15"/>
          <w:color w:val="auto"/>
        </w:rPr>
        <w:t>” refers to the “Debit Card Interchange Fees and Routing; Final Rule”, published as 12 CFR Part 235 on Wednesday, July 20, 2011 in Vol. 76, No. 139 of the Federal Register of the United States of America, as may be amended from time to time.</w:t>
      </w:r>
    </w:p>
    <w:p>
      <w:pPr>
        <w:spacing w:after="0" w:line="38" w:lineRule="exact"/>
        <w:rPr>
          <w:rFonts w:ascii="Arial" w:cs="Arial" w:eastAsia="Arial" w:hAnsi="Arial"/>
          <w:sz w:val="15"/>
          <w:szCs w:val="15"/>
          <w:color w:val="auto"/>
        </w:rPr>
      </w:pPr>
    </w:p>
    <w:p>
      <w:pPr>
        <w:ind w:left="540" w:hanging="314"/>
        <w:spacing w:after="0"/>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Territory</w:t>
      </w:r>
      <w:r>
        <w:rPr>
          <w:rFonts w:ascii="Arial" w:cs="Arial" w:eastAsia="Arial" w:hAnsi="Arial"/>
          <w:sz w:val="15"/>
          <w:szCs w:val="15"/>
          <w:color w:val="auto"/>
        </w:rPr>
        <w:t>” means the 50 United States and the District of Columbia.</w:t>
      </w:r>
    </w:p>
    <w:p>
      <w:pPr>
        <w:spacing w:after="0" w:line="64" w:lineRule="exact"/>
        <w:rPr>
          <w:rFonts w:ascii="Arial" w:cs="Arial" w:eastAsia="Arial" w:hAnsi="Arial"/>
          <w:sz w:val="15"/>
          <w:szCs w:val="15"/>
          <w:color w:val="auto"/>
        </w:rPr>
      </w:pPr>
    </w:p>
    <w:p>
      <w:pPr>
        <w:jc w:val="both"/>
        <w:ind w:left="500" w:hanging="274"/>
        <w:spacing w:after="0"/>
        <w:tabs>
          <w:tab w:leader="none" w:pos="561"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Unattended Merchant Location</w:t>
      </w:r>
      <w:r>
        <w:rPr>
          <w:rFonts w:ascii="Arial" w:cs="Arial" w:eastAsia="Arial" w:hAnsi="Arial"/>
          <w:sz w:val="15"/>
          <w:szCs w:val="15"/>
          <w:color w:val="auto"/>
        </w:rPr>
        <w:t>” means any stand-alone unattended vending or self-serve retail machine physically located in the Territory that is owned, operated, or serviced by a Merchant that (i) has been properly assigned (per the Visa Rules) any one of the Eligible Merchant Category Codes; and (ii) that has an MVV assigned by Visa.</w:t>
      </w:r>
    </w:p>
    <w:p>
      <w:pPr>
        <w:spacing w:after="0" w:line="47" w:lineRule="exact"/>
        <w:rPr>
          <w:rFonts w:ascii="Arial" w:cs="Arial" w:eastAsia="Arial" w:hAnsi="Arial"/>
          <w:sz w:val="15"/>
          <w:szCs w:val="15"/>
          <w:color w:val="auto"/>
        </w:rPr>
      </w:pPr>
    </w:p>
    <w:p>
      <w:pPr>
        <w:jc w:val="both"/>
        <w:ind w:left="500" w:hanging="274"/>
        <w:spacing w:after="0"/>
        <w:tabs>
          <w:tab w:leader="none" w:pos="561"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Checkout</w:t>
      </w:r>
      <w:r>
        <w:rPr>
          <w:rFonts w:ascii="Arial" w:cs="Arial" w:eastAsia="Arial" w:hAnsi="Arial"/>
          <w:sz w:val="15"/>
          <w:szCs w:val="15"/>
          <w:color w:val="auto"/>
        </w:rPr>
        <w:t>” means Visa’s digital commerce platform under the name “Visa Checkout” (or a successor name) that enables consumers to centralize the storage and management of Account information though a secure interface that is accessible across multiple channels, including smartphones, personal computers, digital tablets and other web-enabled devices.</w:t>
      </w:r>
    </w:p>
    <w:p>
      <w:pPr>
        <w:spacing w:after="0" w:line="47" w:lineRule="exact"/>
        <w:rPr>
          <w:rFonts w:ascii="Arial" w:cs="Arial" w:eastAsia="Arial" w:hAnsi="Arial"/>
          <w:sz w:val="15"/>
          <w:szCs w:val="15"/>
          <w:color w:val="auto"/>
        </w:rPr>
      </w:pPr>
    </w:p>
    <w:p>
      <w:pPr>
        <w:ind w:left="540" w:hanging="314"/>
        <w:spacing w:after="0"/>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Credit Product</w:t>
      </w:r>
      <w:r>
        <w:rPr>
          <w:rFonts w:ascii="Arial" w:cs="Arial" w:eastAsia="Arial" w:hAnsi="Arial"/>
          <w:sz w:val="15"/>
          <w:szCs w:val="15"/>
          <w:color w:val="auto"/>
        </w:rPr>
        <w:t>” means a Credit Product with a Visa Payment Credential.</w:t>
      </w:r>
    </w:p>
    <w:p>
      <w:pPr>
        <w:spacing w:after="0" w:line="64" w:lineRule="exact"/>
        <w:rPr>
          <w:rFonts w:ascii="Arial" w:cs="Arial" w:eastAsia="Arial" w:hAnsi="Arial"/>
          <w:sz w:val="15"/>
          <w:szCs w:val="15"/>
          <w:color w:val="auto"/>
        </w:rPr>
      </w:pPr>
    </w:p>
    <w:p>
      <w:pPr>
        <w:jc w:val="both"/>
        <w:ind w:left="500" w:hanging="274"/>
        <w:spacing w:after="0"/>
        <w:tabs>
          <w:tab w:leader="none" w:pos="57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Credit Transaction</w:t>
      </w:r>
      <w:r>
        <w:rPr>
          <w:rFonts w:ascii="Arial" w:cs="Arial" w:eastAsia="Arial" w:hAnsi="Arial"/>
          <w:sz w:val="15"/>
          <w:szCs w:val="15"/>
          <w:color w:val="auto"/>
        </w:rPr>
        <w:t>” means a transaction for payment of goods or services (i) initiated with a Visa Credit Product; (ii) originating at an Unattended Merchant Location; (iii) containing the applicable MVV; and (iv) routed for authorization, clearing and settlement over *** or ***. “Visa Credit Transaction” excludes credits, chargebacks and cash transactions (e.g., cash back transactions or prepaid cash loads).</w:t>
      </w:r>
    </w:p>
    <w:p>
      <w:pPr>
        <w:spacing w:after="0" w:line="47" w:lineRule="exact"/>
        <w:rPr>
          <w:rFonts w:ascii="Arial" w:cs="Arial" w:eastAsia="Arial" w:hAnsi="Arial"/>
          <w:sz w:val="15"/>
          <w:szCs w:val="15"/>
          <w:color w:val="auto"/>
        </w:rPr>
      </w:pPr>
    </w:p>
    <w:p>
      <w:pPr>
        <w:ind w:left="540" w:hanging="314"/>
        <w:spacing w:after="0"/>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Debit Product</w:t>
      </w:r>
      <w:r>
        <w:rPr>
          <w:rFonts w:ascii="Arial" w:cs="Arial" w:eastAsia="Arial" w:hAnsi="Arial"/>
          <w:sz w:val="15"/>
          <w:szCs w:val="15"/>
          <w:color w:val="auto"/>
        </w:rPr>
        <w:t>” means a Debit Product with a Visa Payment Credential.</w:t>
      </w:r>
    </w:p>
    <w:p>
      <w:pPr>
        <w:spacing w:after="0" w:line="64" w:lineRule="exact"/>
        <w:rPr>
          <w:rFonts w:ascii="Arial" w:cs="Arial" w:eastAsia="Arial" w:hAnsi="Arial"/>
          <w:sz w:val="15"/>
          <w:szCs w:val="15"/>
          <w:color w:val="auto"/>
        </w:rPr>
      </w:pPr>
    </w:p>
    <w:p>
      <w:pPr>
        <w:jc w:val="both"/>
        <w:ind w:left="500" w:hanging="274"/>
        <w:spacing w:after="0" w:line="237" w:lineRule="auto"/>
        <w:tabs>
          <w:tab w:leader="none" w:pos="579"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Debit Transaction</w:t>
      </w:r>
      <w:r>
        <w:rPr>
          <w:rFonts w:ascii="Arial" w:cs="Arial" w:eastAsia="Arial" w:hAnsi="Arial"/>
          <w:sz w:val="15"/>
          <w:szCs w:val="15"/>
          <w:color w:val="auto"/>
        </w:rPr>
        <w:t>” means a transaction for payment of goods or services (i) initiated with a Visa Debit Product; (ii) originating at an Unattended Merchant Location; (iii) containing the applicable MVV; and (iv) routed for authorization, clearing and settlement over *** or ***. “Visa Debit Transaction” excludes Interlink Transactions, credits, chargebacks, cash transactions (e.g., cash back transactions or prepaid cash loads), and PIN-Authenticated Visa Debit Transactions.</w:t>
      </w:r>
    </w:p>
    <w:p>
      <w:pPr>
        <w:spacing w:after="0" w:line="48" w:lineRule="exact"/>
        <w:rPr>
          <w:rFonts w:ascii="Arial" w:cs="Arial" w:eastAsia="Arial" w:hAnsi="Arial"/>
          <w:sz w:val="15"/>
          <w:szCs w:val="15"/>
          <w:color w:val="auto"/>
        </w:rPr>
      </w:pPr>
    </w:p>
    <w:p>
      <w:pPr>
        <w:ind w:left="500" w:hanging="274"/>
        <w:spacing w:after="0" w:line="252" w:lineRule="auto"/>
        <w:tabs>
          <w:tab w:leader="none" w:pos="542"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Payment Credential</w:t>
      </w:r>
      <w:r>
        <w:rPr>
          <w:rFonts w:ascii="Arial" w:cs="Arial" w:eastAsia="Arial" w:hAnsi="Arial"/>
          <w:sz w:val="15"/>
          <w:szCs w:val="15"/>
          <w:color w:val="auto"/>
        </w:rPr>
        <w:t>” means a Payment Credential that enables the authorization, clearing and settlement of a financial transaction using the ***, and is issued or provisioned in accordance with the Visa Rules.</w:t>
      </w:r>
    </w:p>
    <w:p>
      <w:pPr>
        <w:spacing w:after="0" w:line="39" w:lineRule="exact"/>
        <w:rPr>
          <w:rFonts w:ascii="Arial" w:cs="Arial" w:eastAsia="Arial" w:hAnsi="Arial"/>
          <w:sz w:val="15"/>
          <w:szCs w:val="15"/>
          <w:color w:val="auto"/>
        </w:rPr>
      </w:pPr>
    </w:p>
    <w:p>
      <w:pPr>
        <w:ind w:left="540" w:hanging="314"/>
        <w:spacing w:after="0"/>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Product</w:t>
      </w:r>
      <w:r>
        <w:rPr>
          <w:rFonts w:ascii="Arial" w:cs="Arial" w:eastAsia="Arial" w:hAnsi="Arial"/>
          <w:sz w:val="15"/>
          <w:szCs w:val="15"/>
          <w:color w:val="auto"/>
        </w:rPr>
        <w:t>” means a Visa Debit Product or Visa Credit Product.</w:t>
      </w:r>
    </w:p>
    <w:p>
      <w:pPr>
        <w:spacing w:after="0" w:line="64" w:lineRule="exact"/>
        <w:rPr>
          <w:rFonts w:ascii="Arial" w:cs="Arial" w:eastAsia="Arial" w:hAnsi="Arial"/>
          <w:sz w:val="15"/>
          <w:szCs w:val="15"/>
          <w:color w:val="auto"/>
        </w:rPr>
      </w:pPr>
    </w:p>
    <w:p>
      <w:pPr>
        <w:ind w:left="500" w:hanging="274"/>
        <w:spacing w:after="0" w:line="287" w:lineRule="auto"/>
        <w:tabs>
          <w:tab w:leader="none" w:pos="552" w:val="left"/>
        </w:tabs>
        <w:numPr>
          <w:ilvl w:val="1"/>
          <w:numId w:val="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Visa Rules</w:t>
      </w:r>
      <w:r>
        <w:rPr>
          <w:rFonts w:ascii="Arial" w:cs="Arial" w:eastAsia="Arial" w:hAnsi="Arial"/>
          <w:sz w:val="14"/>
          <w:szCs w:val="14"/>
          <w:color w:val="auto"/>
        </w:rPr>
        <w:t>” means the Visa U.S.A. Inc. Certificate of Incorporation, Bylaws and Core Rules and Product and Service Rules and standards, guides, manuals, interpretations and other documents with the force of the Core Rules and those of its affiliates in each case as amended from time to time.</w:t>
      </w:r>
    </w:p>
    <w:p>
      <w:pPr>
        <w:spacing w:after="0" w:line="16" w:lineRule="exact"/>
        <w:rPr>
          <w:rFonts w:ascii="Arial" w:cs="Arial" w:eastAsia="Arial" w:hAnsi="Arial"/>
          <w:sz w:val="14"/>
          <w:szCs w:val="14"/>
          <w:color w:val="auto"/>
        </w:rPr>
      </w:pPr>
    </w:p>
    <w:p>
      <w:pPr>
        <w:ind w:left="500" w:hanging="274"/>
        <w:spacing w:after="0" w:line="252" w:lineRule="auto"/>
        <w:tabs>
          <w:tab w:leader="none" w:pos="552"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Visa Specification</w:t>
      </w:r>
      <w:r>
        <w:rPr>
          <w:rFonts w:ascii="Arial" w:cs="Arial" w:eastAsia="Arial" w:hAnsi="Arial"/>
          <w:sz w:val="15"/>
          <w:szCs w:val="15"/>
          <w:color w:val="auto"/>
        </w:rPr>
        <w:t>” means the specification(s) owned, developed or provisioned by Visa for the purpose of effecting a financial transaction using a Payment Communication Protocol, and as may be amended or updated.</w:t>
      </w:r>
    </w:p>
    <w:p>
      <w:pPr>
        <w:spacing w:after="0" w:line="43" w:lineRule="exact"/>
        <w:rPr>
          <w:rFonts w:ascii="Arial" w:cs="Arial" w:eastAsia="Arial" w:hAnsi="Arial"/>
          <w:sz w:val="15"/>
          <w:szCs w:val="15"/>
          <w:color w:val="auto"/>
        </w:rPr>
      </w:pPr>
    </w:p>
    <w:p>
      <w:pPr>
        <w:ind w:left="540" w:hanging="314"/>
        <w:spacing w:after="0"/>
        <w:tabs>
          <w:tab w:leader="none" w:pos="5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500" w:hanging="274"/>
        <w:spacing w:after="0" w:line="252" w:lineRule="auto"/>
        <w:tabs>
          <w:tab w:leader="none" w:pos="552"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VPP</w:t>
      </w:r>
      <w:r>
        <w:rPr>
          <w:rFonts w:ascii="Arial" w:cs="Arial" w:eastAsia="Arial" w:hAnsi="Arial"/>
          <w:sz w:val="15"/>
          <w:szCs w:val="15"/>
          <w:color w:val="auto"/>
        </w:rPr>
        <w:t>” refers to the “Visa Partner Program”, a promotional program whereby Visa agrees to make available custom IRF rates for the transactions originating with certain or all Visa Products at such Merchant.</w:t>
      </w:r>
    </w:p>
    <w:p>
      <w:pPr>
        <w:spacing w:after="0" w:line="39" w:lineRule="exact"/>
        <w:rPr>
          <w:rFonts w:ascii="Arial" w:cs="Arial" w:eastAsia="Arial" w:hAnsi="Arial"/>
          <w:sz w:val="15"/>
          <w:szCs w:val="15"/>
          <w:color w:val="auto"/>
        </w:rPr>
      </w:pPr>
    </w:p>
    <w:p>
      <w:pPr>
        <w:ind w:left="220" w:hanging="213"/>
        <w:spacing w:after="0"/>
        <w:tabs>
          <w:tab w:leader="none" w:pos="2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Small Ticket Incentives</w:t>
      </w:r>
      <w:r>
        <w:rPr>
          <w:rFonts w:ascii="Arial" w:cs="Arial" w:eastAsia="Arial" w:hAnsi="Arial"/>
          <w:sz w:val="15"/>
          <w:szCs w:val="15"/>
          <w:color w:val="auto"/>
        </w:rPr>
        <w:t>.</w:t>
      </w:r>
    </w:p>
    <w:p>
      <w:pPr>
        <w:spacing w:after="0" w:line="64" w:lineRule="exact"/>
        <w:rPr>
          <w:rFonts w:ascii="Arial" w:cs="Arial" w:eastAsia="Arial" w:hAnsi="Arial"/>
          <w:sz w:val="15"/>
          <w:szCs w:val="15"/>
          <w:b w:val="1"/>
          <w:bCs w:val="1"/>
          <w:color w:val="auto"/>
        </w:rPr>
      </w:pPr>
    </w:p>
    <w:p>
      <w:pPr>
        <w:jc w:val="both"/>
        <w:ind w:left="440" w:hanging="214"/>
        <w:spacing w:after="0" w:line="235" w:lineRule="auto"/>
        <w:tabs>
          <w:tab w:leader="none" w:pos="519" w:val="left"/>
        </w:tabs>
        <w:numPr>
          <w:ilvl w:val="1"/>
          <w:numId w:val="23"/>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The Incentives described herein are offered only for transactions routed for authorization, clearing, and settlement through ***. Transactions routed</w:t>
      </w:r>
      <w:r>
        <w:rPr>
          <w:rFonts w:ascii="Arial" w:cs="Arial" w:eastAsia="Arial" w:hAnsi="Arial"/>
          <w:sz w:val="15"/>
          <w:szCs w:val="15"/>
          <w:b w:val="1"/>
          <w:bCs w:val="1"/>
          <w:color w:val="auto"/>
        </w:rPr>
        <w:t xml:space="preserve"> </w:t>
      </w:r>
      <w:r>
        <w:rPr>
          <w:rFonts w:ascii="Arial" w:cs="Arial" w:eastAsia="Arial" w:hAnsi="Arial"/>
          <w:sz w:val="15"/>
          <w:szCs w:val="15"/>
          <w:color w:val="auto"/>
        </w:rPr>
        <w:t>for authorization, clearing and settlement through *** are not eligible to receive Incentives under this Agreement. However, Client may choose to route transactions over *** and will still be eligible to receive Incentives on transactions routed over N*** as described herein. Visa’s obligations to provide the Incentives to Client are subject to and contingent upon Client complying with the Client Participation Requirements set forth in this Schedule A and otherwise meeting its obligations hereunder.</w:t>
      </w:r>
    </w:p>
    <w:p>
      <w:pPr>
        <w:spacing w:after="0" w:line="132"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4338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920"/>
          </w:cols>
          <w:pgMar w:left="1100" w:top="122" w:right="879" w:bottom="1440" w:gutter="0" w:footer="0" w:header="0"/>
        </w:sectPr>
      </w:pPr>
    </w:p>
    <w:bookmarkStart w:id="42" w:name="page43"/>
    <w:bookmarkEnd w:id="42"/>
    <w:p>
      <w:pPr>
        <w:ind w:left="220" w:hanging="214"/>
        <w:spacing w:after="0" w:line="252" w:lineRule="auto"/>
        <w:tabs>
          <w:tab w:leader="none" w:pos="363" w:val="left"/>
        </w:tabs>
        <w:numPr>
          <w:ilvl w:val="0"/>
          <w:numId w:val="24"/>
        </w:numPr>
        <w:rPr>
          <w:rFonts w:ascii="Arial" w:cs="Arial" w:eastAsia="Arial" w:hAnsi="Arial"/>
          <w:sz w:val="15"/>
          <w:szCs w:val="15"/>
          <w:color w:val="auto"/>
        </w:rPr>
      </w:pPr>
      <w:r>
        <w:rPr>
          <w:rFonts w:ascii="Arial" w:cs="Arial" w:eastAsia="Arial" w:hAnsi="Arial"/>
          <w:sz w:val="15"/>
          <w:szCs w:val="15"/>
          <w:b w:val="1"/>
          <w:bCs w:val="1"/>
          <w:color w:val="auto"/>
        </w:rPr>
        <w:t>Promotional IRF Rates</w:t>
      </w:r>
      <w:r>
        <w:rPr>
          <w:rFonts w:ascii="Arial" w:cs="Arial" w:eastAsia="Arial" w:hAnsi="Arial"/>
          <w:sz w:val="15"/>
          <w:szCs w:val="15"/>
          <w:color w:val="auto"/>
        </w:rPr>
        <w:t>. During the Incentive Quarter that begins on the Effective Date, Visa will make available to Client’s Acquirer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promotional IRF rates (the “</w:t>
      </w:r>
      <w:r>
        <w:rPr>
          <w:rFonts w:ascii="Arial" w:cs="Arial" w:eastAsia="Arial" w:hAnsi="Arial"/>
          <w:sz w:val="15"/>
          <w:szCs w:val="15"/>
          <w:b w:val="1"/>
          <w:bCs w:val="1"/>
          <w:color w:val="auto"/>
        </w:rPr>
        <w:t>Promotional IRF Rates</w:t>
      </w:r>
      <w:r>
        <w:rPr>
          <w:rFonts w:ascii="Arial" w:cs="Arial" w:eastAsia="Arial" w:hAnsi="Arial"/>
          <w:sz w:val="15"/>
          <w:szCs w:val="15"/>
          <w:color w:val="auto"/>
        </w:rPr>
        <w:t>”):</w:t>
      </w:r>
    </w:p>
    <w:p>
      <w:pPr>
        <w:spacing w:after="0" w:line="38" w:lineRule="exact"/>
        <w:rPr>
          <w:rFonts w:ascii="Arial" w:cs="Arial" w:eastAsia="Arial" w:hAnsi="Arial"/>
          <w:sz w:val="15"/>
          <w:szCs w:val="15"/>
          <w:color w:val="auto"/>
        </w:rPr>
      </w:pPr>
    </w:p>
    <w:p>
      <w:pPr>
        <w:jc w:val="both"/>
        <w:ind w:left="440" w:hanging="215"/>
        <w:spacing w:after="0" w:line="266" w:lineRule="auto"/>
        <w:tabs>
          <w:tab w:leader="none" w:pos="614" w:val="left"/>
        </w:tabs>
        <w:numPr>
          <w:ilvl w:val="1"/>
          <w:numId w:val="24"/>
        </w:numPr>
        <w:rPr>
          <w:rFonts w:ascii="Arial" w:cs="Arial" w:eastAsia="Arial" w:hAnsi="Arial"/>
          <w:sz w:val="14"/>
          <w:szCs w:val="14"/>
          <w:color w:val="auto"/>
        </w:rPr>
      </w:pPr>
      <w:r>
        <w:rPr>
          <w:rFonts w:ascii="Arial" w:cs="Arial" w:eastAsia="Arial" w:hAnsi="Arial"/>
          <w:sz w:val="14"/>
          <w:szCs w:val="14"/>
          <w:color w:val="auto"/>
        </w:rPr>
        <w:t>*** (the “</w:t>
      </w:r>
      <w:r>
        <w:rPr>
          <w:rFonts w:ascii="Arial" w:cs="Arial" w:eastAsia="Arial" w:hAnsi="Arial"/>
          <w:sz w:val="14"/>
          <w:szCs w:val="14"/>
          <w:b w:val="1"/>
          <w:bCs w:val="1"/>
          <w:color w:val="auto"/>
        </w:rPr>
        <w:t>*** Non-Regulated Card-Present Visa Debit IRF Rate</w:t>
      </w:r>
      <w:r>
        <w:rPr>
          <w:rFonts w:ascii="Arial" w:cs="Arial" w:eastAsia="Arial" w:hAnsi="Arial"/>
          <w:sz w:val="14"/>
          <w:szCs w:val="14"/>
          <w:color w:val="auto"/>
        </w:rPr>
        <w:t>”) for each CPS-qualified, consumer, Card-Present, Non-Regulated Visa Debit Transaction originating at an Unattended Merchant Location of an Eligible Merchant, processed through an Included BIN, assigned ***, and routed for authorization, clearing and settlement through *** (the “</w:t>
      </w:r>
      <w:r>
        <w:rPr>
          <w:rFonts w:ascii="Arial" w:cs="Arial" w:eastAsia="Arial" w:hAnsi="Arial"/>
          <w:sz w:val="14"/>
          <w:szCs w:val="14"/>
          <w:b w:val="1"/>
          <w:bCs w:val="1"/>
          <w:color w:val="auto"/>
        </w:rPr>
        <w:t>Eligible *** Non-Regulated Card-Present Visa Debit Transactions</w:t>
      </w:r>
      <w:r>
        <w:rPr>
          <w:rFonts w:ascii="Arial" w:cs="Arial" w:eastAsia="Arial" w:hAnsi="Arial"/>
          <w:sz w:val="14"/>
          <w:szCs w:val="14"/>
          <w:color w:val="auto"/>
        </w:rPr>
        <w:t>”).</w:t>
      </w:r>
    </w:p>
    <w:p>
      <w:pPr>
        <w:spacing w:after="0" w:line="30" w:lineRule="exact"/>
        <w:rPr>
          <w:rFonts w:ascii="Arial" w:cs="Arial" w:eastAsia="Arial" w:hAnsi="Arial"/>
          <w:sz w:val="14"/>
          <w:szCs w:val="14"/>
          <w:color w:val="auto"/>
        </w:rPr>
      </w:pPr>
    </w:p>
    <w:p>
      <w:pPr>
        <w:jc w:val="both"/>
        <w:ind w:left="440" w:hanging="215"/>
        <w:spacing w:after="0" w:line="266" w:lineRule="auto"/>
        <w:tabs>
          <w:tab w:leader="none" w:pos="616" w:val="left"/>
        </w:tabs>
        <w:numPr>
          <w:ilvl w:val="1"/>
          <w:numId w:val="24"/>
        </w:numPr>
        <w:rPr>
          <w:rFonts w:ascii="Arial" w:cs="Arial" w:eastAsia="Arial" w:hAnsi="Arial"/>
          <w:sz w:val="14"/>
          <w:szCs w:val="14"/>
          <w:color w:val="auto"/>
        </w:rPr>
      </w:pPr>
      <w:r>
        <w:rPr>
          <w:rFonts w:ascii="Arial" w:cs="Arial" w:eastAsia="Arial" w:hAnsi="Arial"/>
          <w:sz w:val="14"/>
          <w:szCs w:val="14"/>
          <w:color w:val="auto"/>
        </w:rPr>
        <w:t>*** (the “</w:t>
      </w:r>
      <w:r>
        <w:rPr>
          <w:rFonts w:ascii="Arial" w:cs="Arial" w:eastAsia="Arial" w:hAnsi="Arial"/>
          <w:sz w:val="14"/>
          <w:szCs w:val="14"/>
          <w:b w:val="1"/>
          <w:bCs w:val="1"/>
          <w:color w:val="auto"/>
        </w:rPr>
        <w:t>*** Non-Regulated Card-Absent Visa Debit IRF Rate</w:t>
      </w:r>
      <w:r>
        <w:rPr>
          <w:rFonts w:ascii="Arial" w:cs="Arial" w:eastAsia="Arial" w:hAnsi="Arial"/>
          <w:sz w:val="14"/>
          <w:szCs w:val="14"/>
          <w:color w:val="auto"/>
        </w:rPr>
        <w:t>”) for each CPS-qualified, consumer, Card-Absent, Non-Regulated Visa Debit Transaction originating at an Unattended Merchant Location of an Eligible Merchant, processed through an Included BIN, assigned ***, and routed for authorization, clearing and settlement through *** (the “</w:t>
      </w:r>
      <w:r>
        <w:rPr>
          <w:rFonts w:ascii="Arial" w:cs="Arial" w:eastAsia="Arial" w:hAnsi="Arial"/>
          <w:sz w:val="14"/>
          <w:szCs w:val="14"/>
          <w:b w:val="1"/>
          <w:bCs w:val="1"/>
          <w:color w:val="auto"/>
        </w:rPr>
        <w:t>Eligible *** Non-Regulated Card-Absent Visa Debit Transactions</w:t>
      </w:r>
      <w:r>
        <w:rPr>
          <w:rFonts w:ascii="Arial" w:cs="Arial" w:eastAsia="Arial" w:hAnsi="Arial"/>
          <w:sz w:val="14"/>
          <w:szCs w:val="14"/>
          <w:color w:val="auto"/>
        </w:rPr>
        <w:t>”).</w:t>
      </w:r>
    </w:p>
    <w:p>
      <w:pPr>
        <w:spacing w:after="0" w:line="30" w:lineRule="exact"/>
        <w:rPr>
          <w:rFonts w:ascii="Arial" w:cs="Arial" w:eastAsia="Arial" w:hAnsi="Arial"/>
          <w:sz w:val="14"/>
          <w:szCs w:val="14"/>
          <w:color w:val="auto"/>
        </w:rPr>
      </w:pPr>
    </w:p>
    <w:p>
      <w:pPr>
        <w:jc w:val="both"/>
        <w:ind w:left="440" w:hanging="215"/>
        <w:spacing w:after="0" w:line="237" w:lineRule="auto"/>
        <w:tabs>
          <w:tab w:leader="none" w:pos="508" w:val="left"/>
        </w:tabs>
        <w:numPr>
          <w:ilvl w:val="1"/>
          <w:numId w:val="24"/>
        </w:numPr>
        <w:rPr>
          <w:rFonts w:ascii="Arial" w:cs="Arial" w:eastAsia="Arial" w:hAnsi="Arial"/>
          <w:sz w:val="15"/>
          <w:szCs w:val="15"/>
          <w:color w:val="auto"/>
        </w:rPr>
      </w:pPr>
      <w:r>
        <w:rPr>
          <w:rFonts w:ascii="Arial" w:cs="Arial" w:eastAsia="Arial" w:hAnsi="Arial"/>
          <w:sz w:val="15"/>
          <w:szCs w:val="15"/>
          <w:color w:val="auto"/>
        </w:rPr>
        <w:t>***, not to exceed the maximum amount permitted by applicable law (the “</w:t>
      </w:r>
      <w:r>
        <w:rPr>
          <w:rFonts w:ascii="Arial" w:cs="Arial" w:eastAsia="Arial" w:hAnsi="Arial"/>
          <w:sz w:val="15"/>
          <w:szCs w:val="15"/>
          <w:b w:val="1"/>
          <w:bCs w:val="1"/>
          <w:color w:val="auto"/>
        </w:rPr>
        <w:t>*** Regulated Card-Present Visa Debit IRF Rate</w:t>
      </w:r>
      <w:r>
        <w:rPr>
          <w:rFonts w:ascii="Arial" w:cs="Arial" w:eastAsia="Arial" w:hAnsi="Arial"/>
          <w:sz w:val="15"/>
          <w:szCs w:val="15"/>
          <w:color w:val="auto"/>
        </w:rPr>
        <w:t>”), for each CPS-qualified, consumer, Card-Present, Regulated Visa Debit Transaction originating at an Unattended Merchant Location of an Eligible Merchant, processed through an Included BIN, assigned ***, and routed for authorization, clearing and settlement through *** (the “</w:t>
      </w:r>
      <w:r>
        <w:rPr>
          <w:rFonts w:ascii="Arial" w:cs="Arial" w:eastAsia="Arial" w:hAnsi="Arial"/>
          <w:sz w:val="15"/>
          <w:szCs w:val="15"/>
          <w:b w:val="1"/>
          <w:bCs w:val="1"/>
          <w:color w:val="auto"/>
        </w:rPr>
        <w:t>Eligible *** Regulated Card-Present Visa Debit</w:t>
      </w:r>
      <w:r>
        <w:rPr>
          <w:rFonts w:ascii="Arial" w:cs="Arial" w:eastAsia="Arial" w:hAnsi="Arial"/>
          <w:sz w:val="15"/>
          <w:szCs w:val="15"/>
          <w:color w:val="auto"/>
        </w:rPr>
        <w:t xml:space="preserve"> </w:t>
      </w:r>
      <w:r>
        <w:rPr>
          <w:rFonts w:ascii="Arial" w:cs="Arial" w:eastAsia="Arial" w:hAnsi="Arial"/>
          <w:sz w:val="15"/>
          <w:szCs w:val="15"/>
          <w:b w:val="1"/>
          <w:bCs w:val="1"/>
          <w:color w:val="auto"/>
        </w:rPr>
        <w:t>Transactions</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jc w:val="both"/>
        <w:ind w:left="440" w:hanging="215"/>
        <w:spacing w:after="0" w:line="237" w:lineRule="auto"/>
        <w:tabs>
          <w:tab w:leader="none" w:pos="5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 not to exceed the maximum amount permitted by applicable law (the “</w:t>
      </w:r>
      <w:r>
        <w:rPr>
          <w:rFonts w:ascii="Arial" w:cs="Arial" w:eastAsia="Arial" w:hAnsi="Arial"/>
          <w:sz w:val="15"/>
          <w:szCs w:val="15"/>
          <w:b w:val="1"/>
          <w:bCs w:val="1"/>
          <w:color w:val="auto"/>
        </w:rPr>
        <w:t>*** Regulated Card-Absent Visa Debit IRF Rate</w:t>
      </w:r>
      <w:r>
        <w:rPr>
          <w:rFonts w:ascii="Arial" w:cs="Arial" w:eastAsia="Arial" w:hAnsi="Arial"/>
          <w:sz w:val="15"/>
          <w:szCs w:val="15"/>
          <w:color w:val="auto"/>
        </w:rPr>
        <w:t>”), for each CPS-qualified, consumer, Card-Absent, Regulated Visa Debit Transaction originating at an Unattended Merchant Location of an Eligible Merchant, processed through an Included BIN, assigned ***, and routed for authorization, clearing and settlement through *** (the “</w:t>
      </w:r>
      <w:r>
        <w:rPr>
          <w:rFonts w:ascii="Arial" w:cs="Arial" w:eastAsia="Arial" w:hAnsi="Arial"/>
          <w:sz w:val="15"/>
          <w:szCs w:val="15"/>
          <w:b w:val="1"/>
          <w:bCs w:val="1"/>
          <w:color w:val="auto"/>
        </w:rPr>
        <w:t>Eligible *** Regulated Card-Absent Visa Debit</w:t>
      </w:r>
      <w:r>
        <w:rPr>
          <w:rFonts w:ascii="Arial" w:cs="Arial" w:eastAsia="Arial" w:hAnsi="Arial"/>
          <w:sz w:val="15"/>
          <w:szCs w:val="15"/>
          <w:color w:val="auto"/>
        </w:rPr>
        <w:t xml:space="preserve"> </w:t>
      </w:r>
      <w:r>
        <w:rPr>
          <w:rFonts w:ascii="Arial" w:cs="Arial" w:eastAsia="Arial" w:hAnsi="Arial"/>
          <w:sz w:val="15"/>
          <w:szCs w:val="15"/>
          <w:b w:val="1"/>
          <w:bCs w:val="1"/>
          <w:color w:val="auto"/>
        </w:rPr>
        <w:t>Transactions</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jc w:val="both"/>
        <w:ind w:left="440" w:hanging="215"/>
        <w:spacing w:after="0" w:line="276" w:lineRule="auto"/>
        <w:tabs>
          <w:tab w:leader="none" w:pos="480" w:val="left"/>
        </w:tabs>
        <w:numPr>
          <w:ilvl w:val="1"/>
          <w:numId w:val="24"/>
        </w:numPr>
        <w:rPr>
          <w:rFonts w:ascii="Arial" w:cs="Arial" w:eastAsia="Arial" w:hAnsi="Arial"/>
          <w:sz w:val="13"/>
          <w:szCs w:val="13"/>
          <w:color w:val="auto"/>
        </w:rPr>
      </w:pPr>
      <w:r>
        <w:rPr>
          <w:rFonts w:ascii="Arial" w:cs="Arial" w:eastAsia="Arial" w:hAnsi="Arial"/>
          <w:sz w:val="13"/>
          <w:szCs w:val="13"/>
          <w:color w:val="auto"/>
        </w:rPr>
        <w:t>*** (the “</w:t>
      </w:r>
      <w:r>
        <w:rPr>
          <w:rFonts w:ascii="Arial" w:cs="Arial" w:eastAsia="Arial" w:hAnsi="Arial"/>
          <w:sz w:val="13"/>
          <w:szCs w:val="13"/>
          <w:b w:val="1"/>
          <w:bCs w:val="1"/>
          <w:color w:val="auto"/>
        </w:rPr>
        <w:t>*** Card-Present Visa Credit IRF Rate</w:t>
      </w:r>
      <w:r>
        <w:rPr>
          <w:rFonts w:ascii="Arial" w:cs="Arial" w:eastAsia="Arial" w:hAnsi="Arial"/>
          <w:sz w:val="13"/>
          <w:szCs w:val="13"/>
          <w:color w:val="auto"/>
        </w:rPr>
        <w:t>”) for each CPS-qualified, consumer, Card-Present, Visa Credit Transaction originating at an Unattended Merchant Location of an Eligible Merchant, processed through an Included BIN, assigned ***, and routed for authorization, clearing and settlement through</w:t>
      </w:r>
    </w:p>
    <w:p>
      <w:pPr>
        <w:ind w:left="700" w:hanging="256"/>
        <w:spacing w:after="0"/>
        <w:tabs>
          <w:tab w:leader="none" w:pos="700" w:val="left"/>
        </w:tabs>
        <w:numPr>
          <w:ilvl w:val="2"/>
          <w:numId w:val="24"/>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Eligible *** Card-Present Visa Credit Transactions</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jc w:val="both"/>
        <w:ind w:left="440" w:hanging="215"/>
        <w:spacing w:after="0" w:line="276" w:lineRule="auto"/>
        <w:tabs>
          <w:tab w:leader="none" w:pos="507" w:val="left"/>
        </w:tabs>
        <w:numPr>
          <w:ilvl w:val="1"/>
          <w:numId w:val="24"/>
        </w:numPr>
        <w:rPr>
          <w:rFonts w:ascii="Arial" w:cs="Arial" w:eastAsia="Arial" w:hAnsi="Arial"/>
          <w:sz w:val="13"/>
          <w:szCs w:val="13"/>
          <w:color w:val="auto"/>
        </w:rPr>
      </w:pPr>
      <w:r>
        <w:rPr>
          <w:rFonts w:ascii="Arial" w:cs="Arial" w:eastAsia="Arial" w:hAnsi="Arial"/>
          <w:sz w:val="13"/>
          <w:szCs w:val="13"/>
          <w:color w:val="auto"/>
        </w:rPr>
        <w:t>*** (the “</w:t>
      </w:r>
      <w:r>
        <w:rPr>
          <w:rFonts w:ascii="Arial" w:cs="Arial" w:eastAsia="Arial" w:hAnsi="Arial"/>
          <w:sz w:val="13"/>
          <w:szCs w:val="13"/>
          <w:b w:val="1"/>
          <w:bCs w:val="1"/>
          <w:color w:val="auto"/>
        </w:rPr>
        <w:t>*** Card-Absent Visa Credit IRF Rate</w:t>
      </w:r>
      <w:r>
        <w:rPr>
          <w:rFonts w:ascii="Arial" w:cs="Arial" w:eastAsia="Arial" w:hAnsi="Arial"/>
          <w:sz w:val="13"/>
          <w:szCs w:val="13"/>
          <w:color w:val="auto"/>
        </w:rPr>
        <w:t>”) for each CPS-qualified, consumer, Card-Absent, Visa Credit Transaction originating at an Unattended Merchant Location of an Eligible Merchant, processed through an Included BIN, assigned ***, and routed for authorization, clearing and settlement through</w:t>
      </w:r>
    </w:p>
    <w:p>
      <w:pPr>
        <w:ind w:left="440"/>
        <w:spacing w:after="0"/>
        <w:rPr>
          <w:rFonts w:ascii="Arial" w:cs="Arial" w:eastAsia="Arial" w:hAnsi="Arial"/>
          <w:sz w:val="13"/>
          <w:szCs w:val="13"/>
          <w:color w:val="auto"/>
        </w:rPr>
      </w:pPr>
      <w:r>
        <w:rPr>
          <w:rFonts w:ascii="Arial" w:cs="Arial" w:eastAsia="Arial" w:hAnsi="Arial"/>
          <w:sz w:val="15"/>
          <w:szCs w:val="15"/>
          <w:color w:val="auto"/>
        </w:rPr>
        <w:t>***(the “</w:t>
      </w:r>
      <w:r>
        <w:rPr>
          <w:rFonts w:ascii="Arial" w:cs="Arial" w:eastAsia="Arial" w:hAnsi="Arial"/>
          <w:sz w:val="15"/>
          <w:szCs w:val="15"/>
          <w:b w:val="1"/>
          <w:bCs w:val="1"/>
          <w:color w:val="auto"/>
        </w:rPr>
        <w:t>Eligible *** Card-Absent Visa Credit Transactions</w:t>
      </w:r>
      <w:r>
        <w:rPr>
          <w:rFonts w:ascii="Arial" w:cs="Arial" w:eastAsia="Arial" w:hAnsi="Arial"/>
          <w:sz w:val="15"/>
          <w:szCs w:val="15"/>
          <w:color w:val="auto"/>
        </w:rPr>
        <w:t>”).</w:t>
      </w:r>
    </w:p>
    <w:p>
      <w:pPr>
        <w:spacing w:after="0" w:line="48" w:lineRule="exact"/>
        <w:rPr>
          <w:rFonts w:ascii="Arial" w:cs="Arial" w:eastAsia="Arial" w:hAnsi="Arial"/>
          <w:sz w:val="13"/>
          <w:szCs w:val="13"/>
          <w:color w:val="auto"/>
        </w:rPr>
      </w:pPr>
    </w:p>
    <w:p>
      <w:pPr>
        <w:jc w:val="both"/>
        <w:ind w:left="440" w:hanging="215"/>
        <w:spacing w:after="0" w:line="237" w:lineRule="auto"/>
        <w:tabs>
          <w:tab w:leader="none" w:pos="610" w:val="left"/>
        </w:tabs>
        <w:numPr>
          <w:ilvl w:val="1"/>
          <w:numId w:val="24"/>
        </w:numPr>
        <w:rPr>
          <w:rFonts w:ascii="Arial" w:cs="Arial" w:eastAsia="Arial" w:hAnsi="Arial"/>
          <w:sz w:val="15"/>
          <w:szCs w:val="15"/>
          <w:color w:val="auto"/>
        </w:rPr>
      </w:pPr>
      <w:r>
        <w:rPr>
          <w:rFonts w:ascii="Arial" w:cs="Arial" w:eastAsia="Arial" w:hAnsi="Arial"/>
          <w:sz w:val="15"/>
          <w:szCs w:val="15"/>
          <w:color w:val="auto"/>
        </w:rPr>
        <w:t>*** (the “</w:t>
      </w:r>
      <w:r>
        <w:rPr>
          <w:rFonts w:ascii="Arial" w:cs="Arial" w:eastAsia="Arial" w:hAnsi="Arial"/>
          <w:sz w:val="15"/>
          <w:szCs w:val="15"/>
          <w:b w:val="1"/>
          <w:bCs w:val="1"/>
          <w:color w:val="auto"/>
        </w:rPr>
        <w:t>*** Non-Regulated Card-Absent Visa Debit IRF Rate</w:t>
      </w:r>
      <w:r>
        <w:rPr>
          <w:rFonts w:ascii="Arial" w:cs="Arial" w:eastAsia="Arial" w:hAnsi="Arial"/>
          <w:sz w:val="15"/>
          <w:szCs w:val="15"/>
          <w:color w:val="auto"/>
        </w:rPr>
        <w:t>”), for each CPS-qualified, consumer, Card-Absent, Non-Regulated Visa Debit Transaction originating at an Unattended Merchant Location of an Eligible Merchant, processed through an Included BIN, assigned an Eligible Merchant Category Code, excluding ***, and routed for authorization, clearing and settlement through *** (the “</w:t>
      </w:r>
      <w:r>
        <w:rPr>
          <w:rFonts w:ascii="Arial" w:cs="Arial" w:eastAsia="Arial" w:hAnsi="Arial"/>
          <w:sz w:val="15"/>
          <w:szCs w:val="15"/>
          <w:b w:val="1"/>
          <w:bCs w:val="1"/>
          <w:color w:val="auto"/>
        </w:rPr>
        <w:t>Eligible *** Non-Regulated Card-Absent Visa</w:t>
      </w:r>
      <w:r>
        <w:rPr>
          <w:rFonts w:ascii="Arial" w:cs="Arial" w:eastAsia="Arial" w:hAnsi="Arial"/>
          <w:sz w:val="15"/>
          <w:szCs w:val="15"/>
          <w:color w:val="auto"/>
        </w:rPr>
        <w:t xml:space="preserve"> </w:t>
      </w:r>
      <w:r>
        <w:rPr>
          <w:rFonts w:ascii="Arial" w:cs="Arial" w:eastAsia="Arial" w:hAnsi="Arial"/>
          <w:sz w:val="15"/>
          <w:szCs w:val="15"/>
          <w:b w:val="1"/>
          <w:bCs w:val="1"/>
          <w:color w:val="auto"/>
        </w:rPr>
        <w:t>Debit Transactions</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jc w:val="both"/>
        <w:ind w:left="480" w:hanging="255"/>
        <w:spacing w:after="0" w:line="276" w:lineRule="auto"/>
        <w:tabs>
          <w:tab w:leader="none" w:pos="508" w:val="left"/>
        </w:tabs>
        <w:numPr>
          <w:ilvl w:val="1"/>
          <w:numId w:val="24"/>
        </w:numPr>
        <w:rPr>
          <w:rFonts w:ascii="Arial" w:cs="Arial" w:eastAsia="Arial" w:hAnsi="Arial"/>
          <w:sz w:val="13"/>
          <w:szCs w:val="13"/>
          <w:color w:val="auto"/>
        </w:rPr>
      </w:pPr>
      <w:r>
        <w:rPr>
          <w:rFonts w:ascii="Arial" w:cs="Arial" w:eastAsia="Arial" w:hAnsi="Arial"/>
          <w:sz w:val="13"/>
          <w:szCs w:val="13"/>
          <w:color w:val="auto"/>
        </w:rPr>
        <w:t>***, not to exceed the maximum amount permitted by applicable law (the “</w:t>
      </w:r>
      <w:r>
        <w:rPr>
          <w:rFonts w:ascii="Arial" w:cs="Arial" w:eastAsia="Arial" w:hAnsi="Arial"/>
          <w:sz w:val="13"/>
          <w:szCs w:val="13"/>
          <w:b w:val="1"/>
          <w:bCs w:val="1"/>
          <w:color w:val="auto"/>
        </w:rPr>
        <w:t>*** Regulated Card-Present Visa Debit IRF Rate</w:t>
      </w:r>
      <w:r>
        <w:rPr>
          <w:rFonts w:ascii="Arial" w:cs="Arial" w:eastAsia="Arial" w:hAnsi="Arial"/>
          <w:sz w:val="13"/>
          <w:szCs w:val="13"/>
          <w:color w:val="auto"/>
        </w:rPr>
        <w:t>”), for each CPS-qualified, consumer, Card-Present, Regulated Visa Debit Transaction originating at an Unattended Merchant Location of an Eligible Merchant, processed through an</w:t>
      </w:r>
    </w:p>
    <w:p>
      <w:pPr>
        <w:ind w:left="440"/>
        <w:spacing w:after="0"/>
        <w:rPr>
          <w:sz w:val="20"/>
          <w:szCs w:val="20"/>
          <w:color w:val="auto"/>
        </w:rPr>
      </w:pPr>
      <w:r>
        <w:rPr>
          <w:rFonts w:ascii="Arial" w:cs="Arial" w:eastAsia="Arial" w:hAnsi="Arial"/>
          <w:sz w:val="13"/>
          <w:szCs w:val="13"/>
          <w:color w:val="auto"/>
        </w:rPr>
        <w:t>Included BIN, assigned an Eligible Merchant Category Code, excluding ***, and routed for authorization, clearing and settlement through *** (the “</w:t>
      </w:r>
      <w:r>
        <w:rPr>
          <w:rFonts w:ascii="Arial" w:cs="Arial" w:eastAsia="Arial" w:hAnsi="Arial"/>
          <w:sz w:val="13"/>
          <w:szCs w:val="13"/>
          <w:b w:val="1"/>
          <w:bCs w:val="1"/>
          <w:color w:val="auto"/>
        </w:rPr>
        <w:t>Eligible</w:t>
      </w:r>
    </w:p>
    <w:p>
      <w:pPr>
        <w:spacing w:after="0" w:line="15" w:lineRule="exact"/>
        <w:rPr>
          <w:sz w:val="20"/>
          <w:szCs w:val="20"/>
          <w:color w:val="auto"/>
        </w:rPr>
      </w:pPr>
    </w:p>
    <w:p>
      <w:pPr>
        <w:ind w:left="700" w:hanging="256"/>
        <w:spacing w:after="0"/>
        <w:tabs>
          <w:tab w:leader="none" w:pos="700" w:val="left"/>
        </w:tabs>
        <w:numPr>
          <w:ilvl w:val="1"/>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Regulated Card-Present Visa Debit Transactions</w:t>
      </w:r>
      <w:r>
        <w:rPr>
          <w:rFonts w:ascii="Arial" w:cs="Arial" w:eastAsia="Arial" w:hAnsi="Arial"/>
          <w:sz w:val="15"/>
          <w:szCs w:val="15"/>
          <w:color w:val="auto"/>
        </w:rPr>
        <w:t>”).</w:t>
      </w:r>
    </w:p>
    <w:p>
      <w:pPr>
        <w:spacing w:after="0" w:line="48" w:lineRule="exact"/>
        <w:rPr>
          <w:rFonts w:ascii="Arial" w:cs="Arial" w:eastAsia="Arial" w:hAnsi="Arial"/>
          <w:sz w:val="15"/>
          <w:szCs w:val="15"/>
          <w:b w:val="1"/>
          <w:bCs w:val="1"/>
          <w:color w:val="auto"/>
        </w:rPr>
      </w:pPr>
    </w:p>
    <w:p>
      <w:pPr>
        <w:jc w:val="both"/>
        <w:ind w:left="440" w:hanging="215"/>
        <w:spacing w:after="0" w:line="272" w:lineRule="auto"/>
        <w:tabs>
          <w:tab w:leader="none" w:pos="53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not to exceed the maximum amount permitted by applicable law (the “</w:t>
      </w:r>
      <w:r>
        <w:rPr>
          <w:rFonts w:ascii="Arial" w:cs="Arial" w:eastAsia="Arial" w:hAnsi="Arial"/>
          <w:sz w:val="13"/>
          <w:szCs w:val="13"/>
          <w:b w:val="1"/>
          <w:bCs w:val="1"/>
          <w:color w:val="auto"/>
        </w:rPr>
        <w:t>*** Regulated Card-Absent Visa Debit IRF Rate</w:t>
      </w:r>
      <w:r>
        <w:rPr>
          <w:rFonts w:ascii="Arial" w:cs="Arial" w:eastAsia="Arial" w:hAnsi="Arial"/>
          <w:sz w:val="13"/>
          <w:szCs w:val="13"/>
          <w:color w:val="auto"/>
        </w:rPr>
        <w:t>”), for each CPS-qualified, consumer, Card-Absent, Regulated Visa Debit Transaction originating at an Unattended Merchant Location of an Eligible Merchant, processed through an Included BIN, assigned an Eligible Merchant Category Code, excluding ***, and routed for authorization, clearing and settlement through *** (the “</w:t>
      </w:r>
      <w:r>
        <w:rPr>
          <w:rFonts w:ascii="Arial" w:cs="Arial" w:eastAsia="Arial" w:hAnsi="Arial"/>
          <w:sz w:val="13"/>
          <w:szCs w:val="13"/>
          <w:b w:val="1"/>
          <w:bCs w:val="1"/>
          <w:color w:val="auto"/>
        </w:rPr>
        <w:t>Eligible</w:t>
      </w:r>
    </w:p>
    <w:p>
      <w:pPr>
        <w:ind w:left="700" w:hanging="256"/>
        <w:spacing w:after="0"/>
        <w:tabs>
          <w:tab w:leader="none" w:pos="700" w:val="left"/>
        </w:tabs>
        <w:numPr>
          <w:ilvl w:val="1"/>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Regulated Card-Absent Visa Debit Transactions</w:t>
      </w:r>
      <w:r>
        <w:rPr>
          <w:rFonts w:ascii="Arial" w:cs="Arial" w:eastAsia="Arial" w:hAnsi="Arial"/>
          <w:sz w:val="15"/>
          <w:szCs w:val="15"/>
          <w:color w:val="auto"/>
        </w:rPr>
        <w:t>”).</w:t>
      </w:r>
    </w:p>
    <w:p>
      <w:pPr>
        <w:spacing w:after="0" w:line="48" w:lineRule="exact"/>
        <w:rPr>
          <w:rFonts w:ascii="Arial" w:cs="Arial" w:eastAsia="Arial" w:hAnsi="Arial"/>
          <w:sz w:val="15"/>
          <w:szCs w:val="15"/>
          <w:b w:val="1"/>
          <w:bCs w:val="1"/>
          <w:color w:val="auto"/>
        </w:rPr>
      </w:pPr>
    </w:p>
    <w:p>
      <w:pPr>
        <w:jc w:val="both"/>
        <w:ind w:left="440" w:hanging="215"/>
        <w:spacing w:after="0"/>
        <w:tabs>
          <w:tab w:leader="none" w:pos="499" w:val="left"/>
        </w:tabs>
        <w:numPr>
          <w:ilvl w:val="0"/>
          <w:numId w:val="25"/>
        </w:numPr>
        <w:rPr>
          <w:rFonts w:ascii="Arial" w:cs="Arial" w:eastAsia="Arial" w:hAnsi="Arial"/>
          <w:sz w:val="15"/>
          <w:szCs w:val="15"/>
          <w:color w:val="auto"/>
        </w:rPr>
      </w:pPr>
      <w:r>
        <w:rPr>
          <w:rFonts w:ascii="Arial" w:cs="Arial" w:eastAsia="Arial" w:hAnsi="Arial"/>
          <w:sz w:val="15"/>
          <w:szCs w:val="15"/>
          <w:color w:val="auto"/>
        </w:rPr>
        <w:t>*** (the “</w:t>
      </w:r>
      <w:r>
        <w:rPr>
          <w:rFonts w:ascii="Arial" w:cs="Arial" w:eastAsia="Arial" w:hAnsi="Arial"/>
          <w:sz w:val="15"/>
          <w:szCs w:val="15"/>
          <w:b w:val="1"/>
          <w:bCs w:val="1"/>
          <w:color w:val="auto"/>
        </w:rPr>
        <w:t>*** Card-Absent Visa Credit IRF Rate</w:t>
      </w:r>
      <w:r>
        <w:rPr>
          <w:rFonts w:ascii="Arial" w:cs="Arial" w:eastAsia="Arial" w:hAnsi="Arial"/>
          <w:sz w:val="15"/>
          <w:szCs w:val="15"/>
          <w:color w:val="auto"/>
        </w:rPr>
        <w:t>”) for each CPS-qualified, consumer, Card-Absent, Visa Credit Transaction originating at an Unattended Merchant Location of an Eligible Merchant, processed through an Included BIN, assigned an Eligible Merchant Category Code, excluding *** and Visa Signature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57150</wp:posOffset>
            </wp:positionV>
            <wp:extent cx="64338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700"/>
          </w:cols>
          <w:pgMar w:left="1320" w:top="122" w:right="8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4"/>
          <w:szCs w:val="14"/>
          <w:color w:val="auto"/>
        </w:rPr>
        <w:t>Preferred transactions, and routed for authorization, clearing and settlement through *** (the “</w:t>
      </w:r>
      <w:r>
        <w:rPr>
          <w:rFonts w:ascii="Arial" w:cs="Arial" w:eastAsia="Arial" w:hAnsi="Arial"/>
          <w:sz w:val="14"/>
          <w:szCs w:val="14"/>
          <w:b w:val="1"/>
          <w:bCs w:val="1"/>
          <w:color w:val="auto"/>
        </w:rPr>
        <w:t>Eligible *** Card-Absent Visa Credit Transactions</w:t>
      </w:r>
      <w:r>
        <w:rPr>
          <w:rFonts w:ascii="Arial" w:cs="Arial" w:eastAsia="Arial" w:hAnsi="Arial"/>
          <w:sz w:val="14"/>
          <w:szCs w:val="14"/>
          <w:color w:val="auto"/>
        </w:rPr>
        <w:t>”).</w:t>
      </w:r>
    </w:p>
    <w:p>
      <w:pPr>
        <w:spacing w:after="0" w:line="76" w:lineRule="exact"/>
        <w:rPr>
          <w:sz w:val="20"/>
          <w:szCs w:val="20"/>
          <w:color w:val="auto"/>
        </w:rPr>
      </w:pPr>
    </w:p>
    <w:p>
      <w:pPr>
        <w:jc w:val="both"/>
        <w:ind w:left="220" w:hanging="214"/>
        <w:spacing w:after="0" w:line="266" w:lineRule="auto"/>
        <w:tabs>
          <w:tab w:leader="none" w:pos="29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Quarterly Client Certifications</w:t>
      </w:r>
      <w:r>
        <w:rPr>
          <w:rFonts w:ascii="Arial" w:cs="Arial" w:eastAsia="Arial" w:hAnsi="Arial"/>
          <w:sz w:val="14"/>
          <w:szCs w:val="14"/>
          <w:color w:val="auto"/>
        </w:rPr>
        <w:t>. If within 15 calendar days following an applicable Incentive Quarter, Client provides Visa with a written certification in the</w:t>
      </w:r>
      <w:r>
        <w:rPr>
          <w:rFonts w:ascii="Arial" w:cs="Arial" w:eastAsia="Arial" w:hAnsi="Arial"/>
          <w:sz w:val="14"/>
          <w:szCs w:val="14"/>
          <w:b w:val="1"/>
          <w:bCs w:val="1"/>
          <w:color w:val="auto"/>
        </w:rPr>
        <w:t xml:space="preserve"> </w:t>
      </w:r>
      <w:r>
        <w:rPr>
          <w:rFonts w:ascii="Arial" w:cs="Arial" w:eastAsia="Arial" w:hAnsi="Arial"/>
          <w:sz w:val="14"/>
          <w:szCs w:val="14"/>
          <w:color w:val="auto"/>
        </w:rPr>
        <w:t>form attached hereto as Rider 1 (each, a “</w:t>
      </w:r>
      <w:r>
        <w:rPr>
          <w:rFonts w:ascii="Arial" w:cs="Arial" w:eastAsia="Arial" w:hAnsi="Arial"/>
          <w:sz w:val="14"/>
          <w:szCs w:val="14"/>
          <w:b w:val="1"/>
          <w:bCs w:val="1"/>
          <w:color w:val="auto"/>
        </w:rPr>
        <w:t>Quarterly Client Certification</w:t>
      </w:r>
      <w:r>
        <w:rPr>
          <w:rFonts w:ascii="Arial" w:cs="Arial" w:eastAsia="Arial" w:hAnsi="Arial"/>
          <w:sz w:val="14"/>
          <w:szCs w:val="14"/>
          <w:color w:val="auto"/>
        </w:rPr>
        <w:t>”) for such Incentive Quarter, then Visa will continue to make available to Client’s Acquirer the applicable Promotional IRF Rates for Eligible Transactions originating during the following Incentive Quarter.</w:t>
      </w:r>
    </w:p>
    <w:p>
      <w:pPr>
        <w:spacing w:after="0" w:line="34" w:lineRule="exact"/>
        <w:rPr>
          <w:sz w:val="20"/>
          <w:szCs w:val="20"/>
          <w:color w:val="auto"/>
        </w:rPr>
      </w:pPr>
    </w:p>
    <w:p>
      <w:pPr>
        <w:jc w:val="both"/>
        <w:ind w:left="220"/>
        <w:spacing w:after="0" w:line="267" w:lineRule="auto"/>
        <w:rPr>
          <w:sz w:val="20"/>
          <w:szCs w:val="20"/>
          <w:color w:val="auto"/>
        </w:rPr>
      </w:pPr>
      <w:r>
        <w:rPr>
          <w:rFonts w:ascii="Arial" w:cs="Arial" w:eastAsia="Arial" w:hAnsi="Arial"/>
          <w:sz w:val="13"/>
          <w:szCs w:val="13"/>
          <w:color w:val="auto"/>
        </w:rPr>
        <w:t>However, for each Quarterly Client Certification that Visa does not receive within 30 calendar days following an applicable Incentive Quarter, Visa may, at its sole discretion, upon 10 calendar days’ written notice to Client, stop making available the Promotional IRF Rates. Additionally, Visa may, at its sole discretion, immediately stop making available the applicable Promotional IRF Rate for (a) each Promotional IRF Rate with respect to which Client does not attest that there was no *** during the Relevant Quarter (as defined in each Quarterly Client Certification) in paragraph (i) of such Quarterly Client Certification, and/or (b) each set of Eligible Transactions with respect to which Client does not attest as to the maximum transaction value threshold during the Relevant Quarter in paragraph</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(iv) of such Quarterly Client Certification.</w:t>
      </w:r>
    </w:p>
    <w:p>
      <w:pPr>
        <w:spacing w:after="0" w:line="48" w:lineRule="exact"/>
        <w:rPr>
          <w:sz w:val="20"/>
          <w:szCs w:val="20"/>
          <w:color w:val="auto"/>
        </w:rPr>
      </w:pPr>
    </w:p>
    <w:p>
      <w:pPr>
        <w:jc w:val="both"/>
        <w:ind w:left="220" w:hanging="214"/>
        <w:spacing w:after="0" w:line="237" w:lineRule="auto"/>
        <w:tabs>
          <w:tab w:leader="none" w:pos="326"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Cash Reimbursement</w:t>
      </w:r>
      <w:r>
        <w:rPr>
          <w:rFonts w:ascii="Arial" w:cs="Arial" w:eastAsia="Arial" w:hAnsi="Arial"/>
          <w:sz w:val="15"/>
          <w:szCs w:val="15"/>
          <w:color w:val="auto"/>
        </w:rPr>
        <w:t>. For any Eligible Transaction for which Visa does not make the applicable Promotional IRF Rate available to Client’s Acquirer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this Agreement, Visa may, in lieu of the systematic application of such Promotional IRF Rate, provide Client with a cash reimbursement in an amount sufficient to achieve such Promotional IRF Rate for such transactions (the “</w:t>
      </w:r>
      <w:r>
        <w:rPr>
          <w:rFonts w:ascii="Arial" w:cs="Arial" w:eastAsia="Arial" w:hAnsi="Arial"/>
          <w:sz w:val="15"/>
          <w:szCs w:val="15"/>
          <w:b w:val="1"/>
          <w:bCs w:val="1"/>
          <w:color w:val="auto"/>
        </w:rPr>
        <w:t>Visa IRF Reimbursement</w:t>
      </w:r>
      <w:r>
        <w:rPr>
          <w:rFonts w:ascii="Arial" w:cs="Arial" w:eastAsia="Arial" w:hAnsi="Arial"/>
          <w:sz w:val="15"/>
          <w:szCs w:val="15"/>
          <w:color w:val="auto"/>
        </w:rPr>
        <w:t>”). Visa shall remit any such Visa IRF Reimbursement within 30 calendar days following the applicable Incentive Quarter.</w:t>
      </w:r>
    </w:p>
    <w:p>
      <w:pPr>
        <w:spacing w:after="0" w:line="48" w:lineRule="exact"/>
        <w:rPr>
          <w:rFonts w:ascii="Arial" w:cs="Arial" w:eastAsia="Arial" w:hAnsi="Arial"/>
          <w:sz w:val="15"/>
          <w:szCs w:val="15"/>
          <w:color w:val="auto"/>
        </w:rPr>
      </w:pPr>
    </w:p>
    <w:p>
      <w:pPr>
        <w:ind w:left="220" w:hanging="214"/>
        <w:spacing w:after="0" w:line="252" w:lineRule="auto"/>
        <w:tabs>
          <w:tab w:leader="none" w:pos="372"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Client Participation Requirements</w:t>
      </w:r>
      <w:r>
        <w:rPr>
          <w:rFonts w:ascii="Arial" w:cs="Arial" w:eastAsia="Arial" w:hAnsi="Arial"/>
          <w:sz w:val="15"/>
          <w:szCs w:val="15"/>
          <w:color w:val="auto"/>
        </w:rPr>
        <w:t>. Client’s eligibility to receive the Incentives in this Schedule A is subject to and contingent upon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being met during each relevant Incentive Quarter (the “</w:t>
      </w:r>
      <w:r>
        <w:rPr>
          <w:rFonts w:ascii="Arial" w:cs="Arial" w:eastAsia="Arial" w:hAnsi="Arial"/>
          <w:sz w:val="15"/>
          <w:szCs w:val="15"/>
          <w:b w:val="1"/>
          <w:bCs w:val="1"/>
          <w:color w:val="auto"/>
        </w:rPr>
        <w:t>Client Participation Requirements</w:t>
      </w:r>
      <w:r>
        <w:rPr>
          <w:rFonts w:ascii="Arial" w:cs="Arial" w:eastAsia="Arial" w:hAnsi="Arial"/>
          <w:sz w:val="15"/>
          <w:szCs w:val="15"/>
          <w:color w:val="auto"/>
        </w:rPr>
        <w:t>”):</w:t>
      </w:r>
    </w:p>
    <w:p>
      <w:pPr>
        <w:spacing w:after="0" w:line="43" w:lineRule="exact"/>
        <w:rPr>
          <w:sz w:val="20"/>
          <w:szCs w:val="20"/>
          <w:color w:val="auto"/>
        </w:rPr>
      </w:pPr>
    </w:p>
    <w:p>
      <w:pPr>
        <w:jc w:val="both"/>
        <w:ind w:left="480" w:hanging="255"/>
        <w:spacing w:after="0" w:line="238" w:lineRule="auto"/>
        <w:tabs>
          <w:tab w:leader="none" w:pos="584"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Prior to sending to Visa the first Quarterly Client Certification, Client shall enable in its systems, or cause Client’s Acquirer to enable in their systems, unique VPP identifiers for the Promotional IRF Rates and the applicable MVVs, and Client shall include the appropriate and unique MVV applicable to each of the Eligible Transactions generated during such Incentive Quarter;</w:t>
      </w:r>
    </w:p>
    <w:p>
      <w:pPr>
        <w:spacing w:after="0" w:line="52" w:lineRule="exact"/>
        <w:rPr>
          <w:rFonts w:ascii="Arial" w:cs="Arial" w:eastAsia="Arial" w:hAnsi="Arial"/>
          <w:sz w:val="15"/>
          <w:szCs w:val="15"/>
          <w:color w:val="auto"/>
        </w:rPr>
      </w:pPr>
    </w:p>
    <w:p>
      <w:pPr>
        <w:ind w:left="520" w:hanging="295"/>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Client shall pass on, or cause Client’s Acquirer to pass on, the benefits of the Promotional IRF Rates only to Eligible Merchants;</w:t>
      </w:r>
    </w:p>
    <w:p>
      <w:pPr>
        <w:spacing w:after="0" w:line="64" w:lineRule="exact"/>
        <w:rPr>
          <w:rFonts w:ascii="Arial" w:cs="Arial" w:eastAsia="Arial" w:hAnsi="Arial"/>
          <w:sz w:val="15"/>
          <w:szCs w:val="15"/>
          <w:color w:val="auto"/>
        </w:rPr>
      </w:pPr>
    </w:p>
    <w:p>
      <w:pPr>
        <w:ind w:left="480" w:hanging="255"/>
        <w:spacing w:after="0" w:line="247" w:lineRule="auto"/>
        <w:tabs>
          <w:tab w:leader="none" w:pos="565"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each Quarterly Client Certification, Client shall provide a complete list of all of the BIN(s) through which Client processed the Eligible Transactions (“</w:t>
      </w:r>
      <w:r>
        <w:rPr>
          <w:rFonts w:ascii="Arial" w:cs="Arial" w:eastAsia="Arial" w:hAnsi="Arial"/>
          <w:sz w:val="15"/>
          <w:szCs w:val="15"/>
          <w:b w:val="1"/>
          <w:bCs w:val="1"/>
          <w:color w:val="auto"/>
        </w:rPr>
        <w:t>Included BIN</w:t>
      </w:r>
      <w:r>
        <w:rPr>
          <w:rFonts w:ascii="Arial" w:cs="Arial" w:eastAsia="Arial" w:hAnsi="Arial"/>
          <w:sz w:val="15"/>
          <w:szCs w:val="15"/>
          <w:color w:val="auto"/>
        </w:rPr>
        <w:t>”) during such Incentive Quarter;</w:t>
      </w:r>
    </w:p>
    <w:p>
      <w:pPr>
        <w:spacing w:after="0" w:line="46" w:lineRule="exact"/>
        <w:rPr>
          <w:rFonts w:ascii="Arial" w:cs="Arial" w:eastAsia="Arial" w:hAnsi="Arial"/>
          <w:sz w:val="15"/>
          <w:szCs w:val="15"/>
          <w:color w:val="auto"/>
        </w:rPr>
      </w:pPr>
    </w:p>
    <w:p>
      <w:pPr>
        <w:ind w:left="480" w:hanging="255"/>
        <w:spacing w:after="0" w:line="247" w:lineRule="auto"/>
        <w:tabs>
          <w:tab w:leader="none" w:pos="5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each Quarterly Client Certification, Client shall provide a complete list of all of the Merchants that became Eligible Merchants during such Incentive Quarter and the date on which Client began passing on the benefits of the Promotional IRF Rates to such Merchants;</w:t>
      </w:r>
    </w:p>
    <w:p>
      <w:pPr>
        <w:spacing w:after="0" w:line="46" w:lineRule="exact"/>
        <w:rPr>
          <w:rFonts w:ascii="Arial" w:cs="Arial" w:eastAsia="Arial" w:hAnsi="Arial"/>
          <w:sz w:val="15"/>
          <w:szCs w:val="15"/>
          <w:color w:val="auto"/>
        </w:rPr>
      </w:pPr>
    </w:p>
    <w:p>
      <w:pPr>
        <w:ind w:left="480" w:hanging="255"/>
        <w:spacing w:after="0" w:line="247" w:lineRule="auto"/>
        <w:tabs>
          <w:tab w:leader="none" w:pos="58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each Quarterly Client Certification, Client shall certify that *** were created by Eligible Merchants during such Incentive Quarter, and Client shall provide Visa with the exact number of new Unattended Merchant Locations that were created during such Incentive Quarter;</w:t>
      </w:r>
    </w:p>
    <w:p>
      <w:pPr>
        <w:spacing w:after="0" w:line="46" w:lineRule="exact"/>
        <w:rPr>
          <w:rFonts w:ascii="Arial" w:cs="Arial" w:eastAsia="Arial" w:hAnsi="Arial"/>
          <w:sz w:val="15"/>
          <w:szCs w:val="15"/>
          <w:color w:val="auto"/>
        </w:rPr>
      </w:pPr>
    </w:p>
    <w:p>
      <w:pPr>
        <w:jc w:val="both"/>
        <w:ind w:left="480" w:hanging="255"/>
        <w:spacing w:after="0" w:line="238" w:lineRule="auto"/>
        <w:tabs>
          <w:tab w:leader="none" w:pos="595" w:val="left"/>
        </w:tabs>
        <w:numPr>
          <w:ilvl w:val="0"/>
          <w:numId w:val="28"/>
        </w:numPr>
        <w:rPr>
          <w:rFonts w:ascii="Arial" w:cs="Arial" w:eastAsia="Arial" w:hAnsi="Arial"/>
          <w:sz w:val="15"/>
          <w:szCs w:val="15"/>
          <w:color w:val="auto"/>
        </w:rPr>
      </w:pPr>
      <w:r>
        <w:rPr>
          <w:rFonts w:ascii="Arial" w:cs="Arial" w:eastAsia="Arial" w:hAnsi="Arial"/>
          <w:sz w:val="15"/>
          <w:szCs w:val="15"/>
          <w:color w:val="auto"/>
        </w:rPr>
        <w:t>Client shall use commercially reasonable efforts to ensure that all Merchants (i) accept all Visa Products at all Acceptance Devices at all Unattended Merchant Locations, and (ii) accept all Visa Products through any Payment Device capable of being accepted at each Acceptance Device located at an Unattended Merchant Location;</w:t>
      </w:r>
    </w:p>
    <w:p>
      <w:pPr>
        <w:spacing w:after="0" w:line="52" w:lineRule="exact"/>
        <w:rPr>
          <w:rFonts w:ascii="Arial" w:cs="Arial" w:eastAsia="Arial" w:hAnsi="Arial"/>
          <w:sz w:val="15"/>
          <w:szCs w:val="15"/>
          <w:color w:val="auto"/>
        </w:rPr>
      </w:pPr>
    </w:p>
    <w:p>
      <w:pPr>
        <w:ind w:left="480" w:hanging="255"/>
        <w:spacing w:after="0" w:line="247" w:lineRule="auto"/>
        <w:tabs>
          <w:tab w:leader="none" w:pos="638" w:val="left"/>
        </w:tabs>
        <w:numPr>
          <w:ilvl w:val="0"/>
          <w:numId w:val="28"/>
        </w:numPr>
        <w:rPr>
          <w:rFonts w:ascii="Arial" w:cs="Arial" w:eastAsia="Arial" w:hAnsi="Arial"/>
          <w:sz w:val="15"/>
          <w:szCs w:val="15"/>
          <w:color w:val="auto"/>
        </w:rPr>
      </w:pPr>
      <w:r>
        <w:rPr>
          <w:rFonts w:ascii="Arial" w:cs="Arial" w:eastAsia="Arial" w:hAnsi="Arial"/>
          <w:sz w:val="15"/>
          <w:szCs w:val="15"/>
          <w:color w:val="auto"/>
        </w:rPr>
        <w:t>For any Payment Communication Protocol enabled on an Acceptance Device at an Unattended Merchant Location, Client shall use commercially reasonable efforts to implement and enable the Visa Specification for such Payment Communication Protocol;</w:t>
      </w:r>
    </w:p>
    <w:p>
      <w:pPr>
        <w:spacing w:after="0" w:line="46" w:lineRule="exact"/>
        <w:rPr>
          <w:rFonts w:ascii="Arial" w:cs="Arial" w:eastAsia="Arial" w:hAnsi="Arial"/>
          <w:sz w:val="15"/>
          <w:szCs w:val="15"/>
          <w:color w:val="auto"/>
        </w:rPr>
      </w:pPr>
    </w:p>
    <w:p>
      <w:pPr>
        <w:ind w:left="480" w:hanging="255"/>
        <w:spacing w:after="0" w:line="247" w:lineRule="auto"/>
        <w:tabs>
          <w:tab w:leader="none" w:pos="573"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 respect to Unattended Merchant Locations where Client is responsible for the Acceptance Device, Client shall ensure, and for all other Unattended Merchant Locations Client shall use commercially</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57150</wp:posOffset>
            </wp:positionV>
            <wp:extent cx="64338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700"/>
          </w:cols>
          <w:pgMar w:left="1320" w:top="122" w:right="879" w:bottom="1440" w:gutter="0" w:footer="0" w:header="0"/>
        </w:sectPr>
      </w:pPr>
    </w:p>
    <w:bookmarkStart w:id="44" w:name="page45"/>
    <w:bookmarkEnd w:id="44"/>
    <w:p>
      <w:pPr>
        <w:jc w:val="both"/>
        <w:ind w:left="700"/>
        <w:spacing w:after="0" w:line="235" w:lineRule="auto"/>
        <w:rPr>
          <w:sz w:val="20"/>
          <w:szCs w:val="20"/>
          <w:color w:val="auto"/>
        </w:rPr>
      </w:pPr>
      <w:r>
        <w:rPr>
          <w:rFonts w:ascii="Arial" w:cs="Arial" w:eastAsia="Arial" w:hAnsi="Arial"/>
          <w:sz w:val="15"/>
          <w:szCs w:val="15"/>
          <w:color w:val="auto"/>
        </w:rPr>
        <w:t>reasonable efforts to ensure, that if the holder of a Visa Debit Product is automatically prompted or otherwise requested to enter a PIN as a CVM to complete a transaction at an Unattended Merchant Location, such holder will have the option to complete the transaction using any other valid CVM available for such Visa Debit Product without such the holder being required to re-swipe or re-dip the Payment Device or otherwise restart the payment process, irrespective of transaction amount.</w:t>
      </w:r>
    </w:p>
    <w:p>
      <w:pPr>
        <w:spacing w:after="0" w:line="54" w:lineRule="exact"/>
        <w:rPr>
          <w:sz w:val="20"/>
          <w:szCs w:val="20"/>
          <w:color w:val="auto"/>
        </w:rPr>
      </w:pPr>
    </w:p>
    <w:p>
      <w:pPr>
        <w:ind w:left="700" w:hanging="255"/>
        <w:spacing w:after="0" w:line="247" w:lineRule="auto"/>
        <w:tabs>
          <w:tab w:leader="none" w:pos="849" w:val="left"/>
        </w:tabs>
        <w:numPr>
          <w:ilvl w:val="1"/>
          <w:numId w:val="29"/>
        </w:numPr>
        <w:rPr>
          <w:rFonts w:ascii="Arial" w:cs="Arial" w:eastAsia="Arial" w:hAnsi="Arial"/>
          <w:sz w:val="15"/>
          <w:szCs w:val="15"/>
          <w:color w:val="auto"/>
        </w:rPr>
      </w:pPr>
      <w:r>
        <w:rPr>
          <w:rFonts w:ascii="Arial" w:cs="Arial" w:eastAsia="Arial" w:hAnsi="Arial"/>
          <w:sz w:val="15"/>
          <w:szCs w:val="15"/>
          <w:color w:val="auto"/>
        </w:rPr>
        <w:t>Client shall implement and enable the Visa Specification for NFC Payment Communication Protocol at all new Acceptance Devices located at all Unattended Merchant Locations by ***;</w:t>
      </w:r>
    </w:p>
    <w:p>
      <w:pPr>
        <w:spacing w:after="0" w:line="46" w:lineRule="exact"/>
        <w:rPr>
          <w:rFonts w:ascii="Arial" w:cs="Arial" w:eastAsia="Arial" w:hAnsi="Arial"/>
          <w:sz w:val="15"/>
          <w:szCs w:val="15"/>
          <w:color w:val="auto"/>
        </w:rPr>
      </w:pPr>
    </w:p>
    <w:p>
      <w:pPr>
        <w:ind w:left="720" w:hanging="275"/>
        <w:spacing w:after="0"/>
        <w:tabs>
          <w:tab w:leader="none" w:pos="7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700" w:hanging="255"/>
        <w:spacing w:after="0" w:line="318" w:lineRule="auto"/>
        <w:tabs>
          <w:tab w:leader="none" w:pos="774" w:val="left"/>
        </w:tabs>
        <w:numPr>
          <w:ilvl w:val="1"/>
          <w:numId w:val="29"/>
        </w:numPr>
        <w:rPr>
          <w:rFonts w:ascii="Arial" w:cs="Arial" w:eastAsia="Arial" w:hAnsi="Arial"/>
          <w:sz w:val="13"/>
          <w:szCs w:val="13"/>
          <w:color w:val="auto"/>
        </w:rPr>
      </w:pPr>
      <w:r>
        <w:rPr>
          <w:rFonts w:ascii="Arial" w:cs="Arial" w:eastAsia="Arial" w:hAnsi="Arial"/>
          <w:sz w:val="13"/>
          <w:szCs w:val="13"/>
          <w:color w:val="auto"/>
        </w:rPr>
        <w:t>Client must be in compliance with all Visa Rules. For purposes of clarity, this Agreement has no impact or effect on Visa’s rights and remedies under the Visa Rules for Client’s failure to comply with the Visa Rules, including any and all rights and remedies that Visa may pursue against Client’s Acquirer.</w:t>
      </w:r>
    </w:p>
    <w:p>
      <w:pPr>
        <w:spacing w:after="0" w:line="1" w:lineRule="exact"/>
        <w:rPr>
          <w:rFonts w:ascii="Arial" w:cs="Arial" w:eastAsia="Arial" w:hAnsi="Arial"/>
          <w:sz w:val="13"/>
          <w:szCs w:val="13"/>
          <w:color w:val="auto"/>
        </w:rPr>
      </w:pPr>
    </w:p>
    <w:p>
      <w:pPr>
        <w:jc w:val="both"/>
        <w:ind w:left="440" w:hanging="214"/>
        <w:spacing w:after="0" w:line="296" w:lineRule="auto"/>
        <w:tabs>
          <w:tab w:leader="none" w:pos="519"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Conditions for Authorization to Pass on Benefits to Merchants</w:t>
      </w:r>
      <w:r>
        <w:rPr>
          <w:rFonts w:ascii="Arial" w:cs="Arial" w:eastAsia="Arial" w:hAnsi="Arial"/>
          <w:sz w:val="13"/>
          <w:szCs w:val="13"/>
          <w:color w:val="auto"/>
        </w:rPr>
        <w:t>. During each Incentive Quarter, Client may pass on, or cause Client’s Acquirer to pass on,</w:t>
      </w:r>
      <w:r>
        <w:rPr>
          <w:rFonts w:ascii="Arial" w:cs="Arial" w:eastAsia="Arial" w:hAnsi="Arial"/>
          <w:sz w:val="13"/>
          <w:szCs w:val="13"/>
          <w:b w:val="1"/>
          <w:bCs w:val="1"/>
          <w:color w:val="auto"/>
        </w:rPr>
        <w:t xml:space="preserve"> </w:t>
      </w:r>
      <w:r>
        <w:rPr>
          <w:rFonts w:ascii="Arial" w:cs="Arial" w:eastAsia="Arial" w:hAnsi="Arial"/>
          <w:sz w:val="13"/>
          <w:szCs w:val="13"/>
          <w:color w:val="auto"/>
        </w:rPr>
        <w:t>the benefit of the Promotional IRF Rates only to Merchants in an Eligible Merchant Category Code that meet all of the Merchant Participation Requirements at all times during the applicable Incentive Quarter (each, an “</w:t>
      </w:r>
      <w:r>
        <w:rPr>
          <w:rFonts w:ascii="Arial" w:cs="Arial" w:eastAsia="Arial" w:hAnsi="Arial"/>
          <w:sz w:val="13"/>
          <w:szCs w:val="13"/>
          <w:b w:val="1"/>
          <w:bCs w:val="1"/>
          <w:color w:val="auto"/>
        </w:rPr>
        <w:t>Eligible Merchant</w:t>
      </w:r>
      <w:r>
        <w:rPr>
          <w:rFonts w:ascii="Arial" w:cs="Arial" w:eastAsia="Arial" w:hAnsi="Arial"/>
          <w:sz w:val="13"/>
          <w:szCs w:val="13"/>
          <w:color w:val="auto"/>
        </w:rPr>
        <w:t>”). “</w:t>
      </w:r>
      <w:r>
        <w:rPr>
          <w:rFonts w:ascii="Arial" w:cs="Arial" w:eastAsia="Arial" w:hAnsi="Arial"/>
          <w:sz w:val="13"/>
          <w:szCs w:val="13"/>
          <w:b w:val="1"/>
          <w:bCs w:val="1"/>
          <w:color w:val="auto"/>
        </w:rPr>
        <w:t>Merchant Participation Requirements</w:t>
      </w:r>
      <w:r>
        <w:rPr>
          <w:rFonts w:ascii="Arial" w:cs="Arial" w:eastAsia="Arial" w:hAnsi="Arial"/>
          <w:sz w:val="13"/>
          <w:szCs w:val="13"/>
          <w:color w:val="auto"/>
        </w:rPr>
        <w:t>” means the following conditions:</w:t>
      </w:r>
    </w:p>
    <w:p>
      <w:pPr>
        <w:spacing w:after="0" w:line="16" w:lineRule="exact"/>
        <w:rPr>
          <w:rFonts w:ascii="Arial" w:cs="Arial" w:eastAsia="Arial" w:hAnsi="Arial"/>
          <w:sz w:val="13"/>
          <w:szCs w:val="13"/>
          <w:color w:val="auto"/>
        </w:rPr>
      </w:pPr>
    </w:p>
    <w:p>
      <w:pPr>
        <w:ind w:left="660" w:hanging="215"/>
        <w:spacing w:after="0" w:line="247" w:lineRule="auto"/>
        <w:tabs>
          <w:tab w:leader="none" w:pos="7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The Merchant must (i) accept all Visa Products at all Acceptance Devices at all Unattended Merchant Locations, and (ii) accept all Visa Products through any Payment Device capable of being accepted at each Acceptance Device located at an Unattended Merchant Location;</w:t>
      </w:r>
    </w:p>
    <w:p>
      <w:pPr>
        <w:spacing w:after="0" w:line="46" w:lineRule="exact"/>
        <w:rPr>
          <w:rFonts w:ascii="Arial" w:cs="Arial" w:eastAsia="Arial" w:hAnsi="Arial"/>
          <w:sz w:val="15"/>
          <w:szCs w:val="15"/>
          <w:color w:val="auto"/>
        </w:rPr>
      </w:pPr>
    </w:p>
    <w:p>
      <w:pPr>
        <w:ind w:left="720" w:hanging="275"/>
        <w:spacing w:after="0"/>
        <w:tabs>
          <w:tab w:leader="none" w:pos="7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There is no *** in respect of any of the Unattended Merchant Locations;</w:t>
      </w:r>
    </w:p>
    <w:p>
      <w:pPr>
        <w:spacing w:after="0" w:line="64" w:lineRule="exact"/>
        <w:rPr>
          <w:rFonts w:ascii="Arial" w:cs="Arial" w:eastAsia="Arial" w:hAnsi="Arial"/>
          <w:sz w:val="15"/>
          <w:szCs w:val="15"/>
          <w:color w:val="auto"/>
        </w:rPr>
      </w:pPr>
    </w:p>
    <w:p>
      <w:pPr>
        <w:ind w:left="740" w:hanging="295"/>
        <w:spacing w:after="0"/>
        <w:tabs>
          <w:tab w:leader="none" w:pos="74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dollar amount of *** of the Eligible Transactions that originated at each of the Unattended Merchant Locations during such Incentive Quarter is ***;</w:t>
      </w:r>
    </w:p>
    <w:p>
      <w:pPr>
        <w:spacing w:after="0" w:line="26"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5"/>
          <w:szCs w:val="15"/>
          <w:color w:val="auto"/>
        </w:rPr>
        <w:t>and</w:t>
      </w:r>
    </w:p>
    <w:p>
      <w:pPr>
        <w:spacing w:after="0" w:line="52" w:lineRule="exact"/>
        <w:rPr>
          <w:rFonts w:ascii="Arial" w:cs="Arial" w:eastAsia="Arial" w:hAnsi="Arial"/>
          <w:sz w:val="13"/>
          <w:szCs w:val="13"/>
          <w:color w:val="auto"/>
        </w:rPr>
      </w:pPr>
    </w:p>
    <w:p>
      <w:pPr>
        <w:ind w:left="660" w:hanging="215"/>
        <w:spacing w:after="0" w:line="282" w:lineRule="auto"/>
        <w:tabs>
          <w:tab w:leader="none" w:pos="709"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result of dividing the aggregate amount of the sales volume generated at all of the Unattended Merchant Locations during such Incentive Quarter divided by the total number of transactions generated at all of the Unattended Merchant Locations during such period is ***.</w:t>
      </w:r>
    </w:p>
    <w:p>
      <w:pPr>
        <w:spacing w:after="0" w:line="23" w:lineRule="exact"/>
        <w:rPr>
          <w:sz w:val="20"/>
          <w:szCs w:val="20"/>
          <w:color w:val="auto"/>
        </w:rPr>
      </w:pPr>
    </w:p>
    <w:p>
      <w:pPr>
        <w:jc w:val="both"/>
        <w:ind w:left="440"/>
        <w:spacing w:after="0" w:line="238" w:lineRule="auto"/>
        <w:rPr>
          <w:sz w:val="20"/>
          <w:szCs w:val="20"/>
          <w:color w:val="auto"/>
        </w:rPr>
      </w:pPr>
      <w:r>
        <w:rPr>
          <w:rFonts w:ascii="Arial" w:cs="Arial" w:eastAsia="Arial" w:hAnsi="Arial"/>
          <w:sz w:val="15"/>
          <w:szCs w:val="15"/>
          <w:color w:val="auto"/>
        </w:rPr>
        <w:t>In the event a Merchant ceases to be in compliance with any of the Merchant Participation Requirements, Client shall: (1) notify Visa, within 10 calendar days following such non-compliance, in a writing signed by an officer of Client and on Client letterhead, and (2) immediately stop passing on the benefit of the Promotional IRF Rates to such Merchant.</w:t>
      </w:r>
    </w:p>
    <w:p>
      <w:pPr>
        <w:spacing w:after="0" w:line="48" w:lineRule="exact"/>
        <w:rPr>
          <w:sz w:val="20"/>
          <w:szCs w:val="20"/>
          <w:color w:val="auto"/>
        </w:rPr>
      </w:pPr>
    </w:p>
    <w:p>
      <w:pPr>
        <w:ind w:left="440" w:hanging="214"/>
        <w:spacing w:after="0" w:line="322" w:lineRule="auto"/>
        <w:tabs>
          <w:tab w:leader="none" w:pos="546"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No ***</w:t>
      </w:r>
      <w:r>
        <w:rPr>
          <w:rFonts w:ascii="Arial" w:cs="Arial" w:eastAsia="Arial" w:hAnsi="Arial"/>
          <w:sz w:val="13"/>
          <w:szCs w:val="13"/>
          <w:color w:val="auto"/>
        </w:rPr>
        <w:t>. In the event that Client determines or becomes aware that *** exists at an otherwise qualifying Eligible Merchant, Client shall, no later than 10</w:t>
      </w:r>
      <w:r>
        <w:rPr>
          <w:rFonts w:ascii="Arial" w:cs="Arial" w:eastAsia="Arial" w:hAnsi="Arial"/>
          <w:sz w:val="13"/>
          <w:szCs w:val="13"/>
          <w:b w:val="1"/>
          <w:bCs w:val="1"/>
          <w:color w:val="auto"/>
        </w:rPr>
        <w:t xml:space="preserve"> </w:t>
      </w:r>
      <w:r>
        <w:rPr>
          <w:rFonts w:ascii="Arial" w:cs="Arial" w:eastAsia="Arial" w:hAnsi="Arial"/>
          <w:sz w:val="13"/>
          <w:szCs w:val="13"/>
          <w:color w:val="auto"/>
        </w:rPr>
        <w:t>calendar days thereafter, cease passing on, or cause Client’s Acquirer to cease passing on, as applicable, the benefit of the applicable Promotional IRF Rate.</w:t>
      </w:r>
    </w:p>
    <w:p>
      <w:pPr>
        <w:jc w:val="both"/>
        <w:ind w:left="220" w:hanging="213"/>
        <w:spacing w:after="0" w:line="237" w:lineRule="auto"/>
        <w:tabs>
          <w:tab w:leader="none" w:pos="216"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Deployment Support Incentives</w:t>
      </w:r>
      <w:r>
        <w:rPr>
          <w:rFonts w:ascii="Arial" w:cs="Arial" w:eastAsia="Arial" w:hAnsi="Arial"/>
          <w:sz w:val="15"/>
          <w:szCs w:val="15"/>
          <w:color w:val="auto"/>
        </w:rPr>
        <w:t>. Client has targeted the placement and enablement of new stand-alone unattended vending or self-serve retail machines physically</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in the Territory that are owned, operated, or serviced by Client across Client’s unattended retail portfolio (the “</w:t>
      </w:r>
      <w:r>
        <w:rPr>
          <w:rFonts w:ascii="Arial" w:cs="Arial" w:eastAsia="Arial" w:hAnsi="Arial"/>
          <w:sz w:val="15"/>
          <w:szCs w:val="15"/>
          <w:b w:val="1"/>
          <w:bCs w:val="1"/>
          <w:color w:val="auto"/>
        </w:rPr>
        <w:t>Acceptance Locations</w:t>
      </w:r>
      <w:r>
        <w:rPr>
          <w:rFonts w:ascii="Arial" w:cs="Arial" w:eastAsia="Arial" w:hAnsi="Arial"/>
          <w:sz w:val="15"/>
          <w:szCs w:val="15"/>
          <w:color w:val="auto"/>
        </w:rPr>
        <w:t>”). Between the Effective Date and June 30, 2020 (the “</w:t>
      </w:r>
      <w:r>
        <w:rPr>
          <w:rFonts w:ascii="Arial" w:cs="Arial" w:eastAsia="Arial" w:hAnsi="Arial"/>
          <w:sz w:val="15"/>
          <w:szCs w:val="15"/>
          <w:b w:val="1"/>
          <w:bCs w:val="1"/>
          <w:color w:val="auto"/>
        </w:rPr>
        <w:t>Promotional Period</w:t>
      </w:r>
      <w:r>
        <w:rPr>
          <w:rFonts w:ascii="Arial" w:cs="Arial" w:eastAsia="Arial" w:hAnsi="Arial"/>
          <w:sz w:val="15"/>
          <w:szCs w:val="15"/>
          <w:color w:val="auto"/>
        </w:rPr>
        <w:t>”), Client will earn Incentive Funding for installing and enabling additional Acceptance Locations, as set forth below (the “</w:t>
      </w:r>
      <w:r>
        <w:rPr>
          <w:rFonts w:ascii="Arial" w:cs="Arial" w:eastAsia="Arial" w:hAnsi="Arial"/>
          <w:sz w:val="15"/>
          <w:szCs w:val="15"/>
          <w:b w:val="1"/>
          <w:bCs w:val="1"/>
          <w:color w:val="auto"/>
        </w:rPr>
        <w:t>Campaign</w:t>
      </w:r>
      <w:r>
        <w:rPr>
          <w:rFonts w:ascii="Arial" w:cs="Arial" w:eastAsia="Arial" w:hAnsi="Arial"/>
          <w:sz w:val="15"/>
          <w:szCs w:val="15"/>
          <w:color w:val="auto"/>
        </w:rPr>
        <w:t>”).</w:t>
      </w:r>
    </w:p>
    <w:p>
      <w:pPr>
        <w:spacing w:after="0" w:line="48" w:lineRule="exact"/>
        <w:rPr>
          <w:rFonts w:ascii="Arial" w:cs="Arial" w:eastAsia="Arial" w:hAnsi="Arial"/>
          <w:sz w:val="15"/>
          <w:szCs w:val="15"/>
          <w:b w:val="1"/>
          <w:bCs w:val="1"/>
          <w:color w:val="auto"/>
        </w:rPr>
      </w:pPr>
    </w:p>
    <w:p>
      <w:pPr>
        <w:ind w:left="440" w:hanging="214"/>
        <w:spacing w:after="0" w:line="252" w:lineRule="auto"/>
        <w:tabs>
          <w:tab w:leader="none" w:pos="501"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Deployment Schedule and Incentive Funding Amounts</w:t>
      </w:r>
      <w:r>
        <w:rPr>
          <w:rFonts w:ascii="Arial" w:cs="Arial" w:eastAsia="Arial" w:hAnsi="Arial"/>
          <w:sz w:val="15"/>
          <w:szCs w:val="15"/>
          <w:color w:val="auto"/>
        </w:rPr>
        <w:t>. Subject to Client meeting the obligations set forth in this Section C, Visa will pay Client up to a total</w:t>
      </w:r>
      <w:r>
        <w:rPr>
          <w:rFonts w:ascii="Arial" w:cs="Arial" w:eastAsia="Arial" w:hAnsi="Arial"/>
          <w:sz w:val="15"/>
          <w:szCs w:val="15"/>
          <w:b w:val="1"/>
          <w:bCs w:val="1"/>
          <w:color w:val="auto"/>
        </w:rPr>
        <w:t xml:space="preserve"> </w:t>
      </w:r>
      <w:r>
        <w:rPr>
          <w:rFonts w:ascii="Arial" w:cs="Arial" w:eastAsia="Arial" w:hAnsi="Arial"/>
          <w:sz w:val="15"/>
          <w:szCs w:val="15"/>
          <w:color w:val="auto"/>
        </w:rPr>
        <w:t>of *** Dollars ($***) (collectively, the “</w:t>
      </w:r>
      <w:r>
        <w:rPr>
          <w:rFonts w:ascii="Arial" w:cs="Arial" w:eastAsia="Arial" w:hAnsi="Arial"/>
          <w:sz w:val="15"/>
          <w:szCs w:val="15"/>
          <w:b w:val="1"/>
          <w:bCs w:val="1"/>
          <w:color w:val="auto"/>
        </w:rPr>
        <w:t>Incentive Funding</w:t>
      </w:r>
      <w:r>
        <w:rPr>
          <w:rFonts w:ascii="Arial" w:cs="Arial" w:eastAsia="Arial" w:hAnsi="Arial"/>
          <w:sz w:val="15"/>
          <w:szCs w:val="15"/>
          <w:color w:val="auto"/>
        </w:rPr>
        <w:t>”) as follows:</w:t>
      </w:r>
    </w:p>
    <w:p>
      <w:pPr>
        <w:spacing w:after="0" w:line="39" w:lineRule="exact"/>
        <w:rPr>
          <w:rFonts w:ascii="Arial" w:cs="Arial" w:eastAsia="Arial" w:hAnsi="Arial"/>
          <w:sz w:val="15"/>
          <w:szCs w:val="15"/>
          <w:color w:val="auto"/>
        </w:rPr>
      </w:pPr>
    </w:p>
    <w:p>
      <w:pPr>
        <w:jc w:val="both"/>
        <w:ind w:left="660" w:hanging="215"/>
        <w:spacing w:after="0"/>
        <w:tabs>
          <w:tab w:leader="none" w:pos="792" w:val="left"/>
        </w:tabs>
        <w:numPr>
          <w:ilvl w:val="2"/>
          <w:numId w:val="32"/>
        </w:numPr>
        <w:rPr>
          <w:rFonts w:ascii="Arial" w:cs="Arial" w:eastAsia="Arial" w:hAnsi="Arial"/>
          <w:sz w:val="15"/>
          <w:szCs w:val="15"/>
          <w:color w:val="auto"/>
        </w:rPr>
      </w:pPr>
      <w:r>
        <w:rPr>
          <w:rFonts w:ascii="Arial" w:cs="Arial" w:eastAsia="Arial" w:hAnsi="Arial"/>
          <w:sz w:val="15"/>
          <w:szCs w:val="15"/>
          <w:color w:val="auto"/>
        </w:rPr>
        <w:t>Between *** (“</w:t>
      </w:r>
      <w:r>
        <w:rPr>
          <w:rFonts w:ascii="Arial" w:cs="Arial" w:eastAsia="Arial" w:hAnsi="Arial"/>
          <w:sz w:val="15"/>
          <w:szCs w:val="15"/>
          <w:b w:val="1"/>
          <w:bCs w:val="1"/>
          <w:color w:val="auto"/>
        </w:rPr>
        <w:t>CY1</w:t>
      </w:r>
      <w:r>
        <w:rPr>
          <w:rFonts w:ascii="Arial" w:cs="Arial" w:eastAsia="Arial" w:hAnsi="Arial"/>
          <w:sz w:val="15"/>
          <w:szCs w:val="15"/>
          <w:color w:val="auto"/>
        </w:rPr>
        <w:t>”), if Client’s Merchant installs and makes live for transaction processing a minimum of *** Acceptance Locations (the “</w:t>
      </w:r>
      <w:r>
        <w:rPr>
          <w:rFonts w:ascii="Arial" w:cs="Arial" w:eastAsia="Arial" w:hAnsi="Arial"/>
          <w:sz w:val="15"/>
          <w:szCs w:val="15"/>
          <w:b w:val="1"/>
          <w:bCs w:val="1"/>
          <w:color w:val="auto"/>
        </w:rPr>
        <w:t>CY1</w:t>
      </w:r>
      <w:r>
        <w:rPr>
          <w:rFonts w:ascii="Arial" w:cs="Arial" w:eastAsia="Arial" w:hAnsi="Arial"/>
          <w:sz w:val="15"/>
          <w:szCs w:val="15"/>
          <w:color w:val="auto"/>
        </w:rPr>
        <w:t xml:space="preserve"> </w:t>
      </w:r>
      <w:r>
        <w:rPr>
          <w:rFonts w:ascii="Arial" w:cs="Arial" w:eastAsia="Arial" w:hAnsi="Arial"/>
          <w:sz w:val="15"/>
          <w:szCs w:val="15"/>
          <w:b w:val="1"/>
          <w:bCs w:val="1"/>
          <w:color w:val="auto"/>
        </w:rPr>
        <w:t>Baseline</w:t>
      </w:r>
      <w:r>
        <w:rPr>
          <w:rFonts w:ascii="Arial" w:cs="Arial" w:eastAsia="Arial" w:hAnsi="Arial"/>
          <w:sz w:val="15"/>
          <w:szCs w:val="15"/>
          <w:color w:val="auto"/>
        </w:rPr>
        <w:t>”); then Client will receive *** (the “</w:t>
      </w:r>
      <w:r>
        <w:rPr>
          <w:rFonts w:ascii="Arial" w:cs="Arial" w:eastAsia="Arial" w:hAnsi="Arial"/>
          <w:sz w:val="15"/>
          <w:szCs w:val="15"/>
          <w:b w:val="1"/>
          <w:bCs w:val="1"/>
          <w:color w:val="auto"/>
        </w:rPr>
        <w:t>Incentive Amount</w:t>
      </w:r>
      <w:r>
        <w:rPr>
          <w:rFonts w:ascii="Arial" w:cs="Arial" w:eastAsia="Arial" w:hAnsi="Arial"/>
          <w:sz w:val="15"/>
          <w:szCs w:val="15"/>
          <w:color w:val="auto"/>
        </w:rPr>
        <w:t>”) for each Acceptance Location installed and enabled above the CY1 Baseline (the “</w:t>
      </w:r>
      <w:r>
        <w:rPr>
          <w:rFonts w:ascii="Arial" w:cs="Arial" w:eastAsia="Arial" w:hAnsi="Arial"/>
          <w:sz w:val="15"/>
          <w:szCs w:val="15"/>
          <w:b w:val="1"/>
          <w:bCs w:val="1"/>
          <w:color w:val="auto"/>
        </w:rPr>
        <w:t>CY1 Incremental Locations</w:t>
      </w:r>
      <w:r>
        <w:rPr>
          <w:rFonts w:ascii="Arial" w:cs="Arial" w:eastAsia="Arial" w:hAnsi="Arial"/>
          <w:sz w:val="15"/>
          <w:szCs w:val="15"/>
          <w:color w:val="auto"/>
        </w:rPr>
        <w:t>”) up</w:t>
      </w:r>
    </w:p>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433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920"/>
          </w:cols>
          <w:pgMar w:left="1100" w:top="126" w:right="879" w:bottom="1440" w:gutter="0" w:footer="0" w:header="0"/>
        </w:sectPr>
      </w:pPr>
    </w:p>
    <w:bookmarkStart w:id="45" w:name="page46"/>
    <w:bookmarkEnd w:id="45"/>
    <w:p>
      <w:pPr>
        <w:ind w:left="440"/>
        <w:spacing w:after="0" w:line="246" w:lineRule="auto"/>
        <w:rPr>
          <w:sz w:val="20"/>
          <w:szCs w:val="20"/>
          <w:color w:val="auto"/>
        </w:rPr>
      </w:pPr>
      <w:r>
        <w:rPr>
          <w:rFonts w:ascii="Arial" w:cs="Arial" w:eastAsia="Arial" w:hAnsi="Arial"/>
          <w:sz w:val="15"/>
          <w:szCs w:val="15"/>
          <w:color w:val="auto"/>
        </w:rPr>
        <w:t>to a total of *** CY1 Incremental Locations, or up to, but not in excess of, ***. The total number of Acceptance Locations as of June 30, 2018 shall be referred to as the “CY1 Total”.</w:t>
      </w:r>
    </w:p>
    <w:p>
      <w:pPr>
        <w:spacing w:after="0" w:line="43" w:lineRule="exact"/>
        <w:rPr>
          <w:sz w:val="20"/>
          <w:szCs w:val="20"/>
          <w:color w:val="auto"/>
        </w:rPr>
      </w:pPr>
    </w:p>
    <w:p>
      <w:pPr>
        <w:jc w:val="both"/>
        <w:ind w:left="440" w:hanging="215"/>
        <w:spacing w:after="0" w:line="237" w:lineRule="auto"/>
        <w:tabs>
          <w:tab w:leader="none" w:pos="489" w:val="left"/>
        </w:tabs>
        <w:numPr>
          <w:ilvl w:val="1"/>
          <w:numId w:val="33"/>
        </w:numPr>
        <w:rPr>
          <w:rFonts w:ascii="Arial" w:cs="Arial" w:eastAsia="Arial" w:hAnsi="Arial"/>
          <w:sz w:val="15"/>
          <w:szCs w:val="15"/>
          <w:color w:val="auto"/>
        </w:rPr>
      </w:pPr>
      <w:r>
        <w:rPr>
          <w:rFonts w:ascii="Arial" w:cs="Arial" w:eastAsia="Arial" w:hAnsi="Arial"/>
          <w:sz w:val="15"/>
          <w:szCs w:val="15"/>
          <w:color w:val="auto"/>
        </w:rPr>
        <w:t>Between *** (“</w:t>
      </w:r>
      <w:r>
        <w:rPr>
          <w:rFonts w:ascii="Arial" w:cs="Arial" w:eastAsia="Arial" w:hAnsi="Arial"/>
          <w:sz w:val="15"/>
          <w:szCs w:val="15"/>
          <w:b w:val="1"/>
          <w:bCs w:val="1"/>
          <w:color w:val="auto"/>
        </w:rPr>
        <w:t>CY2</w:t>
      </w:r>
      <w:r>
        <w:rPr>
          <w:rFonts w:ascii="Arial" w:cs="Arial" w:eastAsia="Arial" w:hAnsi="Arial"/>
          <w:sz w:val="15"/>
          <w:szCs w:val="15"/>
          <w:color w:val="auto"/>
        </w:rPr>
        <w:t>”), if Client’s Merchant installs and makes live for transaction processing a minimum of *** Acceptance Locations above the CY1 Total (the “</w:t>
      </w:r>
      <w:r>
        <w:rPr>
          <w:rFonts w:ascii="Arial" w:cs="Arial" w:eastAsia="Arial" w:hAnsi="Arial"/>
          <w:sz w:val="15"/>
          <w:szCs w:val="15"/>
          <w:b w:val="1"/>
          <w:bCs w:val="1"/>
          <w:color w:val="auto"/>
        </w:rPr>
        <w:t>CY2 Baseline</w:t>
      </w:r>
      <w:r>
        <w:rPr>
          <w:rFonts w:ascii="Arial" w:cs="Arial" w:eastAsia="Arial" w:hAnsi="Arial"/>
          <w:sz w:val="15"/>
          <w:szCs w:val="15"/>
          <w:color w:val="auto"/>
        </w:rPr>
        <w:t>”); then Client will receive the Incentive Amount for each Acceptance Location installed and enabled above the CY2 Baseline (the “</w:t>
      </w:r>
      <w:r>
        <w:rPr>
          <w:rFonts w:ascii="Arial" w:cs="Arial" w:eastAsia="Arial" w:hAnsi="Arial"/>
          <w:sz w:val="15"/>
          <w:szCs w:val="15"/>
          <w:b w:val="1"/>
          <w:bCs w:val="1"/>
          <w:color w:val="auto"/>
        </w:rPr>
        <w:t>CY2</w:t>
      </w:r>
      <w:r>
        <w:rPr>
          <w:rFonts w:ascii="Arial" w:cs="Arial" w:eastAsia="Arial" w:hAnsi="Arial"/>
          <w:sz w:val="15"/>
          <w:szCs w:val="15"/>
          <w:color w:val="auto"/>
        </w:rPr>
        <w:t xml:space="preserve"> </w:t>
      </w:r>
      <w:r>
        <w:rPr>
          <w:rFonts w:ascii="Arial" w:cs="Arial" w:eastAsia="Arial" w:hAnsi="Arial"/>
          <w:sz w:val="15"/>
          <w:szCs w:val="15"/>
          <w:b w:val="1"/>
          <w:bCs w:val="1"/>
          <w:color w:val="auto"/>
        </w:rPr>
        <w:t>Incremental Locations</w:t>
      </w:r>
      <w:r>
        <w:rPr>
          <w:rFonts w:ascii="Arial" w:cs="Arial" w:eastAsia="Arial" w:hAnsi="Arial"/>
          <w:sz w:val="15"/>
          <w:szCs w:val="15"/>
          <w:color w:val="auto"/>
        </w:rPr>
        <w:t>”) up to a total of *** CY2 Incremental Locations, or up to, but not in excess of, ***. The total number of Acceptance Locations as of</w:t>
      </w:r>
      <w:r>
        <w:rPr>
          <w:rFonts w:ascii="Arial" w:cs="Arial" w:eastAsia="Arial" w:hAnsi="Arial"/>
          <w:sz w:val="15"/>
          <w:szCs w:val="15"/>
          <w:b w:val="1"/>
          <w:bCs w:val="1"/>
          <w:color w:val="auto"/>
        </w:rPr>
        <w:t xml:space="preserve"> </w:t>
      </w:r>
      <w:r>
        <w:rPr>
          <w:rFonts w:ascii="Arial" w:cs="Arial" w:eastAsia="Arial" w:hAnsi="Arial"/>
          <w:sz w:val="15"/>
          <w:szCs w:val="15"/>
          <w:color w:val="auto"/>
        </w:rPr>
        <w:t>June 30, 2019 shall be referred to as the “CY2 Total”.</w:t>
      </w:r>
    </w:p>
    <w:p>
      <w:pPr>
        <w:spacing w:after="0" w:line="48" w:lineRule="exact"/>
        <w:rPr>
          <w:rFonts w:ascii="Arial" w:cs="Arial" w:eastAsia="Arial" w:hAnsi="Arial"/>
          <w:sz w:val="15"/>
          <w:szCs w:val="15"/>
          <w:color w:val="auto"/>
        </w:rPr>
      </w:pPr>
    </w:p>
    <w:p>
      <w:pPr>
        <w:jc w:val="both"/>
        <w:ind w:left="440" w:hanging="215"/>
        <w:spacing w:after="0" w:line="237" w:lineRule="auto"/>
        <w:tabs>
          <w:tab w:leader="none" w:pos="489" w:val="left"/>
        </w:tabs>
        <w:numPr>
          <w:ilvl w:val="1"/>
          <w:numId w:val="33"/>
        </w:numPr>
        <w:rPr>
          <w:rFonts w:ascii="Arial" w:cs="Arial" w:eastAsia="Arial" w:hAnsi="Arial"/>
          <w:sz w:val="15"/>
          <w:szCs w:val="15"/>
          <w:color w:val="auto"/>
        </w:rPr>
      </w:pPr>
      <w:r>
        <w:rPr>
          <w:rFonts w:ascii="Arial" w:cs="Arial" w:eastAsia="Arial" w:hAnsi="Arial"/>
          <w:sz w:val="15"/>
          <w:szCs w:val="15"/>
          <w:color w:val="auto"/>
        </w:rPr>
        <w:t>Between ***(“</w:t>
      </w:r>
      <w:r>
        <w:rPr>
          <w:rFonts w:ascii="Arial" w:cs="Arial" w:eastAsia="Arial" w:hAnsi="Arial"/>
          <w:sz w:val="15"/>
          <w:szCs w:val="15"/>
          <w:b w:val="1"/>
          <w:bCs w:val="1"/>
          <w:color w:val="auto"/>
        </w:rPr>
        <w:t>CY3</w:t>
      </w:r>
      <w:r>
        <w:rPr>
          <w:rFonts w:ascii="Arial" w:cs="Arial" w:eastAsia="Arial" w:hAnsi="Arial"/>
          <w:sz w:val="15"/>
          <w:szCs w:val="15"/>
          <w:color w:val="auto"/>
        </w:rPr>
        <w:t>”), if Client’s Merchant installs and makes live for transaction processing a minimum of *** Acceptance Locations above the CY2 Total (the “</w:t>
      </w:r>
      <w:r>
        <w:rPr>
          <w:rFonts w:ascii="Arial" w:cs="Arial" w:eastAsia="Arial" w:hAnsi="Arial"/>
          <w:sz w:val="15"/>
          <w:szCs w:val="15"/>
          <w:b w:val="1"/>
          <w:bCs w:val="1"/>
          <w:color w:val="auto"/>
        </w:rPr>
        <w:t>CY3 Baseline</w:t>
      </w:r>
      <w:r>
        <w:rPr>
          <w:rFonts w:ascii="Arial" w:cs="Arial" w:eastAsia="Arial" w:hAnsi="Arial"/>
          <w:sz w:val="15"/>
          <w:szCs w:val="15"/>
          <w:color w:val="auto"/>
        </w:rPr>
        <w:t>”); then Client will receive the Incentive Amount for each Acceptance Location installed and enabled above the CY3 Baseline (the “</w:t>
      </w:r>
      <w:r>
        <w:rPr>
          <w:rFonts w:ascii="Arial" w:cs="Arial" w:eastAsia="Arial" w:hAnsi="Arial"/>
          <w:sz w:val="15"/>
          <w:szCs w:val="15"/>
          <w:b w:val="1"/>
          <w:bCs w:val="1"/>
          <w:color w:val="auto"/>
        </w:rPr>
        <w:t>CY3</w:t>
      </w:r>
      <w:r>
        <w:rPr>
          <w:rFonts w:ascii="Arial" w:cs="Arial" w:eastAsia="Arial" w:hAnsi="Arial"/>
          <w:sz w:val="15"/>
          <w:szCs w:val="15"/>
          <w:color w:val="auto"/>
        </w:rPr>
        <w:t xml:space="preserve"> </w:t>
      </w:r>
      <w:r>
        <w:rPr>
          <w:rFonts w:ascii="Arial" w:cs="Arial" w:eastAsia="Arial" w:hAnsi="Arial"/>
          <w:sz w:val="15"/>
          <w:szCs w:val="15"/>
          <w:b w:val="1"/>
          <w:bCs w:val="1"/>
          <w:color w:val="auto"/>
        </w:rPr>
        <w:t>Incremental Locations</w:t>
      </w:r>
      <w:r>
        <w:rPr>
          <w:rFonts w:ascii="Arial" w:cs="Arial" w:eastAsia="Arial" w:hAnsi="Arial"/>
          <w:sz w:val="15"/>
          <w:szCs w:val="15"/>
          <w:color w:val="auto"/>
        </w:rPr>
        <w:t>” and collectively with the CY1 Incremental Locations and the CY2 Incremental Locations, the “</w:t>
      </w:r>
      <w:r>
        <w:rPr>
          <w:rFonts w:ascii="Arial" w:cs="Arial" w:eastAsia="Arial" w:hAnsi="Arial"/>
          <w:sz w:val="15"/>
          <w:szCs w:val="15"/>
          <w:b w:val="1"/>
          <w:bCs w:val="1"/>
          <w:color w:val="auto"/>
        </w:rPr>
        <w:t>Incremental Locations</w:t>
      </w:r>
      <w:r>
        <w:rPr>
          <w:rFonts w:ascii="Arial" w:cs="Arial" w:eastAsia="Arial" w:hAnsi="Arial"/>
          <w:sz w:val="15"/>
          <w:szCs w:val="15"/>
          <w:color w:val="auto"/>
        </w:rPr>
        <w:t>”) up to a</w:t>
      </w:r>
      <w:r>
        <w:rPr>
          <w:rFonts w:ascii="Arial" w:cs="Arial" w:eastAsia="Arial" w:hAnsi="Arial"/>
          <w:sz w:val="15"/>
          <w:szCs w:val="15"/>
          <w:b w:val="1"/>
          <w:bCs w:val="1"/>
          <w:color w:val="auto"/>
        </w:rPr>
        <w:t xml:space="preserve"> </w:t>
      </w:r>
      <w:r>
        <w:rPr>
          <w:rFonts w:ascii="Arial" w:cs="Arial" w:eastAsia="Arial" w:hAnsi="Arial"/>
          <w:sz w:val="15"/>
          <w:szCs w:val="15"/>
          <w:color w:val="auto"/>
        </w:rPr>
        <w:t>total of *** CY3 Incremental Locations, or up to, but not in excess of, ***.</w:t>
      </w:r>
    </w:p>
    <w:p>
      <w:pPr>
        <w:spacing w:after="0" w:line="52" w:lineRule="exact"/>
        <w:rPr>
          <w:rFonts w:ascii="Arial" w:cs="Arial" w:eastAsia="Arial" w:hAnsi="Arial"/>
          <w:sz w:val="15"/>
          <w:szCs w:val="15"/>
          <w:color w:val="auto"/>
        </w:rPr>
      </w:pPr>
    </w:p>
    <w:p>
      <w:pPr>
        <w:jc w:val="both"/>
        <w:ind w:left="440" w:hanging="215"/>
        <w:spacing w:after="0" w:line="238" w:lineRule="auto"/>
        <w:tabs>
          <w:tab w:leader="none" w:pos="534" w:val="left"/>
        </w:tabs>
        <w:numPr>
          <w:ilvl w:val="1"/>
          <w:numId w:val="33"/>
        </w:numPr>
        <w:rPr>
          <w:rFonts w:ascii="Arial" w:cs="Arial" w:eastAsia="Arial" w:hAnsi="Arial"/>
          <w:sz w:val="15"/>
          <w:szCs w:val="15"/>
          <w:color w:val="auto"/>
        </w:rPr>
      </w:pPr>
      <w:r>
        <w:rPr>
          <w:rFonts w:ascii="Arial" w:cs="Arial" w:eastAsia="Arial" w:hAnsi="Arial"/>
          <w:sz w:val="15"/>
          <w:szCs w:val="15"/>
          <w:color w:val="auto"/>
        </w:rPr>
        <w:t>In addition to the foregoing, if Client installs and enables the yearly maximum of *** Incremental Locations during any of CY1, CY2, or CY3 (each, a “</w:t>
      </w:r>
      <w:r>
        <w:rPr>
          <w:rFonts w:ascii="Arial" w:cs="Arial" w:eastAsia="Arial" w:hAnsi="Arial"/>
          <w:sz w:val="15"/>
          <w:szCs w:val="15"/>
          <w:b w:val="1"/>
          <w:bCs w:val="1"/>
          <w:color w:val="auto"/>
        </w:rPr>
        <w:t>Contract Year</w:t>
      </w:r>
      <w:r>
        <w:rPr>
          <w:rFonts w:ascii="Arial" w:cs="Arial" w:eastAsia="Arial" w:hAnsi="Arial"/>
          <w:sz w:val="15"/>
          <w:szCs w:val="15"/>
          <w:color w:val="auto"/>
        </w:rPr>
        <w:t>” and collectively, the “</w:t>
      </w:r>
      <w:r>
        <w:rPr>
          <w:rFonts w:ascii="Arial" w:cs="Arial" w:eastAsia="Arial" w:hAnsi="Arial"/>
          <w:sz w:val="15"/>
          <w:szCs w:val="15"/>
          <w:b w:val="1"/>
          <w:bCs w:val="1"/>
          <w:color w:val="auto"/>
        </w:rPr>
        <w:t>Contract Years</w:t>
      </w:r>
      <w:r>
        <w:rPr>
          <w:rFonts w:ascii="Arial" w:cs="Arial" w:eastAsia="Arial" w:hAnsi="Arial"/>
          <w:sz w:val="15"/>
          <w:szCs w:val="15"/>
          <w:color w:val="auto"/>
        </w:rPr>
        <w:t>”), then Visa will provide a bonus payment of *** for the applicable Contract Year for a total potential Incentive Funding payment of *** per Contract Year, adding up to a total potential Incentive Funding amount of ***.</w:t>
      </w:r>
    </w:p>
    <w:p>
      <w:pPr>
        <w:spacing w:after="0" w:line="48" w:lineRule="exact"/>
        <w:rPr>
          <w:rFonts w:ascii="Arial" w:cs="Arial" w:eastAsia="Arial" w:hAnsi="Arial"/>
          <w:sz w:val="15"/>
          <w:szCs w:val="15"/>
          <w:color w:val="auto"/>
        </w:rPr>
      </w:pPr>
    </w:p>
    <w:p>
      <w:pPr>
        <w:jc w:val="both"/>
        <w:ind w:left="220" w:hanging="214"/>
        <w:spacing w:after="0" w:line="237" w:lineRule="auto"/>
        <w:tabs>
          <w:tab w:leader="none" w:pos="299"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Payment of Incentive Funding</w:t>
      </w:r>
      <w:r>
        <w:rPr>
          <w:rFonts w:ascii="Arial" w:cs="Arial" w:eastAsia="Arial" w:hAnsi="Arial"/>
          <w:sz w:val="15"/>
          <w:szCs w:val="15"/>
          <w:color w:val="auto"/>
        </w:rPr>
        <w:t>. Visa will pay any Incentive Funding amounts earned by Client within 60 days after Visa’s receipt of each applicable Invoice</w:t>
      </w:r>
      <w:r>
        <w:rPr>
          <w:rFonts w:ascii="Arial" w:cs="Arial" w:eastAsia="Arial" w:hAnsi="Arial"/>
          <w:sz w:val="15"/>
          <w:szCs w:val="15"/>
          <w:b w:val="1"/>
          <w:bCs w:val="1"/>
          <w:color w:val="auto"/>
        </w:rPr>
        <w:t xml:space="preserve"> </w:t>
      </w:r>
      <w:r>
        <w:rPr>
          <w:rFonts w:ascii="Arial" w:cs="Arial" w:eastAsia="Arial" w:hAnsi="Arial"/>
          <w:sz w:val="15"/>
          <w:szCs w:val="15"/>
          <w:color w:val="auto"/>
        </w:rPr>
        <w:t>for each Contract Year as set forth in Section C(6) below, along with all necessary support and reporting documentation, provided that as of the date of such receipt, Client has complied with all of its obligations under this Section C, including, without limitation, the priority routing obligations set forth in Section C(4) below.</w:t>
      </w:r>
    </w:p>
    <w:p>
      <w:pPr>
        <w:spacing w:after="0" w:line="48" w:lineRule="exact"/>
        <w:rPr>
          <w:rFonts w:ascii="Arial" w:cs="Arial" w:eastAsia="Arial" w:hAnsi="Arial"/>
          <w:sz w:val="15"/>
          <w:szCs w:val="15"/>
          <w:color w:val="auto"/>
        </w:rPr>
      </w:pPr>
    </w:p>
    <w:p>
      <w:pPr>
        <w:ind w:left="220" w:right="540" w:hanging="214"/>
        <w:spacing w:after="0" w:line="252" w:lineRule="auto"/>
        <w:tabs>
          <w:tab w:leader="none" w:pos="281"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Marketing</w:t>
      </w:r>
      <w:r>
        <w:rPr>
          <w:rFonts w:ascii="Arial" w:cs="Arial" w:eastAsia="Arial" w:hAnsi="Arial"/>
          <w:sz w:val="15"/>
          <w:szCs w:val="15"/>
          <w:color w:val="auto"/>
        </w:rPr>
        <w:t>. Client, at its sole cost and expense, shall be solely responsible for the development, production and distribution of the following marketing</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materials related to the Campaign (the “</w:t>
      </w:r>
      <w:r>
        <w:rPr>
          <w:rFonts w:ascii="Arial" w:cs="Arial" w:eastAsia="Arial" w:hAnsi="Arial"/>
          <w:sz w:val="15"/>
          <w:szCs w:val="15"/>
          <w:b w:val="1"/>
          <w:bCs w:val="1"/>
          <w:color w:val="auto"/>
        </w:rPr>
        <w:t>Materials</w:t>
      </w:r>
      <w:r>
        <w:rPr>
          <w:rFonts w:ascii="Arial" w:cs="Arial" w:eastAsia="Arial" w:hAnsi="Arial"/>
          <w:sz w:val="15"/>
          <w:szCs w:val="15"/>
          <w:color w:val="auto"/>
        </w:rPr>
        <w:t>”):</w:t>
      </w:r>
    </w:p>
    <w:p>
      <w:pPr>
        <w:spacing w:after="0" w:line="43" w:lineRule="exact"/>
        <w:rPr>
          <w:rFonts w:ascii="Arial" w:cs="Arial" w:eastAsia="Arial" w:hAnsi="Arial"/>
          <w:sz w:val="15"/>
          <w:szCs w:val="15"/>
          <w:color w:val="auto"/>
        </w:rPr>
      </w:pPr>
    </w:p>
    <w:p>
      <w:pPr>
        <w:ind w:left="480" w:hanging="255"/>
        <w:spacing w:after="0"/>
        <w:tabs>
          <w:tab w:leader="none" w:pos="4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Email marketing materials to be directed to those customers who have opted-in to receive electronic messaging from Client.</w:t>
      </w:r>
    </w:p>
    <w:p>
      <w:pPr>
        <w:spacing w:after="0" w:line="64" w:lineRule="exact"/>
        <w:rPr>
          <w:rFonts w:ascii="Arial" w:cs="Arial" w:eastAsia="Arial" w:hAnsi="Arial"/>
          <w:sz w:val="15"/>
          <w:szCs w:val="15"/>
          <w:color w:val="auto"/>
        </w:rPr>
      </w:pPr>
    </w:p>
    <w:p>
      <w:pPr>
        <w:ind w:left="500" w:hanging="275"/>
        <w:spacing w:after="0"/>
        <w:tabs>
          <w:tab w:leader="none" w:pos="5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Direct Mail.</w:t>
      </w:r>
    </w:p>
    <w:p>
      <w:pPr>
        <w:spacing w:after="0" w:line="64" w:lineRule="exact"/>
        <w:rPr>
          <w:rFonts w:ascii="Arial" w:cs="Arial" w:eastAsia="Arial" w:hAnsi="Arial"/>
          <w:sz w:val="15"/>
          <w:szCs w:val="15"/>
          <w:color w:val="auto"/>
        </w:rPr>
      </w:pPr>
    </w:p>
    <w:p>
      <w:pPr>
        <w:ind w:left="480" w:hanging="255"/>
        <w:spacing w:after="0"/>
        <w:tabs>
          <w:tab w:leader="none" w:pos="4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New sales presentation and sales support materials.</w:t>
      </w:r>
    </w:p>
    <w:p>
      <w:pPr>
        <w:spacing w:after="0" w:line="65" w:lineRule="exact"/>
        <w:rPr>
          <w:sz w:val="20"/>
          <w:szCs w:val="20"/>
          <w:color w:val="auto"/>
        </w:rPr>
      </w:pPr>
    </w:p>
    <w:p>
      <w:pPr>
        <w:ind w:left="220"/>
        <w:spacing w:after="0" w:line="247" w:lineRule="auto"/>
        <w:rPr>
          <w:sz w:val="20"/>
          <w:szCs w:val="20"/>
          <w:color w:val="auto"/>
        </w:rPr>
      </w:pPr>
      <w:r>
        <w:rPr>
          <w:rFonts w:ascii="Arial" w:cs="Arial" w:eastAsia="Arial" w:hAnsi="Arial"/>
          <w:sz w:val="15"/>
          <w:szCs w:val="15"/>
          <w:color w:val="auto"/>
        </w:rPr>
        <w:t>All Materials created by Client will be subject to Visa’s prior written approval which will not be unreasonably withheld, conditioned or delayed. Client will allow Visa at least five (5) business days from receipt to review such Materials.</w:t>
      </w:r>
    </w:p>
    <w:p>
      <w:pPr>
        <w:spacing w:after="0" w:line="42" w:lineRule="exact"/>
        <w:rPr>
          <w:sz w:val="20"/>
          <w:szCs w:val="20"/>
          <w:color w:val="auto"/>
        </w:rPr>
      </w:pPr>
    </w:p>
    <w:p>
      <w:pPr>
        <w:ind w:left="220" w:right="20" w:hanging="214"/>
        <w:spacing w:after="0"/>
        <w:tabs>
          <w:tab w:leader="none" w:pos="281"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Priority Routing</w:t>
      </w:r>
      <w:r>
        <w:rPr>
          <w:rFonts w:ascii="Arial" w:cs="Arial" w:eastAsia="Arial" w:hAnsi="Arial"/>
          <w:sz w:val="15"/>
          <w:szCs w:val="15"/>
          <w:color w:val="auto"/>
        </w:rPr>
        <w:t>. Throughout the Term, Client shall deliver to Visa a duly executed Visa Debit Routing Certificate in the form attached hereto as Rider 2</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thirty (30) days following each applicable calendar quarter. For the avoidance of doubt, failure to comply with this Section will be a material breach of the terms of the Agreement.</w:t>
      </w:r>
    </w:p>
    <w:p>
      <w:pPr>
        <w:spacing w:after="0" w:line="47" w:lineRule="exact"/>
        <w:rPr>
          <w:rFonts w:ascii="Arial" w:cs="Arial" w:eastAsia="Arial" w:hAnsi="Arial"/>
          <w:sz w:val="15"/>
          <w:szCs w:val="15"/>
          <w:color w:val="auto"/>
        </w:rPr>
      </w:pPr>
    </w:p>
    <w:p>
      <w:pPr>
        <w:ind w:left="220" w:right="20" w:hanging="214"/>
        <w:spacing w:after="0" w:line="322" w:lineRule="auto"/>
        <w:tabs>
          <w:tab w:leader="none" w:pos="281"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Compliance with Laws and Regulations</w:t>
      </w:r>
      <w:r>
        <w:rPr>
          <w:rFonts w:ascii="Arial" w:cs="Arial" w:eastAsia="Arial" w:hAnsi="Arial"/>
          <w:sz w:val="13"/>
          <w:szCs w:val="13"/>
          <w:color w:val="auto"/>
        </w:rPr>
        <w:t>. Client shall be solely responsible for ensuring that the Campaign is structured, advertised and conducted in a manner</w:t>
      </w:r>
      <w:r>
        <w:rPr>
          <w:rFonts w:ascii="Arial" w:cs="Arial" w:eastAsia="Arial" w:hAnsi="Arial"/>
          <w:sz w:val="13"/>
          <w:szCs w:val="13"/>
          <w:b w:val="1"/>
          <w:bCs w:val="1"/>
          <w:color w:val="auto"/>
        </w:rPr>
        <w:t xml:space="preserve"> </w:t>
      </w:r>
      <w:r>
        <w:rPr>
          <w:rFonts w:ascii="Arial" w:cs="Arial" w:eastAsia="Arial" w:hAnsi="Arial"/>
          <w:sz w:val="13"/>
          <w:szCs w:val="13"/>
          <w:color w:val="auto"/>
        </w:rPr>
        <w:t>that complies with all applicable local, state and federal laws and regulations, including but not limited to CAN-SPAM and Section 5 of the FTC Act.</w:t>
      </w:r>
    </w:p>
    <w:p>
      <w:pPr>
        <w:ind w:left="220" w:right="120" w:hanging="214"/>
        <w:spacing w:after="0" w:line="252" w:lineRule="auto"/>
        <w:tabs>
          <w:tab w:leader="none" w:pos="281"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Invoices</w:t>
      </w:r>
      <w:r>
        <w:rPr>
          <w:rFonts w:ascii="Arial" w:cs="Arial" w:eastAsia="Arial" w:hAnsi="Arial"/>
          <w:sz w:val="15"/>
          <w:szCs w:val="15"/>
          <w:color w:val="auto"/>
        </w:rPr>
        <w:t>. Within thirty (30) days after the end of each of CY1, CY2, CY3, and the Promotional Period, Client will provide to Visa one (1) invoice detailing all</w:t>
      </w:r>
      <w:r>
        <w:rPr>
          <w:rFonts w:ascii="Arial" w:cs="Arial" w:eastAsia="Arial" w:hAnsi="Arial"/>
          <w:sz w:val="15"/>
          <w:szCs w:val="15"/>
          <w:b w:val="1"/>
          <w:bCs w:val="1"/>
          <w:color w:val="auto"/>
        </w:rPr>
        <w:t xml:space="preserve"> </w:t>
      </w:r>
      <w:r>
        <w:rPr>
          <w:rFonts w:ascii="Arial" w:cs="Arial" w:eastAsia="Arial" w:hAnsi="Arial"/>
          <w:sz w:val="15"/>
          <w:szCs w:val="15"/>
          <w:color w:val="auto"/>
        </w:rPr>
        <w:t>Incremental Locations for the applicable time period (each, an “</w:t>
      </w:r>
      <w:r>
        <w:rPr>
          <w:rFonts w:ascii="Arial" w:cs="Arial" w:eastAsia="Arial" w:hAnsi="Arial"/>
          <w:sz w:val="15"/>
          <w:szCs w:val="15"/>
          <w:b w:val="1"/>
          <w:bCs w:val="1"/>
          <w:color w:val="auto"/>
        </w:rPr>
        <w:t>Invoice</w:t>
      </w:r>
      <w:r>
        <w:rPr>
          <w:rFonts w:ascii="Arial" w:cs="Arial" w:eastAsia="Arial" w:hAnsi="Arial"/>
          <w:sz w:val="15"/>
          <w:szCs w:val="15"/>
          <w:color w:val="auto"/>
        </w:rPr>
        <w:t>”).</w:t>
      </w:r>
    </w:p>
    <w:p>
      <w:pPr>
        <w:spacing w:after="0" w:line="39" w:lineRule="exact"/>
        <w:rPr>
          <w:rFonts w:ascii="Arial" w:cs="Arial" w:eastAsia="Arial" w:hAnsi="Arial"/>
          <w:sz w:val="15"/>
          <w:szCs w:val="15"/>
          <w:color w:val="auto"/>
        </w:rPr>
      </w:pPr>
    </w:p>
    <w:p>
      <w:pPr>
        <w:ind w:left="220" w:hanging="214"/>
        <w:spacing w:after="0" w:line="328" w:lineRule="auto"/>
        <w:tabs>
          <w:tab w:leader="none" w:pos="281"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Promotional Data</w:t>
      </w:r>
      <w:r>
        <w:rPr>
          <w:rFonts w:ascii="Arial" w:cs="Arial" w:eastAsia="Arial" w:hAnsi="Arial"/>
          <w:sz w:val="13"/>
          <w:szCs w:val="13"/>
          <w:color w:val="auto"/>
        </w:rPr>
        <w:t>. Within thirty (30) days after the completion of each of CY1, CY2, CY3, and the Promotional Period, Client will provide to Visa, on an</w:t>
      </w:r>
      <w:r>
        <w:rPr>
          <w:rFonts w:ascii="Arial" w:cs="Arial" w:eastAsia="Arial" w:hAnsi="Arial"/>
          <w:sz w:val="13"/>
          <w:szCs w:val="13"/>
          <w:b w:val="1"/>
          <w:bCs w:val="1"/>
          <w:color w:val="auto"/>
        </w:rPr>
        <w:t xml:space="preserve"> </w:t>
      </w:r>
      <w:r>
        <w:rPr>
          <w:rFonts w:ascii="Arial" w:cs="Arial" w:eastAsia="Arial" w:hAnsi="Arial"/>
          <w:sz w:val="13"/>
          <w:szCs w:val="13"/>
          <w:color w:val="auto"/>
        </w:rPr>
        <w:t>aggregated basis, certain promotional data, which shall include, but may not be limited to, the following (the “</w:t>
      </w:r>
      <w:r>
        <w:rPr>
          <w:rFonts w:ascii="Arial" w:cs="Arial" w:eastAsia="Arial" w:hAnsi="Arial"/>
          <w:sz w:val="13"/>
          <w:szCs w:val="13"/>
          <w:b w:val="1"/>
          <w:bCs w:val="1"/>
          <w:color w:val="auto"/>
        </w:rPr>
        <w:t>Promotional Data</w:t>
      </w:r>
      <w:r>
        <w:rPr>
          <w:rFonts w:ascii="Arial" w:cs="Arial" w:eastAsia="Arial" w:hAnsi="Arial"/>
          <w:sz w:val="13"/>
          <w:szCs w:val="13"/>
          <w:color w:val="auto"/>
        </w:rPr>
        <w:t>”), which Visa shall use solely to</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57150</wp:posOffset>
            </wp:positionV>
            <wp:extent cx="6433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700"/>
          </w:cols>
          <w:pgMar w:left="1320" w:top="126" w:right="879" w:bottom="1440" w:gutter="0" w:footer="0" w:header="0"/>
        </w:sectPr>
      </w:pPr>
    </w:p>
    <w:bookmarkStart w:id="46" w:name="page47"/>
    <w:bookmarkEnd w:id="46"/>
    <w:p>
      <w:pPr>
        <w:ind w:left="440"/>
        <w:spacing w:after="0"/>
        <w:rPr>
          <w:sz w:val="20"/>
          <w:szCs w:val="20"/>
          <w:color w:val="auto"/>
        </w:rPr>
      </w:pPr>
      <w:r>
        <w:rPr>
          <w:rFonts w:ascii="Arial" w:cs="Arial" w:eastAsia="Arial" w:hAnsi="Arial"/>
          <w:sz w:val="15"/>
          <w:szCs w:val="15"/>
          <w:color w:val="auto"/>
        </w:rPr>
        <w:t>conduct a statistical analysis of the impact of the Materials on card usage at vending machines during the Term:</w:t>
      </w:r>
    </w:p>
    <w:p>
      <w:pPr>
        <w:spacing w:after="0" w:line="64" w:lineRule="exact"/>
        <w:rPr>
          <w:sz w:val="20"/>
          <w:szCs w:val="20"/>
          <w:color w:val="auto"/>
        </w:rPr>
      </w:pPr>
    </w:p>
    <w:p>
      <w:pPr>
        <w:ind w:left="700" w:hanging="255"/>
        <w:spacing w:after="0"/>
        <w:tabs>
          <w:tab w:leader="none" w:pos="7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Total number of Acceptance Locations deployed (including the geographical location for each);</w:t>
      </w:r>
    </w:p>
    <w:p>
      <w:pPr>
        <w:spacing w:after="0" w:line="64" w:lineRule="exact"/>
        <w:rPr>
          <w:rFonts w:ascii="Arial" w:cs="Arial" w:eastAsia="Arial" w:hAnsi="Arial"/>
          <w:sz w:val="15"/>
          <w:szCs w:val="15"/>
          <w:color w:val="auto"/>
        </w:rPr>
      </w:pPr>
    </w:p>
    <w:p>
      <w:pPr>
        <w:ind w:left="660" w:hanging="215"/>
        <w:spacing w:after="0" w:line="247" w:lineRule="auto"/>
        <w:tabs>
          <w:tab w:leader="none" w:pos="709" w:val="left"/>
        </w:tabs>
        <w:numPr>
          <w:ilvl w:val="1"/>
          <w:numId w:val="36"/>
        </w:numPr>
        <w:rPr>
          <w:rFonts w:ascii="Arial" w:cs="Arial" w:eastAsia="Arial" w:hAnsi="Arial"/>
          <w:sz w:val="15"/>
          <w:szCs w:val="15"/>
          <w:color w:val="auto"/>
        </w:rPr>
      </w:pPr>
      <w:r>
        <w:rPr>
          <w:rFonts w:ascii="Arial" w:cs="Arial" w:eastAsia="Arial" w:hAnsi="Arial"/>
          <w:sz w:val="15"/>
          <w:szCs w:val="15"/>
          <w:color w:val="auto"/>
        </w:rPr>
        <w:t>Detailed performance metrics of the new Acceptance Locations, including but not limited to per device usage, same store sales growth, market segment, etc.; and</w:t>
      </w:r>
    </w:p>
    <w:p>
      <w:pPr>
        <w:spacing w:after="0" w:line="46" w:lineRule="exact"/>
        <w:rPr>
          <w:rFonts w:ascii="Arial" w:cs="Arial" w:eastAsia="Arial" w:hAnsi="Arial"/>
          <w:sz w:val="15"/>
          <w:szCs w:val="15"/>
          <w:color w:val="auto"/>
        </w:rPr>
      </w:pPr>
    </w:p>
    <w:p>
      <w:pPr>
        <w:ind w:left="700" w:hanging="255"/>
        <w:spacing w:after="0"/>
        <w:tabs>
          <w:tab w:leader="none" w:pos="7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Any other data that is mutually agreed upon by the Parties.</w:t>
      </w:r>
    </w:p>
    <w:p>
      <w:pPr>
        <w:spacing w:after="0" w:line="60" w:lineRule="exact"/>
        <w:rPr>
          <w:rFonts w:ascii="Arial" w:cs="Arial" w:eastAsia="Arial" w:hAnsi="Arial"/>
          <w:sz w:val="15"/>
          <w:szCs w:val="15"/>
          <w:color w:val="auto"/>
        </w:rPr>
      </w:pPr>
    </w:p>
    <w:p>
      <w:pPr>
        <w:ind w:left="500" w:hanging="274"/>
        <w:spacing w:after="0"/>
        <w:tabs>
          <w:tab w:leader="none" w:pos="5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Indemnification</w:t>
      </w:r>
      <w:r>
        <w:rPr>
          <w:rFonts w:ascii="Arial" w:cs="Arial" w:eastAsia="Arial" w:hAnsi="Arial"/>
          <w:sz w:val="15"/>
          <w:szCs w:val="15"/>
          <w:color w:val="auto"/>
        </w:rPr>
        <w:t>. Solely for purposes of this Section C:</w:t>
      </w:r>
    </w:p>
    <w:p>
      <w:pPr>
        <w:spacing w:after="0" w:line="68" w:lineRule="exact"/>
        <w:rPr>
          <w:rFonts w:ascii="Arial" w:cs="Arial" w:eastAsia="Arial" w:hAnsi="Arial"/>
          <w:sz w:val="15"/>
          <w:szCs w:val="15"/>
          <w:color w:val="auto"/>
        </w:rPr>
      </w:pPr>
    </w:p>
    <w:p>
      <w:pPr>
        <w:jc w:val="both"/>
        <w:ind w:left="660" w:hanging="215"/>
        <w:spacing w:after="0" w:line="273" w:lineRule="auto"/>
        <w:tabs>
          <w:tab w:leader="none" w:pos="730" w:val="left"/>
        </w:tabs>
        <w:numPr>
          <w:ilvl w:val="1"/>
          <w:numId w:val="37"/>
        </w:numPr>
        <w:rPr>
          <w:rFonts w:ascii="Arial" w:cs="Arial" w:eastAsia="Arial" w:hAnsi="Arial"/>
          <w:sz w:val="13"/>
          <w:szCs w:val="13"/>
          <w:color w:val="auto"/>
        </w:rPr>
      </w:pPr>
      <w:r>
        <w:rPr>
          <w:rFonts w:ascii="Arial" w:cs="Arial" w:eastAsia="Arial" w:hAnsi="Arial"/>
          <w:sz w:val="13"/>
          <w:szCs w:val="13"/>
          <w:color w:val="auto"/>
        </w:rPr>
        <w:t>Visa will indemnify, defend and hold harmless Client from any claims made or threatened by a third party, and all damages, liabilities, losses, government procedures and costs, including reasonable attorneys' fees and costs of suit, arising from such claims (collectively, “</w:t>
      </w:r>
      <w:r>
        <w:rPr>
          <w:rFonts w:ascii="Arial" w:cs="Arial" w:eastAsia="Arial" w:hAnsi="Arial"/>
          <w:sz w:val="13"/>
          <w:szCs w:val="13"/>
          <w:b w:val="1"/>
          <w:bCs w:val="1"/>
          <w:color w:val="auto"/>
        </w:rPr>
        <w:t>Claims</w:t>
      </w:r>
      <w:r>
        <w:rPr>
          <w:rFonts w:ascii="Arial" w:cs="Arial" w:eastAsia="Arial" w:hAnsi="Arial"/>
          <w:sz w:val="13"/>
          <w:szCs w:val="13"/>
          <w:color w:val="auto"/>
        </w:rPr>
        <w:t>”) due to or arising out of Visa’s:</w:t>
      </w:r>
    </w:p>
    <w:p>
      <w:pPr>
        <w:jc w:val="both"/>
        <w:ind w:left="660"/>
        <w:spacing w:after="0" w:line="232" w:lineRule="auto"/>
        <w:rPr>
          <w:rFonts w:ascii="Arial" w:cs="Arial" w:eastAsia="Arial" w:hAnsi="Arial"/>
          <w:sz w:val="13"/>
          <w:szCs w:val="13"/>
          <w:color w:val="auto"/>
        </w:rPr>
      </w:pPr>
      <w:r>
        <w:rPr>
          <w:rFonts w:ascii="Arial" w:cs="Arial" w:eastAsia="Arial" w:hAnsi="Arial"/>
          <w:sz w:val="15"/>
          <w:szCs w:val="15"/>
          <w:color w:val="auto"/>
        </w:rPr>
        <w:t>(i) failure to comply with applicable laws and regulations with respect to its obligations set forth herein; (ii) breach of any representation, warranty, covenant, or obligation in this Agreement; and/or (iii) negligence or willful misconduct or the negligence or willful misconduct of any agent or independent contractor acting on Visa’s behalf, and</w:t>
      </w:r>
    </w:p>
    <w:p>
      <w:pPr>
        <w:spacing w:after="0" w:line="53" w:lineRule="exact"/>
        <w:rPr>
          <w:rFonts w:ascii="Arial" w:cs="Arial" w:eastAsia="Arial" w:hAnsi="Arial"/>
          <w:sz w:val="13"/>
          <w:szCs w:val="13"/>
          <w:color w:val="auto"/>
        </w:rPr>
      </w:pPr>
    </w:p>
    <w:p>
      <w:pPr>
        <w:jc w:val="both"/>
        <w:ind w:left="660" w:hanging="215"/>
        <w:spacing w:after="0" w:line="278" w:lineRule="auto"/>
        <w:tabs>
          <w:tab w:leader="none" w:pos="786" w:val="left"/>
        </w:tabs>
        <w:numPr>
          <w:ilvl w:val="1"/>
          <w:numId w:val="37"/>
        </w:numPr>
        <w:rPr>
          <w:rFonts w:ascii="Arial" w:cs="Arial" w:eastAsia="Arial" w:hAnsi="Arial"/>
          <w:sz w:val="13"/>
          <w:szCs w:val="13"/>
          <w:color w:val="auto"/>
        </w:rPr>
      </w:pPr>
      <w:r>
        <w:rPr>
          <w:rFonts w:ascii="Arial" w:cs="Arial" w:eastAsia="Arial" w:hAnsi="Arial"/>
          <w:sz w:val="13"/>
          <w:szCs w:val="13"/>
          <w:color w:val="auto"/>
        </w:rPr>
        <w:t>Client will indemnify, defend and hold harmless Visa and its subsidiaries and affiliates and their respective officers, directors, employees, franchisees, attorneys, successors and permitted assigns and each of their officers, directors, employees, agents, successors and permitted assigns from any Claims arising from Client’s (i) failure to comply with applicable laws and regulations, including but not limited to CAN-SPAM and Section 5 of the FTC Act; (ii) breach of any representation, warranty, covenant, or obligation in this Agreement; (iii) unauthorized use of Visa Marks and/or the Marks of any third party; and/or (iv) negligence or willful misconduct or the negligence or willful misconduct of any agent or independent contractor acting on Client’s behalf.</w:t>
      </w:r>
    </w:p>
    <w:p>
      <w:pPr>
        <w:spacing w:after="0" w:line="28" w:lineRule="exact"/>
        <w:rPr>
          <w:sz w:val="20"/>
          <w:szCs w:val="20"/>
          <w:color w:val="auto"/>
        </w:rPr>
      </w:pPr>
    </w:p>
    <w:p>
      <w:pPr>
        <w:ind w:left="440"/>
        <w:spacing w:after="0" w:line="247" w:lineRule="auto"/>
        <w:rPr>
          <w:sz w:val="20"/>
          <w:szCs w:val="20"/>
          <w:color w:val="auto"/>
        </w:rPr>
      </w:pPr>
      <w:r>
        <w:rPr>
          <w:rFonts w:ascii="Arial" w:cs="Arial" w:eastAsia="Arial" w:hAnsi="Arial"/>
          <w:sz w:val="15"/>
          <w:szCs w:val="15"/>
          <w:color w:val="auto"/>
        </w:rPr>
        <w:t>Except in the case of third party claims for which an indemnity is owed, neither party will be obligated to the other party for indirect, special, consequential, or incidental damages.</w:t>
      </w:r>
    </w:p>
    <w:p>
      <w:pPr>
        <w:spacing w:after="0" w:line="42" w:lineRule="exact"/>
        <w:rPr>
          <w:sz w:val="20"/>
          <w:szCs w:val="20"/>
          <w:color w:val="auto"/>
        </w:rPr>
      </w:pPr>
    </w:p>
    <w:p>
      <w:pPr>
        <w:jc w:val="both"/>
        <w:ind w:left="440" w:hanging="269"/>
        <w:spacing w:after="0" w:line="234" w:lineRule="auto"/>
        <w:tabs>
          <w:tab w:leader="none" w:pos="510"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Exclusivity</w:t>
      </w:r>
      <w:r>
        <w:rPr>
          <w:rFonts w:ascii="Arial" w:cs="Arial" w:eastAsia="Arial" w:hAnsi="Arial"/>
          <w:sz w:val="15"/>
          <w:szCs w:val="15"/>
          <w:color w:val="auto"/>
        </w:rPr>
        <w:t>. Solely for purposes of this Section C, during the Term, Client shall not participate in a deployment initiative similar to the initiative described in</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C(1) above, with (i) any Visa Competitor, (ii) any entity that is known to the general public as an issuer, licenser, or operator of any payment services (including, without limitation, each entity identified below), along with all affiliates and subsidiaries of such entity and all the branded products of such entity, provided that such term does not include any entity which offers such services merely as an incident to its business, and/or (iii) any person or entity that offers payment services not over the Visa Network. “Visa Competitor” includes but is not limited to ***, or any other names by which these products become known or available</w:t>
      </w:r>
    </w:p>
    <w:p>
      <w:pPr>
        <w:spacing w:after="0" w:line="48" w:lineRule="exact"/>
        <w:rPr>
          <w:rFonts w:ascii="Arial" w:cs="Arial" w:eastAsia="Arial" w:hAnsi="Arial"/>
          <w:sz w:val="15"/>
          <w:szCs w:val="15"/>
          <w:color w:val="auto"/>
        </w:rPr>
      </w:pPr>
    </w:p>
    <w:p>
      <w:pPr>
        <w:jc w:val="both"/>
        <w:ind w:left="440" w:hanging="269"/>
        <w:spacing w:after="0" w:line="234" w:lineRule="auto"/>
        <w:tabs>
          <w:tab w:leader="none" w:pos="482"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Intellectual Property</w:t>
      </w:r>
      <w:r>
        <w:rPr>
          <w:rFonts w:ascii="Arial" w:cs="Arial" w:eastAsia="Arial" w:hAnsi="Arial"/>
          <w:sz w:val="15"/>
          <w:szCs w:val="15"/>
          <w:color w:val="auto"/>
        </w:rPr>
        <w:t>. Solely in order for Company to fulfill its obligations under this Section C and subject to Visa’s prior written approval as set forth below,</w:t>
      </w:r>
      <w:r>
        <w:rPr>
          <w:rFonts w:ascii="Arial" w:cs="Arial" w:eastAsia="Arial" w:hAnsi="Arial"/>
          <w:sz w:val="15"/>
          <w:szCs w:val="15"/>
          <w:b w:val="1"/>
          <w:bCs w:val="1"/>
          <w:color w:val="auto"/>
        </w:rPr>
        <w:t xml:space="preserve"> </w:t>
      </w:r>
      <w:r>
        <w:rPr>
          <w:rFonts w:ascii="Arial" w:cs="Arial" w:eastAsia="Arial" w:hAnsi="Arial"/>
          <w:sz w:val="15"/>
          <w:szCs w:val="15"/>
          <w:color w:val="auto"/>
        </w:rPr>
        <w:t>Visa hereby grants to Company a limited, non-exclusive, royalty-free license to use, reproduce, distribute, and display Visa’s trademarks, trade names, service marks and logos (the “</w:t>
      </w:r>
      <w:r>
        <w:rPr>
          <w:rFonts w:ascii="Arial" w:cs="Arial" w:eastAsia="Arial" w:hAnsi="Arial"/>
          <w:sz w:val="15"/>
          <w:szCs w:val="15"/>
          <w:b w:val="1"/>
          <w:bCs w:val="1"/>
          <w:color w:val="auto"/>
        </w:rPr>
        <w:t>Marks</w:t>
      </w:r>
      <w:r>
        <w:rPr>
          <w:rFonts w:ascii="Arial" w:cs="Arial" w:eastAsia="Arial" w:hAnsi="Arial"/>
          <w:sz w:val="15"/>
          <w:szCs w:val="15"/>
          <w:color w:val="auto"/>
        </w:rPr>
        <w:t>”) provided by Visa subject to the terms of this Agreement. Company will respect the specifications and graphic and utilization standards communicated in writing by Visa with respect to Visa Marks. All such uses shall be subject to Visa’s approval, which shall not be unreasonably withheld, conditioned or delayed. Visa will respond to all approval requests of all Materials within five (5) business days from receipt. Under no circumstances shall Visa’s failure to respond be deemed as its disapproval.</w:t>
      </w:r>
    </w:p>
    <w:p>
      <w:pPr>
        <w:spacing w:after="0" w:line="48" w:lineRule="exact"/>
        <w:rPr>
          <w:rFonts w:ascii="Arial" w:cs="Arial" w:eastAsia="Arial" w:hAnsi="Arial"/>
          <w:sz w:val="15"/>
          <w:szCs w:val="15"/>
          <w:color w:val="auto"/>
        </w:rPr>
      </w:pPr>
    </w:p>
    <w:p>
      <w:pPr>
        <w:ind w:left="220" w:hanging="213"/>
        <w:spacing w:after="0" w:line="252" w:lineRule="auto"/>
        <w:tabs>
          <w:tab w:leader="none" w:pos="234"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Contactless Technology</w:t>
      </w:r>
      <w:r>
        <w:rPr>
          <w:rFonts w:ascii="Arial" w:cs="Arial" w:eastAsia="Arial" w:hAnsi="Arial"/>
          <w:sz w:val="15"/>
          <w:szCs w:val="15"/>
          <w:color w:val="auto"/>
        </w:rPr>
        <w:t>. Client shall, at its sole cost and expense, enable the most current standard of Contactless EMV for all new Acceptance Locations by no</w:t>
      </w:r>
      <w:r>
        <w:rPr>
          <w:rFonts w:ascii="Arial" w:cs="Arial" w:eastAsia="Arial" w:hAnsi="Arial"/>
          <w:sz w:val="15"/>
          <w:szCs w:val="15"/>
          <w:b w:val="1"/>
          <w:bCs w:val="1"/>
          <w:color w:val="auto"/>
        </w:rPr>
        <w:t xml:space="preserve"> </w:t>
      </w:r>
      <w:r>
        <w:rPr>
          <w:rFonts w:ascii="Arial" w:cs="Arial" w:eastAsia="Arial" w:hAnsi="Arial"/>
          <w:sz w:val="15"/>
          <w:szCs w:val="15"/>
          <w:color w:val="auto"/>
        </w:rPr>
        <w:t>later than ***</w:t>
      </w:r>
    </w:p>
    <w:p>
      <w:pPr>
        <w:spacing w:after="0" w:line="39" w:lineRule="exact"/>
        <w:rPr>
          <w:rFonts w:ascii="Arial" w:cs="Arial" w:eastAsia="Arial" w:hAnsi="Arial"/>
          <w:sz w:val="15"/>
          <w:szCs w:val="15"/>
          <w:b w:val="1"/>
          <w:bCs w:val="1"/>
          <w:color w:val="auto"/>
        </w:rPr>
      </w:pPr>
    </w:p>
    <w:p>
      <w:pPr>
        <w:ind w:left="220" w:hanging="213"/>
        <w:spacing w:after="0"/>
        <w:tabs>
          <w:tab w:leader="none" w:pos="22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Right to Audit</w:t>
      </w:r>
      <w:r>
        <w:rPr>
          <w:rFonts w:ascii="Arial" w:cs="Arial" w:eastAsia="Arial" w:hAnsi="Arial"/>
          <w:sz w:val="13"/>
          <w:szCs w:val="13"/>
          <w:color w:val="auto"/>
        </w:rPr>
        <w:t>. Visa has the right to confirm the accuracy of any Quarterly Client Certification or Visa Debit Routing Certificate. Upon Visa’s request to Client,</w:t>
      </w:r>
    </w:p>
    <w:p>
      <w:pPr>
        <w:spacing w:after="0" w:line="31" w:lineRule="exact"/>
        <w:rPr>
          <w:sz w:val="20"/>
          <w:szCs w:val="20"/>
          <w:color w:val="auto"/>
        </w:rPr>
      </w:pPr>
    </w:p>
    <w:p>
      <w:pPr>
        <w:ind w:left="220" w:firstLine="58"/>
        <w:spacing w:after="0" w:line="235" w:lineRule="auto"/>
        <w:rPr>
          <w:sz w:val="20"/>
          <w:szCs w:val="20"/>
          <w:color w:val="auto"/>
        </w:rPr>
      </w:pPr>
      <w:r>
        <w:rPr>
          <w:rFonts w:ascii="Arial" w:cs="Arial" w:eastAsia="Arial" w:hAnsi="Arial"/>
          <w:sz w:val="15"/>
          <w:szCs w:val="15"/>
          <w:color w:val="auto"/>
        </w:rPr>
        <w:t>Client will cause Client’s external auditor to confirm to Visa in a written certification the accuracy of any requested certification, and to provide to Visa any commercially reasonable</w:t>
      </w:r>
    </w:p>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433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920"/>
          </w:cols>
          <w:pgMar w:left="1100" w:top="126" w:right="879" w:bottom="1440" w:gutter="0" w:footer="0" w:header="0"/>
        </w:sectPr>
      </w:pPr>
    </w:p>
    <w:bookmarkStart w:id="47" w:name="page48"/>
    <w:bookmarkEnd w:id="47"/>
    <w:p>
      <w:pPr>
        <w:jc w:val="both"/>
        <w:ind w:left="220"/>
        <w:spacing w:after="0" w:line="292" w:lineRule="auto"/>
        <w:rPr>
          <w:sz w:val="20"/>
          <w:szCs w:val="20"/>
          <w:color w:val="auto"/>
        </w:rPr>
      </w:pPr>
      <w:r>
        <w:rPr>
          <w:rFonts w:ascii="Arial" w:cs="Arial" w:eastAsia="Arial" w:hAnsi="Arial"/>
          <w:sz w:val="13"/>
          <w:szCs w:val="13"/>
          <w:color w:val="auto"/>
        </w:rPr>
        <w:t>information to permit Visa to verify and confirm the assertions stated in such certification. If Visa does not receive such confirmation or the requested information within 30 calendar days, then Visa may, at its sole discretion, immediately stop making available to Client’s Acquirer the Promotional IRF Rates or withhold any Incentive Funding payment. Visa’s rights in this Section will survive for a period of 60 months following the termination or natural expiration of the Term.</w:t>
      </w:r>
    </w:p>
    <w:p>
      <w:pPr>
        <w:spacing w:after="0" w:line="15" w:lineRule="exact"/>
        <w:rPr>
          <w:sz w:val="20"/>
          <w:szCs w:val="20"/>
          <w:color w:val="auto"/>
        </w:rPr>
      </w:pPr>
    </w:p>
    <w:p>
      <w:pPr>
        <w:jc w:val="both"/>
        <w:ind w:left="220" w:hanging="213"/>
        <w:spacing w:after="0" w:line="235" w:lineRule="auto"/>
        <w:tabs>
          <w:tab w:leader="none" w:pos="206"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Visa Checkout Parity</w:t>
      </w:r>
      <w:r>
        <w:rPr>
          <w:rFonts w:ascii="Arial" w:cs="Arial" w:eastAsia="Arial" w:hAnsi="Arial"/>
          <w:sz w:val="15"/>
          <w:szCs w:val="15"/>
          <w:color w:val="auto"/>
        </w:rPr>
        <w:t>. If Client enables the acceptance of transactions through a third-party digital checkout solution (including without limitation ***) (each, a</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Third-Party Digital Checkout Service</w:t>
      </w:r>
      <w:r>
        <w:rPr>
          <w:rFonts w:ascii="Arial" w:cs="Arial" w:eastAsia="Arial" w:hAnsi="Arial"/>
          <w:sz w:val="15"/>
          <w:szCs w:val="15"/>
          <w:color w:val="auto"/>
        </w:rPr>
        <w:t>”) on its electronic commerce platform on or after the Effective Date, Client shall enable Visa Checkout with equal prominence to and treatment (in terms of website flow, terms, conditions, restrictions or fees) with such Third-Party Digital Checkout Services within a commercially reasonable time frame and maintain such enablement for so long as any such Third-Party Digital Checkout Service is enabled. This provision does not apply to Third-Party Digital Checkout Services enabled prior to the Effective Date.</w:t>
      </w:r>
    </w:p>
    <w:p>
      <w:pPr>
        <w:spacing w:after="0" w:line="36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4338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920"/>
          </w:cols>
          <w:pgMar w:left="1100" w:top="126" w:right="8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5"/>
          <w:szCs w:val="15"/>
          <w:b w:val="1"/>
          <w:bCs w:val="1"/>
          <w:color w:val="auto"/>
        </w:rPr>
        <w:t>SCHEDULE B</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ELIGIBLE MERCHANT CATEGORY CODES</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 xml:space="preserve">The benefit of the Promotional IRF Rates are available to, and may be passed on, only to Unattended Merchant Locations with the MCC’s enumerated below; and Client must ensure that such MCC’s are assigned in accordance with the Visa Rules. </w:t>
      </w:r>
      <w:r>
        <w:rPr>
          <w:rFonts w:ascii="Arial" w:cs="Arial" w:eastAsia="Arial" w:hAnsi="Arial"/>
          <w:sz w:val="15"/>
          <w:szCs w:val="15"/>
          <w:b w:val="1"/>
          <w:bCs w:val="1"/>
          <w:color w:val="auto"/>
        </w:rPr>
        <w:t>In no instances will *** with an MCC of *** or any other MCC be eligible for the</w:t>
      </w:r>
      <w:r>
        <w:rPr>
          <w:rFonts w:ascii="Arial" w:cs="Arial" w:eastAsia="Arial" w:hAnsi="Arial"/>
          <w:sz w:val="15"/>
          <w:szCs w:val="15"/>
          <w:color w:val="auto"/>
        </w:rPr>
        <w:t xml:space="preserve"> </w:t>
      </w:r>
      <w:r>
        <w:rPr>
          <w:rFonts w:ascii="Arial" w:cs="Arial" w:eastAsia="Arial" w:hAnsi="Arial"/>
          <w:sz w:val="15"/>
          <w:szCs w:val="15"/>
          <w:b w:val="1"/>
          <w:bCs w:val="1"/>
          <w:color w:val="auto"/>
        </w:rPr>
        <w:t>benefits.</w:t>
      </w:r>
    </w:p>
    <w:p>
      <w:pPr>
        <w:spacing w:after="0" w:line="144" w:lineRule="exact"/>
        <w:rPr>
          <w:sz w:val="20"/>
          <w:szCs w:val="20"/>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Unattended Food/Beverage Vending – ***</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840" w:hanging="391"/>
        <w:spacing w:after="0"/>
        <w:tabs>
          <w:tab w:leader="none" w:pos="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4338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285" w:right="87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RIDER 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QUARTERLY CLIENT CERTIFICATION</w:t>
      </w:r>
    </w:p>
    <w:p>
      <w:pPr>
        <w:jc w:val="center"/>
        <w:spacing w:after="0"/>
        <w:rPr>
          <w:sz w:val="20"/>
          <w:szCs w:val="20"/>
          <w:color w:val="auto"/>
        </w:rPr>
      </w:pPr>
      <w:r>
        <w:rPr>
          <w:rFonts w:ascii="Arial" w:cs="Arial" w:eastAsia="Arial" w:hAnsi="Arial"/>
          <w:sz w:val="15"/>
          <w:szCs w:val="15"/>
          <w:b w:val="1"/>
          <w:bCs w:val="1"/>
          <w:color w:val="auto"/>
        </w:rPr>
        <w:t>to</w:t>
      </w:r>
    </w:p>
    <w:p>
      <w:pPr>
        <w:jc w:val="center"/>
        <w:spacing w:after="0" w:line="228" w:lineRule="auto"/>
        <w:rPr>
          <w:sz w:val="20"/>
          <w:szCs w:val="20"/>
          <w:color w:val="auto"/>
        </w:rPr>
      </w:pPr>
      <w:r>
        <w:rPr>
          <w:rFonts w:ascii="Arial" w:cs="Arial" w:eastAsia="Arial" w:hAnsi="Arial"/>
          <w:sz w:val="15"/>
          <w:szCs w:val="15"/>
          <w:b w:val="1"/>
          <w:bCs w:val="1"/>
          <w:color w:val="auto"/>
        </w:rPr>
        <w:t>SMALL TICKET AND DEPLOYMENT SUPPORT INCENTIVE AGREEMENT</w:t>
      </w:r>
    </w:p>
    <w:p>
      <w:pPr>
        <w:jc w:val="center"/>
        <w:spacing w:after="0" w:line="228" w:lineRule="auto"/>
        <w:rPr>
          <w:sz w:val="20"/>
          <w:szCs w:val="20"/>
          <w:color w:val="auto"/>
        </w:rPr>
      </w:pPr>
      <w:r>
        <w:rPr>
          <w:rFonts w:ascii="Arial" w:cs="Arial" w:eastAsia="Arial" w:hAnsi="Arial"/>
          <w:sz w:val="15"/>
          <w:szCs w:val="15"/>
          <w:b w:val="1"/>
          <w:bCs w:val="1"/>
          <w:color w:val="auto"/>
        </w:rPr>
        <w:t>between</w:t>
      </w:r>
    </w:p>
    <w:p>
      <w:pPr>
        <w:ind w:left="3700"/>
        <w:spacing w:after="0" w:line="229" w:lineRule="auto"/>
        <w:rPr>
          <w:sz w:val="20"/>
          <w:szCs w:val="20"/>
          <w:color w:val="auto"/>
        </w:rPr>
      </w:pPr>
      <w:r>
        <w:rPr>
          <w:rFonts w:ascii="Arial" w:cs="Arial" w:eastAsia="Arial" w:hAnsi="Arial"/>
          <w:sz w:val="15"/>
          <w:szCs w:val="15"/>
          <w:b w:val="1"/>
          <w:bCs w:val="1"/>
          <w:color w:val="auto"/>
        </w:rPr>
        <w:t>Visa U.S.A. Inc. and USA Technologies, Inc.</w:t>
      </w:r>
    </w:p>
    <w:p>
      <w:pPr>
        <w:ind w:left="3660"/>
        <w:spacing w:after="0"/>
        <w:rPr>
          <w:sz w:val="20"/>
          <w:szCs w:val="20"/>
          <w:color w:val="auto"/>
        </w:rPr>
      </w:pPr>
      <w:r>
        <w:rPr>
          <w:rFonts w:ascii="Arial" w:cs="Arial" w:eastAsia="Arial" w:hAnsi="Arial"/>
          <w:sz w:val="15"/>
          <w:szCs w:val="15"/>
          <w:b w:val="1"/>
          <w:bCs w:val="1"/>
          <w:color w:val="auto"/>
        </w:rPr>
        <w:t>effective as of July 1, 2017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Client confirms and certifies to Visa that for the three-month period that started on ______________________, 20___ and ended on ______________________, 20___ (the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Quarter</w:t>
      </w:r>
      <w:r>
        <w:rPr>
          <w:rFonts w:ascii="Arial" w:cs="Arial" w:eastAsia="Arial" w:hAnsi="Arial"/>
          <w:sz w:val="14"/>
          <w:szCs w:val="14"/>
          <w:color w:val="auto"/>
        </w:rPr>
        <w:t>”), the following assertions are true, accurate and complete for each Merchant to whom Client or Client’s Acquirer passed along the benefit of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Promotional IRF Rates during the Relevant Quarter:</w:t>
      </w:r>
    </w:p>
    <w:p>
      <w:pPr>
        <w:spacing w:after="0" w:line="53" w:lineRule="exact"/>
        <w:rPr>
          <w:sz w:val="20"/>
          <w:szCs w:val="20"/>
          <w:color w:val="auto"/>
        </w:rPr>
      </w:pPr>
    </w:p>
    <w:p>
      <w:pPr>
        <w:ind w:left="540" w:hanging="313"/>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During the Relevant Quarter, there was no *** with respect to (check all that apply):</w:t>
      </w:r>
    </w:p>
    <w:p>
      <w:pPr>
        <w:spacing w:after="0" w:line="12"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52" w:lineRule="exact"/>
        <w:rPr>
          <w:rFonts w:ascii="Arial" w:cs="Arial" w:eastAsia="Arial" w:hAnsi="Arial"/>
          <w:sz w:val="15"/>
          <w:szCs w:val="15"/>
          <w:color w:val="auto"/>
        </w:rPr>
      </w:pPr>
    </w:p>
    <w:p>
      <w:pPr>
        <w:ind w:left="580" w:hanging="353"/>
        <w:spacing w:after="0"/>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Client complied with the Client Participation Requirements at all times during the Relevant Quarter;</w:t>
      </w:r>
    </w:p>
    <w:p>
      <w:pPr>
        <w:spacing w:after="0" w:line="64" w:lineRule="exact"/>
        <w:rPr>
          <w:rFonts w:ascii="Arial" w:cs="Arial" w:eastAsia="Arial" w:hAnsi="Arial"/>
          <w:sz w:val="15"/>
          <w:szCs w:val="15"/>
          <w:color w:val="auto"/>
        </w:rPr>
      </w:pPr>
    </w:p>
    <w:p>
      <w:pPr>
        <w:ind w:left="600" w:hanging="373"/>
        <w:spacing w:after="0"/>
        <w:tabs>
          <w:tab w:leader="none" w:pos="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Client passed on the benefit of the Promotional IRF Rates only to Eligible Merchants during the Relevant Quarter;</w:t>
      </w:r>
    </w:p>
    <w:p>
      <w:pPr>
        <w:spacing w:after="0" w:line="64" w:lineRule="exact"/>
        <w:rPr>
          <w:rFonts w:ascii="Arial" w:cs="Arial" w:eastAsia="Arial" w:hAnsi="Arial"/>
          <w:sz w:val="15"/>
          <w:szCs w:val="15"/>
          <w:color w:val="auto"/>
        </w:rPr>
      </w:pPr>
    </w:p>
    <w:p>
      <w:pPr>
        <w:ind w:left="500" w:hanging="273"/>
        <w:spacing w:after="0" w:line="247" w:lineRule="auto"/>
        <w:tabs>
          <w:tab w:leader="none" w:pos="592"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dollar amount of *** of each of the following sets of Eligible Transactions that originated at each of the Unattended Merchant Locations during the Relevant Quarter was *** (check all that apply):</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t>
      </w:r>
    </w:p>
    <w:p>
      <w:pPr>
        <w:spacing w:after="0" w:line="65" w:lineRule="exact"/>
        <w:rPr>
          <w:sz w:val="20"/>
          <w:szCs w:val="20"/>
          <w:color w:val="auto"/>
        </w:rPr>
      </w:pPr>
    </w:p>
    <w:p>
      <w:pPr>
        <w:ind w:left="500" w:hanging="273"/>
        <w:spacing w:after="0" w:line="247" w:lineRule="auto"/>
        <w:tabs>
          <w:tab w:leader="none" w:pos="552"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result of dividing the aggregate amount of the sales volume generated at all of the Unattended Merchant Locations during the Relevant Quarter divided by the total number of transactions generated at each of the Unattended Merchant Locations during the Relevant Quarter is ***;</w:t>
      </w:r>
    </w:p>
    <w:p>
      <w:pPr>
        <w:spacing w:after="0" w:line="42" w:lineRule="exact"/>
        <w:rPr>
          <w:rFonts w:ascii="Arial" w:cs="Arial" w:eastAsia="Arial" w:hAnsi="Arial"/>
          <w:sz w:val="15"/>
          <w:szCs w:val="15"/>
          <w:color w:val="auto"/>
        </w:rPr>
      </w:pPr>
    </w:p>
    <w:p>
      <w:pPr>
        <w:ind w:left="500" w:hanging="273"/>
        <w:spacing w:after="0" w:line="252" w:lineRule="auto"/>
        <w:tabs>
          <w:tab w:leader="none" w:pos="601"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Below is a complete list of all of the BINs through which Client processed the Eligible Transactions (the “</w:t>
      </w:r>
      <w:r>
        <w:rPr>
          <w:rFonts w:ascii="Arial" w:cs="Arial" w:eastAsia="Arial" w:hAnsi="Arial"/>
          <w:sz w:val="15"/>
          <w:szCs w:val="15"/>
          <w:b w:val="1"/>
          <w:bCs w:val="1"/>
          <w:color w:val="auto"/>
        </w:rPr>
        <w:t>Included BINs</w:t>
      </w:r>
      <w:r>
        <w:rPr>
          <w:rFonts w:ascii="Arial" w:cs="Arial" w:eastAsia="Arial" w:hAnsi="Arial"/>
          <w:sz w:val="15"/>
          <w:szCs w:val="15"/>
          <w:color w:val="auto"/>
        </w:rPr>
        <w:t>”) during the Relevant Quarter: [[Insert Included BINs]];</w:t>
      </w:r>
    </w:p>
    <w:p>
      <w:pPr>
        <w:spacing w:after="0" w:line="43" w:lineRule="exact"/>
        <w:rPr>
          <w:rFonts w:ascii="Arial" w:cs="Arial" w:eastAsia="Arial" w:hAnsi="Arial"/>
          <w:sz w:val="15"/>
          <w:szCs w:val="15"/>
          <w:color w:val="auto"/>
        </w:rPr>
      </w:pPr>
    </w:p>
    <w:p>
      <w:pPr>
        <w:ind w:left="500" w:hanging="273"/>
        <w:spacing w:after="0" w:line="247" w:lineRule="auto"/>
        <w:tabs>
          <w:tab w:leader="none" w:pos="587"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Provide a complete list of all of the Merchants that became Eligible Merchants during the Relevant Quarter and the date when Client began passing on the benefits of the Promotional IRF Rates to such Merchants [[Insert new Eligible Merchants and dates]];</w:t>
      </w:r>
    </w:p>
    <w:p>
      <w:pPr>
        <w:spacing w:after="0" w:line="46" w:lineRule="exact"/>
        <w:rPr>
          <w:rFonts w:ascii="Arial" w:cs="Arial" w:eastAsia="Arial" w:hAnsi="Arial"/>
          <w:sz w:val="15"/>
          <w:szCs w:val="15"/>
          <w:color w:val="auto"/>
        </w:rPr>
      </w:pPr>
    </w:p>
    <w:p>
      <w:pPr>
        <w:ind w:left="600" w:hanging="373"/>
        <w:spacing w:after="0"/>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At least *** new Unattended Merchant Locations were created by Eligible Merchants during the Relevant Quarter; and</w:t>
      </w:r>
    </w:p>
    <w:p>
      <w:pPr>
        <w:spacing w:after="0" w:line="3" w:lineRule="exact"/>
        <w:rPr>
          <w:rFonts w:ascii="Arial" w:cs="Arial" w:eastAsia="Arial" w:hAnsi="Arial"/>
          <w:sz w:val="15"/>
          <w:szCs w:val="15"/>
          <w:color w:val="auto"/>
        </w:rPr>
      </w:pPr>
    </w:p>
    <w:p>
      <w:pPr>
        <w:ind w:left="580" w:hanging="353"/>
        <w:spacing w:after="0"/>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exact number of new Unattended Merchant Locations created during the Relevant Quarter equals: ______.</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Capitalized terms used but not defined herein shall have the meanings ascribed to such terms in the Agreement.</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 certify that I am responsible for preparing this certification on behalf of Client and that Client used commercially reasonable diligence in determining the information necessary to make the assertions and certifications contained in this document in accordance with Client’s records and that to the best of my knowledge those assertions and certifications are true, accurate, and complete.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20"/>
                <w:szCs w:val="20"/>
                <w:color w:val="auto"/>
              </w:rPr>
            </w:pPr>
            <w:r>
              <w:rPr>
                <w:rFonts w:ascii="Arial" w:cs="Arial" w:eastAsia="Arial" w:hAnsi="Arial"/>
                <w:sz w:val="15"/>
                <w:szCs w:val="15"/>
                <w:color w:val="auto"/>
              </w:rPr>
              <w:t>By:</w:t>
            </w:r>
          </w:p>
        </w:tc>
        <w:tc>
          <w:tcPr>
            <w:tcW w:w="9000" w:type="dxa"/>
            <w:vAlign w:val="bottom"/>
          </w:tcPr>
          <w:p>
            <w:pPr>
              <w:ind w:left="100"/>
              <w:spacing w:after="0"/>
              <w:rPr>
                <w:sz w:val="20"/>
                <w:szCs w:val="20"/>
                <w:color w:val="auto"/>
              </w:rPr>
            </w:pPr>
            <w:r>
              <w:rPr>
                <w:rFonts w:ascii="Arial" w:cs="Arial" w:eastAsia="Arial" w:hAnsi="Arial"/>
                <w:sz w:val="15"/>
                <w:szCs w:val="15"/>
                <w:color w:val="auto"/>
              </w:rPr>
              <w:t>_____________________________</w:t>
            </w:r>
          </w:p>
        </w:tc>
      </w:tr>
      <w:tr>
        <w:trPr>
          <w:trHeight w:val="264"/>
        </w:trPr>
        <w:tc>
          <w:tcPr>
            <w:tcW w:w="1140" w:type="dxa"/>
            <w:vAlign w:val="bottom"/>
          </w:tcPr>
          <w:p>
            <w:pPr>
              <w:spacing w:after="0"/>
              <w:rPr>
                <w:sz w:val="20"/>
                <w:szCs w:val="20"/>
                <w:color w:val="auto"/>
              </w:rPr>
            </w:pPr>
            <w:r>
              <w:rPr>
                <w:rFonts w:ascii="Arial" w:cs="Arial" w:eastAsia="Arial" w:hAnsi="Arial"/>
                <w:sz w:val="15"/>
                <w:szCs w:val="15"/>
                <w:color w:val="auto"/>
              </w:rPr>
              <w:t>Name:</w:t>
            </w:r>
          </w:p>
        </w:tc>
        <w:tc>
          <w:tcPr>
            <w:tcW w:w="9000" w:type="dxa"/>
            <w:vAlign w:val="bottom"/>
          </w:tcPr>
          <w:p>
            <w:pPr>
              <w:ind w:left="100"/>
              <w:spacing w:after="0"/>
              <w:rPr>
                <w:sz w:val="20"/>
                <w:szCs w:val="20"/>
                <w:color w:val="auto"/>
              </w:rPr>
            </w:pPr>
            <w:r>
              <w:rPr>
                <w:rFonts w:ascii="Arial" w:cs="Arial" w:eastAsia="Arial" w:hAnsi="Arial"/>
                <w:sz w:val="15"/>
                <w:szCs w:val="15"/>
                <w:color w:val="auto"/>
              </w:rPr>
              <w:t>_____________________________</w:t>
            </w:r>
          </w:p>
        </w:tc>
      </w:tr>
      <w:tr>
        <w:trPr>
          <w:trHeight w:val="255"/>
        </w:trPr>
        <w:tc>
          <w:tcPr>
            <w:tcW w:w="1140" w:type="dxa"/>
            <w:vAlign w:val="bottom"/>
          </w:tcPr>
          <w:p>
            <w:pPr>
              <w:spacing w:after="0"/>
              <w:rPr>
                <w:sz w:val="20"/>
                <w:szCs w:val="20"/>
                <w:color w:val="auto"/>
              </w:rPr>
            </w:pPr>
            <w:r>
              <w:rPr>
                <w:rFonts w:ascii="Arial" w:cs="Arial" w:eastAsia="Arial" w:hAnsi="Arial"/>
                <w:sz w:val="15"/>
                <w:szCs w:val="15"/>
                <w:color w:val="auto"/>
              </w:rPr>
              <w:t>Title:</w:t>
            </w:r>
          </w:p>
        </w:tc>
        <w:tc>
          <w:tcPr>
            <w:tcW w:w="9000" w:type="dxa"/>
            <w:vAlign w:val="bottom"/>
          </w:tcPr>
          <w:p>
            <w:pPr>
              <w:ind w:left="100"/>
              <w:spacing w:after="0"/>
              <w:rPr>
                <w:sz w:val="20"/>
                <w:szCs w:val="20"/>
                <w:color w:val="auto"/>
              </w:rPr>
            </w:pPr>
            <w:r>
              <w:rPr>
                <w:rFonts w:ascii="Arial" w:cs="Arial" w:eastAsia="Arial" w:hAnsi="Arial"/>
                <w:sz w:val="15"/>
                <w:szCs w:val="15"/>
                <w:color w:val="auto"/>
              </w:rPr>
              <w:t>_____________________________</w:t>
            </w:r>
          </w:p>
        </w:tc>
      </w:tr>
      <w:tr>
        <w:trPr>
          <w:trHeight w:val="264"/>
        </w:trPr>
        <w:tc>
          <w:tcPr>
            <w:tcW w:w="1140" w:type="dxa"/>
            <w:vAlign w:val="bottom"/>
          </w:tcPr>
          <w:p>
            <w:pPr>
              <w:spacing w:after="0"/>
              <w:rPr>
                <w:sz w:val="20"/>
                <w:szCs w:val="20"/>
                <w:color w:val="auto"/>
              </w:rPr>
            </w:pPr>
            <w:r>
              <w:rPr>
                <w:rFonts w:ascii="Arial" w:cs="Arial" w:eastAsia="Arial" w:hAnsi="Arial"/>
                <w:sz w:val="15"/>
                <w:szCs w:val="15"/>
                <w:color w:val="auto"/>
              </w:rPr>
              <w:t>Date:</w:t>
            </w:r>
          </w:p>
        </w:tc>
        <w:tc>
          <w:tcPr>
            <w:tcW w:w="9000" w:type="dxa"/>
            <w:vAlign w:val="bottom"/>
          </w:tcPr>
          <w:p>
            <w:pPr>
              <w:ind w:left="100"/>
              <w:spacing w:after="0"/>
              <w:rPr>
                <w:sz w:val="20"/>
                <w:szCs w:val="20"/>
                <w:color w:val="auto"/>
              </w:rPr>
            </w:pPr>
            <w:r>
              <w:rPr>
                <w:rFonts w:ascii="Arial" w:cs="Arial" w:eastAsia="Arial" w:hAnsi="Arial"/>
                <w:sz w:val="15"/>
                <w:szCs w:val="15"/>
                <w:color w:val="auto"/>
              </w:rPr>
              <w:t>_____________________________</w:t>
            </w:r>
          </w:p>
        </w:tc>
      </w:tr>
      <w:tr>
        <w:trPr>
          <w:trHeight w:val="264"/>
        </w:trPr>
        <w:tc>
          <w:tcPr>
            <w:tcW w:w="1140" w:type="dxa"/>
            <w:vAlign w:val="bottom"/>
          </w:tcPr>
          <w:p>
            <w:pPr>
              <w:spacing w:after="0"/>
              <w:rPr>
                <w:sz w:val="20"/>
                <w:szCs w:val="20"/>
                <w:color w:val="auto"/>
              </w:rPr>
            </w:pPr>
            <w:r>
              <w:rPr>
                <w:rFonts w:ascii="Arial" w:cs="Arial" w:eastAsia="Arial" w:hAnsi="Arial"/>
                <w:sz w:val="15"/>
                <w:szCs w:val="15"/>
                <w:color w:val="auto"/>
                <w:w w:val="94"/>
              </w:rPr>
              <w:t>Relevant Quarter:</w:t>
            </w:r>
          </w:p>
        </w:tc>
        <w:tc>
          <w:tcPr>
            <w:tcW w:w="9000" w:type="dxa"/>
            <w:vAlign w:val="bottom"/>
          </w:tcPr>
          <w:p>
            <w:pPr>
              <w:ind w:left="100"/>
              <w:spacing w:after="0"/>
              <w:rPr>
                <w:sz w:val="20"/>
                <w:szCs w:val="20"/>
                <w:color w:val="auto"/>
              </w:rPr>
            </w:pPr>
            <w:r>
              <w:rPr>
                <w:rFonts w:ascii="Arial" w:cs="Arial" w:eastAsia="Arial" w:hAnsi="Arial"/>
                <w:sz w:val="15"/>
                <w:szCs w:val="15"/>
                <w:color w:val="auto"/>
              </w:rPr>
              <w:t>______________________, 20____ through ______________________, 20____</w:t>
            </w:r>
          </w:p>
        </w:tc>
      </w:tr>
      <w:tr>
        <w:trPr>
          <w:trHeight w:val="284"/>
        </w:trPr>
        <w:tc>
          <w:tcPr>
            <w:tcW w:w="1140" w:type="dxa"/>
            <w:vAlign w:val="bottom"/>
          </w:tcPr>
          <w:p>
            <w:pPr>
              <w:spacing w:after="0"/>
              <w:rPr>
                <w:sz w:val="24"/>
                <w:szCs w:val="24"/>
                <w:color w:val="auto"/>
              </w:rPr>
            </w:pPr>
          </w:p>
        </w:tc>
        <w:tc>
          <w:tcPr>
            <w:tcW w:w="9000" w:type="dxa"/>
            <w:vAlign w:val="bottom"/>
          </w:tcPr>
          <w:p>
            <w:pPr>
              <w:ind w:left="3880"/>
              <w:spacing w:after="0"/>
              <w:rPr>
                <w:sz w:val="20"/>
                <w:szCs w:val="20"/>
                <w:color w:val="auto"/>
              </w:rPr>
            </w:pPr>
            <w:r>
              <w:rPr>
                <w:rFonts w:ascii="Arial" w:cs="Arial" w:eastAsia="Arial" w:hAnsi="Arial"/>
                <w:sz w:val="12"/>
                <w:szCs w:val="12"/>
                <w:color w:val="auto"/>
              </w:rPr>
              <w:t>16</w:t>
            </w:r>
          </w:p>
        </w:tc>
      </w:tr>
      <w:tr>
        <w:trPr>
          <w:trHeight w:val="73"/>
        </w:trPr>
        <w:tc>
          <w:tcPr>
            <w:tcW w:w="114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r>
    </w:tbl>
    <w:p>
      <w:pPr>
        <w:sectPr>
          <w:pgSz w:w="11900" w:h="16838" w:orient="portrait"/>
          <w:cols w:equalWidth="0" w:num="1">
            <w:col w:w="10140"/>
          </w:cols>
          <w:pgMar w:left="880" w:top="122" w:right="8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5"/>
          <w:szCs w:val="15"/>
          <w:b w:val="1"/>
          <w:bCs w:val="1"/>
          <w:color w:val="auto"/>
        </w:rPr>
        <w:t>RIDER 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VISA DEBIT ROUTING CERTIFICATE</w:t>
      </w:r>
    </w:p>
    <w:p>
      <w:pPr>
        <w:jc w:val="center"/>
        <w:ind w:right="-19"/>
        <w:spacing w:after="0"/>
        <w:rPr>
          <w:sz w:val="20"/>
          <w:szCs w:val="20"/>
          <w:color w:val="auto"/>
        </w:rPr>
      </w:pPr>
      <w:r>
        <w:rPr>
          <w:rFonts w:ascii="Arial" w:cs="Arial" w:eastAsia="Arial" w:hAnsi="Arial"/>
          <w:sz w:val="15"/>
          <w:szCs w:val="15"/>
          <w:b w:val="1"/>
          <w:bCs w:val="1"/>
          <w:color w:val="auto"/>
        </w:rPr>
        <w:t>to</w:t>
      </w:r>
    </w:p>
    <w:p>
      <w:pPr>
        <w:jc w:val="center"/>
        <w:ind w:right="-19"/>
        <w:spacing w:after="0" w:line="228" w:lineRule="auto"/>
        <w:rPr>
          <w:sz w:val="20"/>
          <w:szCs w:val="20"/>
          <w:color w:val="auto"/>
        </w:rPr>
      </w:pPr>
      <w:r>
        <w:rPr>
          <w:rFonts w:ascii="Arial" w:cs="Arial" w:eastAsia="Arial" w:hAnsi="Arial"/>
          <w:sz w:val="15"/>
          <w:szCs w:val="15"/>
          <w:b w:val="1"/>
          <w:bCs w:val="1"/>
          <w:color w:val="auto"/>
        </w:rPr>
        <w:t>SMALL TICKET AND DEPLOYMENT SUPPORT INCENTIVE AGREEMENT</w:t>
      </w:r>
    </w:p>
    <w:p>
      <w:pPr>
        <w:jc w:val="center"/>
        <w:ind w:right="-19"/>
        <w:spacing w:after="0" w:line="228" w:lineRule="auto"/>
        <w:rPr>
          <w:sz w:val="20"/>
          <w:szCs w:val="20"/>
          <w:color w:val="auto"/>
        </w:rPr>
      </w:pPr>
      <w:r>
        <w:rPr>
          <w:rFonts w:ascii="Arial" w:cs="Arial" w:eastAsia="Arial" w:hAnsi="Arial"/>
          <w:sz w:val="15"/>
          <w:szCs w:val="15"/>
          <w:b w:val="1"/>
          <w:bCs w:val="1"/>
          <w:color w:val="auto"/>
        </w:rPr>
        <w:t>between</w:t>
      </w:r>
    </w:p>
    <w:p>
      <w:pPr>
        <w:ind w:left="3700"/>
        <w:spacing w:after="0" w:line="229" w:lineRule="auto"/>
        <w:rPr>
          <w:sz w:val="20"/>
          <w:szCs w:val="20"/>
          <w:color w:val="auto"/>
        </w:rPr>
      </w:pPr>
      <w:r>
        <w:rPr>
          <w:rFonts w:ascii="Arial" w:cs="Arial" w:eastAsia="Arial" w:hAnsi="Arial"/>
          <w:sz w:val="15"/>
          <w:szCs w:val="15"/>
          <w:b w:val="1"/>
          <w:bCs w:val="1"/>
          <w:color w:val="auto"/>
        </w:rPr>
        <w:t>Visa U.S.A. Inc. and USA Technologies, Inc.</w:t>
      </w:r>
    </w:p>
    <w:p>
      <w:pPr>
        <w:ind w:left="3660"/>
        <w:spacing w:after="0"/>
        <w:rPr>
          <w:sz w:val="20"/>
          <w:szCs w:val="20"/>
          <w:color w:val="auto"/>
        </w:rPr>
      </w:pPr>
      <w:r>
        <w:rPr>
          <w:rFonts w:ascii="Arial" w:cs="Arial" w:eastAsia="Arial" w:hAnsi="Arial"/>
          <w:sz w:val="15"/>
          <w:szCs w:val="15"/>
          <w:b w:val="1"/>
          <w:bCs w:val="1"/>
          <w:color w:val="auto"/>
        </w:rPr>
        <w:t>effective as of July 1, 2017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Client confirms and certifies to Visa that for the three-month period that started on ______________________, 20___ and ended on ______________________, 20___ (the</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Relevant Quarter</w:t>
      </w:r>
      <w:r>
        <w:rPr>
          <w:rFonts w:ascii="Arial" w:cs="Arial" w:eastAsia="Arial" w:hAnsi="Arial"/>
          <w:sz w:val="13"/>
          <w:szCs w:val="13"/>
          <w:color w:val="auto"/>
        </w:rPr>
        <w:t>”) each Eligible Visa Debit Transaction initiated during the Relevant Quarter was routed for authorization, clearing and settlement during the Relevant Quarter as a Visa Debit Transaction, except where the *** were offline or otherwise unavailable, or where there was a one-off technical glitch or processing-related error.</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Visa Debit Transaction</w:t>
      </w:r>
      <w:r>
        <w:rPr>
          <w:rFonts w:ascii="Arial" w:cs="Arial" w:eastAsia="Arial" w:hAnsi="Arial"/>
          <w:sz w:val="14"/>
          <w:szCs w:val="14"/>
          <w:color w:val="auto"/>
        </w:rPr>
        <w:t>” means a transaction for the payment of goods or services that originates on a Payment Device enabled with a Visa Debit Product at an Unattended Merchant Location, other than Interlink Transactions, credits, chargebacks, returns and the corresponding original transactions that have been fully or partially refunded (due to such credit, chargeback or return), and cash transactions (e.g., cash back transactions or prepaid card cash loads).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 certify that I am an authorized person of Client responsible for preparing this document on behalf of Client and that Client used commercially reasonable diligence determining the assertions made above in accordance with Client’s records. Capitalized terms used but not defined herein shall have the meanings ascribed to them in the Agreement.</w:t>
      </w:r>
    </w:p>
    <w:p>
      <w:pPr>
        <w:sectPr>
          <w:pgSz w:w="11900" w:h="16838" w:orient="portrait"/>
          <w:cols w:equalWidth="0" w:num="1">
            <w:col w:w="10140"/>
          </w:cols>
          <w:pgMar w:left="880" w:top="121" w:right="87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w:t>
      </w:r>
    </w:p>
    <w:p>
      <w:pPr>
        <w:spacing w:after="0" w:line="160" w:lineRule="exact"/>
        <w:rPr>
          <w:sz w:val="20"/>
          <w:szCs w:val="20"/>
          <w:color w:val="auto"/>
        </w:rPr>
      </w:pPr>
    </w:p>
    <w:p>
      <w:pPr>
        <w:sectPr>
          <w:pgSz w:w="11900" w:h="16838" w:orient="portrait"/>
          <w:cols w:equalWidth="0" w:num="2">
            <w:col w:w="520" w:space="720"/>
            <w:col w:w="8900"/>
          </w:cols>
          <w:pgMar w:left="880" w:top="121" w:right="879" w:bottom="1440" w:gutter="0" w:footer="0" w:header="0"/>
          <w:type w:val="continuous"/>
        </w:sect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_____________________________</w:t>
      </w:r>
    </w:p>
    <w:p>
      <w:pPr>
        <w:spacing w:after="0" w:line="161" w:lineRule="exact"/>
        <w:rPr>
          <w:sz w:val="20"/>
          <w:szCs w:val="20"/>
          <w:color w:val="auto"/>
        </w:rPr>
      </w:pPr>
    </w:p>
    <w:p>
      <w:pPr>
        <w:sectPr>
          <w:pgSz w:w="11900" w:h="16838" w:orient="portrait"/>
          <w:cols w:equalWidth="0" w:num="2">
            <w:col w:w="520" w:space="720"/>
            <w:col w:w="8900"/>
          </w:cols>
          <w:pgMar w:left="880" w:top="121" w:right="879" w:bottom="1440" w:gutter="0" w:footer="0" w:header="0"/>
          <w:type w:val="continuous"/>
        </w:sect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_____________________________</w:t>
      </w:r>
    </w:p>
    <w:p>
      <w:pPr>
        <w:spacing w:after="0" w:line="160" w:lineRule="exact"/>
        <w:rPr>
          <w:sz w:val="20"/>
          <w:szCs w:val="20"/>
          <w:color w:val="auto"/>
        </w:rPr>
      </w:pPr>
    </w:p>
    <w:p>
      <w:pPr>
        <w:sectPr>
          <w:pgSz w:w="11900" w:h="16838" w:orient="portrait"/>
          <w:cols w:equalWidth="0" w:num="2">
            <w:col w:w="520" w:space="720"/>
            <w:col w:w="8900"/>
          </w:cols>
          <w:pgMar w:left="880" w:top="121" w:right="87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_____________________________</w:t>
      </w:r>
    </w:p>
    <w:p>
      <w:pPr>
        <w:spacing w:after="0" w:line="161" w:lineRule="exact"/>
        <w:rPr>
          <w:sz w:val="20"/>
          <w:szCs w:val="20"/>
          <w:color w:val="auto"/>
        </w:rPr>
      </w:pPr>
    </w:p>
    <w:p>
      <w:pPr>
        <w:sectPr>
          <w:pgSz w:w="11900" w:h="16838" w:orient="portrait"/>
          <w:cols w:equalWidth="0" w:num="2">
            <w:col w:w="520" w:space="720"/>
            <w:col w:w="8900"/>
          </w:cols>
          <w:pgMar w:left="880" w:top="121" w:right="879" w:bottom="1440" w:gutter="0" w:footer="0" w:header="0"/>
          <w:type w:val="continuous"/>
        </w:sectPr>
      </w:pPr>
    </w:p>
    <w:p>
      <w:pPr>
        <w:spacing w:after="0"/>
        <w:rPr>
          <w:sz w:val="20"/>
          <w:szCs w:val="20"/>
          <w:color w:val="auto"/>
        </w:rPr>
      </w:pPr>
      <w:r>
        <w:rPr>
          <w:rFonts w:ascii="Arial" w:cs="Arial" w:eastAsia="Arial" w:hAnsi="Arial"/>
          <w:sz w:val="13"/>
          <w:szCs w:val="13"/>
          <w:color w:val="auto"/>
        </w:rPr>
        <w:t>Relevant Quarter: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______________________, 20____ through ______________________, 20____</w:t>
      </w:r>
    </w:p>
    <w:p>
      <w:pPr>
        <w:spacing w:after="0" w:line="200" w:lineRule="exact"/>
        <w:rPr>
          <w:sz w:val="20"/>
          <w:szCs w:val="20"/>
          <w:color w:val="auto"/>
        </w:rPr>
      </w:pPr>
    </w:p>
    <w:p>
      <w:pPr>
        <w:sectPr>
          <w:pgSz w:w="11900" w:h="16838" w:orient="portrait"/>
          <w:cols w:equalWidth="0" w:num="2">
            <w:col w:w="1040" w:space="200"/>
            <w:col w:w="8900"/>
          </w:cols>
          <w:pgMar w:left="880" w:top="121" w:right="87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433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21" w:right="879" w:bottom="1440" w:gutter="0" w:footer="0" w:header="0"/>
          <w:type w:val="continuous"/>
        </w:sectPr>
      </w:pPr>
    </w:p>
    <w:bookmarkStart w:id="51" w:name="page52"/>
    <w:bookmarkEnd w:id="51"/>
    <w:p>
      <w:pPr>
        <w:jc w:val="right"/>
        <w:ind w:right="119"/>
        <w:spacing w:after="0"/>
        <w:rPr>
          <w:sz w:val="20"/>
          <w:szCs w:val="20"/>
          <w:color w:val="auto"/>
        </w:rPr>
      </w:pPr>
      <w:r>
        <w:rPr>
          <w:rFonts w:ascii="Arial" w:cs="Arial" w:eastAsia="Arial" w:hAnsi="Arial"/>
          <w:sz w:val="13"/>
          <w:szCs w:val="13"/>
          <w:b w:val="1"/>
          <w:bCs w:val="1"/>
          <w:color w:val="auto"/>
        </w:rPr>
        <w:t>Exhibit 10.2</w:t>
      </w:r>
    </w:p>
    <w:p>
      <w:pPr>
        <w:spacing w:after="0" w:line="106" w:lineRule="exact"/>
        <w:rPr>
          <w:sz w:val="20"/>
          <w:szCs w:val="20"/>
          <w:color w:val="auto"/>
        </w:rPr>
      </w:pPr>
    </w:p>
    <w:p>
      <w:pPr>
        <w:jc w:val="right"/>
        <w:ind w:right="119"/>
        <w:spacing w:after="0"/>
        <w:rPr>
          <w:sz w:val="20"/>
          <w:szCs w:val="20"/>
          <w:color w:val="auto"/>
        </w:rPr>
      </w:pPr>
      <w:r>
        <w:rPr>
          <w:rFonts w:ascii="Arial" w:cs="Arial" w:eastAsia="Arial" w:hAnsi="Arial"/>
          <w:sz w:val="13"/>
          <w:szCs w:val="13"/>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88265</wp:posOffset>
            </wp:positionV>
            <wp:extent cx="557720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7205" cy="1714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273685</wp:posOffset>
            </wp:positionV>
            <wp:extent cx="1129030" cy="237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2903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CREDIT AGREEMENT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dated as of</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November 9, 2017</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among</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USA TECHNOLOGIES, INC.,</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Loan Parties Party Hereto,</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Lenders Party Hereto</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and</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JPMORGAN CHASE BANK, N.A.,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161925</wp:posOffset>
            </wp:positionV>
            <wp:extent cx="557720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720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775970</wp:posOffset>
            </wp:positionV>
            <wp:extent cx="557720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52" w:name="page53"/>
    <w:bookmarkEnd w:id="52"/>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I </w:t>
      </w:r>
      <w:r>
        <w:rPr>
          <w:rFonts w:ascii="Arial" w:cs="Arial" w:eastAsia="Arial" w:hAnsi="Arial"/>
          <w:sz w:val="13"/>
          <w:szCs w:val="13"/>
          <w:color w:val="000000"/>
        </w:rPr>
        <w:t>Definitions</w:t>
      </w:r>
    </w:p>
    <w:p>
      <w:pPr>
        <w:spacing w:after="0" w:line="22"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1.01</w:t>
      </w:r>
      <w:r>
        <w:rPr>
          <w:sz w:val="20"/>
          <w:szCs w:val="20"/>
          <w:color w:val="auto"/>
        </w:rPr>
        <w:tab/>
      </w:r>
      <w:r>
        <w:rPr>
          <w:rFonts w:ascii="Arial" w:cs="Arial" w:eastAsia="Arial" w:hAnsi="Arial"/>
          <w:sz w:val="12"/>
          <w:szCs w:val="12"/>
          <w:color w:val="auto"/>
        </w:rPr>
        <w:t>Defined Terms</w:t>
      </w:r>
    </w:p>
    <w:p>
      <w:pPr>
        <w:spacing w:after="0" w:line="1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1.02</w:t>
      </w:r>
      <w:r>
        <w:rPr>
          <w:sz w:val="20"/>
          <w:szCs w:val="20"/>
          <w:color w:val="auto"/>
        </w:rPr>
        <w:tab/>
      </w:r>
      <w:r>
        <w:rPr>
          <w:rFonts w:ascii="Arial" w:cs="Arial" w:eastAsia="Arial" w:hAnsi="Arial"/>
          <w:sz w:val="12"/>
          <w:szCs w:val="12"/>
          <w:color w:val="auto"/>
        </w:rPr>
        <w:t>Classification of Loans and Borrowings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1.03</w:t>
      </w:r>
      <w:r>
        <w:rPr>
          <w:sz w:val="20"/>
          <w:szCs w:val="20"/>
          <w:color w:val="auto"/>
        </w:rPr>
        <w:tab/>
      </w:r>
      <w:r>
        <w:rPr>
          <w:rFonts w:ascii="Arial" w:cs="Arial" w:eastAsia="Arial" w:hAnsi="Arial"/>
          <w:sz w:val="12"/>
          <w:szCs w:val="12"/>
          <w:color w:val="auto"/>
        </w:rPr>
        <w:t>Terms Generally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1.04</w:t>
      </w:r>
      <w:r>
        <w:rPr>
          <w:sz w:val="20"/>
          <w:szCs w:val="20"/>
          <w:color w:val="auto"/>
        </w:rPr>
        <w:tab/>
      </w:r>
      <w:r>
        <w:rPr>
          <w:rFonts w:ascii="Arial" w:cs="Arial" w:eastAsia="Arial" w:hAnsi="Arial"/>
          <w:sz w:val="12"/>
          <w:szCs w:val="12"/>
          <w:color w:val="auto"/>
        </w:rPr>
        <w:t>Accounting Terms; GAAP</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1.05</w:t>
      </w:r>
      <w:r>
        <w:rPr>
          <w:sz w:val="20"/>
          <w:szCs w:val="20"/>
          <w:color w:val="auto"/>
        </w:rPr>
        <w:tab/>
      </w:r>
      <w:r>
        <w:rPr>
          <w:rFonts w:ascii="Arial" w:cs="Arial" w:eastAsia="Arial" w:hAnsi="Arial"/>
          <w:sz w:val="12"/>
          <w:szCs w:val="12"/>
          <w:color w:val="auto"/>
        </w:rPr>
        <w:t>Pro Forma Adjustments for Acquisitions and Dispositions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1.06</w:t>
      </w:r>
      <w:r>
        <w:rPr>
          <w:sz w:val="20"/>
          <w:szCs w:val="20"/>
          <w:color w:val="auto"/>
        </w:rPr>
        <w:tab/>
      </w:r>
      <w:r>
        <w:rPr>
          <w:rFonts w:ascii="Arial" w:cs="Arial" w:eastAsia="Arial" w:hAnsi="Arial"/>
          <w:sz w:val="12"/>
          <w:szCs w:val="12"/>
          <w:color w:val="auto"/>
        </w:rPr>
        <w:t>Status of Obligations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1.07</w:t>
      </w:r>
      <w:r>
        <w:rPr>
          <w:sz w:val="20"/>
          <w:szCs w:val="20"/>
          <w:color w:val="auto"/>
        </w:rPr>
        <w:tab/>
      </w:r>
      <w:r>
        <w:rPr>
          <w:rFonts w:ascii="Arial" w:cs="Arial" w:eastAsia="Arial" w:hAnsi="Arial"/>
          <w:sz w:val="12"/>
          <w:szCs w:val="12"/>
          <w:color w:val="auto"/>
        </w:rPr>
        <w:t>Rounding</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II </w:t>
      </w:r>
      <w:r>
        <w:rPr>
          <w:rFonts w:ascii="Arial" w:cs="Arial" w:eastAsia="Arial" w:hAnsi="Arial"/>
          <w:sz w:val="13"/>
          <w:szCs w:val="13"/>
          <w:color w:val="000000"/>
        </w:rPr>
        <w:t>The Credits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2.01</w:t>
      </w:r>
      <w:r>
        <w:rPr>
          <w:sz w:val="20"/>
          <w:szCs w:val="20"/>
          <w:color w:val="auto"/>
        </w:rPr>
        <w:tab/>
      </w:r>
      <w:r>
        <w:rPr>
          <w:rFonts w:ascii="Arial" w:cs="Arial" w:eastAsia="Arial" w:hAnsi="Arial"/>
          <w:sz w:val="12"/>
          <w:szCs w:val="12"/>
          <w:color w:val="auto"/>
        </w:rPr>
        <w:t>Commitments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2.02</w:t>
      </w:r>
      <w:r>
        <w:rPr>
          <w:sz w:val="20"/>
          <w:szCs w:val="20"/>
          <w:color w:val="auto"/>
        </w:rPr>
        <w:tab/>
      </w:r>
      <w:r>
        <w:rPr>
          <w:rFonts w:ascii="Arial" w:cs="Arial" w:eastAsia="Arial" w:hAnsi="Arial"/>
          <w:sz w:val="12"/>
          <w:szCs w:val="12"/>
          <w:color w:val="auto"/>
        </w:rPr>
        <w:t>Loans and Borrowings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2.03</w:t>
      </w:r>
      <w:r>
        <w:rPr>
          <w:sz w:val="20"/>
          <w:szCs w:val="20"/>
          <w:color w:val="auto"/>
        </w:rPr>
        <w:tab/>
      </w:r>
      <w:r>
        <w:rPr>
          <w:rFonts w:ascii="Arial" w:cs="Arial" w:eastAsia="Arial" w:hAnsi="Arial"/>
          <w:sz w:val="12"/>
          <w:szCs w:val="12"/>
          <w:color w:val="auto"/>
        </w:rPr>
        <w:t>Requests for Borrowings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2.04</w:t>
      </w:r>
      <w:r>
        <w:rPr>
          <w:sz w:val="20"/>
          <w:szCs w:val="20"/>
          <w:color w:val="auto"/>
        </w:rPr>
        <w:tab/>
      </w:r>
      <w:r>
        <w:rPr>
          <w:rFonts w:ascii="Arial" w:cs="Arial" w:eastAsia="Arial" w:hAnsi="Arial"/>
          <w:sz w:val="12"/>
          <w:szCs w:val="12"/>
          <w:color w:val="auto"/>
        </w:rPr>
        <w:t>[Section Intentionally Omitted]</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2.05</w:t>
      </w:r>
      <w:r>
        <w:rPr>
          <w:sz w:val="20"/>
          <w:szCs w:val="20"/>
          <w:color w:val="auto"/>
        </w:rPr>
        <w:tab/>
      </w:r>
      <w:r>
        <w:rPr>
          <w:rFonts w:ascii="Arial" w:cs="Arial" w:eastAsia="Arial" w:hAnsi="Arial"/>
          <w:sz w:val="12"/>
          <w:szCs w:val="12"/>
          <w:color w:val="auto"/>
        </w:rPr>
        <w:t>Swingline Loans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2.06</w:t>
      </w:r>
      <w:r>
        <w:rPr>
          <w:sz w:val="20"/>
          <w:szCs w:val="20"/>
          <w:color w:val="auto"/>
        </w:rPr>
        <w:tab/>
      </w:r>
      <w:r>
        <w:rPr>
          <w:rFonts w:ascii="Arial" w:cs="Arial" w:eastAsia="Arial" w:hAnsi="Arial"/>
          <w:sz w:val="12"/>
          <w:szCs w:val="12"/>
          <w:color w:val="auto"/>
        </w:rPr>
        <w:t>Letters of Credit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2.07</w:t>
      </w:r>
      <w:r>
        <w:rPr>
          <w:sz w:val="20"/>
          <w:szCs w:val="20"/>
          <w:color w:val="auto"/>
        </w:rPr>
        <w:tab/>
      </w:r>
      <w:r>
        <w:rPr>
          <w:rFonts w:ascii="Arial" w:cs="Arial" w:eastAsia="Arial" w:hAnsi="Arial"/>
          <w:sz w:val="12"/>
          <w:szCs w:val="12"/>
          <w:color w:val="auto"/>
        </w:rPr>
        <w:t>Funding of Borrowings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2.08</w:t>
      </w:r>
      <w:r>
        <w:rPr>
          <w:sz w:val="20"/>
          <w:szCs w:val="20"/>
          <w:color w:val="auto"/>
        </w:rPr>
        <w:tab/>
      </w:r>
      <w:r>
        <w:rPr>
          <w:rFonts w:ascii="Arial" w:cs="Arial" w:eastAsia="Arial" w:hAnsi="Arial"/>
          <w:sz w:val="12"/>
          <w:szCs w:val="12"/>
          <w:color w:val="auto"/>
        </w:rPr>
        <w:t>Interest Elections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2.09</w:t>
      </w:r>
      <w:r>
        <w:rPr>
          <w:sz w:val="20"/>
          <w:szCs w:val="20"/>
          <w:color w:val="auto"/>
        </w:rPr>
        <w:tab/>
      </w:r>
      <w:r>
        <w:rPr>
          <w:rFonts w:ascii="Arial" w:cs="Arial" w:eastAsia="Arial" w:hAnsi="Arial"/>
          <w:sz w:val="12"/>
          <w:szCs w:val="12"/>
          <w:color w:val="auto"/>
        </w:rPr>
        <w:t>Termination and Reduction of Commitments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2.10</w:t>
      </w:r>
      <w:r>
        <w:rPr>
          <w:sz w:val="20"/>
          <w:szCs w:val="20"/>
          <w:color w:val="auto"/>
        </w:rPr>
        <w:tab/>
      </w:r>
      <w:r>
        <w:rPr>
          <w:rFonts w:ascii="Arial" w:cs="Arial" w:eastAsia="Arial" w:hAnsi="Arial"/>
          <w:sz w:val="12"/>
          <w:szCs w:val="12"/>
          <w:color w:val="auto"/>
        </w:rPr>
        <w:t>Repayment and Amortization of Loans; Evidence of Debt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2.11</w:t>
      </w:r>
      <w:r>
        <w:rPr>
          <w:sz w:val="20"/>
          <w:szCs w:val="20"/>
          <w:color w:val="auto"/>
        </w:rPr>
        <w:tab/>
      </w:r>
      <w:r>
        <w:rPr>
          <w:rFonts w:ascii="Arial" w:cs="Arial" w:eastAsia="Arial" w:hAnsi="Arial"/>
          <w:sz w:val="11"/>
          <w:szCs w:val="11"/>
          <w:color w:val="auto"/>
        </w:rPr>
        <w:t>Prepayment of Loans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2.12</w:t>
      </w:r>
      <w:r>
        <w:rPr>
          <w:sz w:val="20"/>
          <w:szCs w:val="20"/>
          <w:color w:val="auto"/>
        </w:rPr>
        <w:tab/>
      </w:r>
      <w:r>
        <w:rPr>
          <w:rFonts w:ascii="Arial" w:cs="Arial" w:eastAsia="Arial" w:hAnsi="Arial"/>
          <w:sz w:val="10"/>
          <w:szCs w:val="10"/>
          <w:color w:val="auto"/>
        </w:rPr>
        <w:t>Fees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2.13</w:t>
      </w:r>
      <w:r>
        <w:rPr>
          <w:sz w:val="20"/>
          <w:szCs w:val="20"/>
          <w:color w:val="auto"/>
        </w:rPr>
        <w:tab/>
      </w:r>
      <w:r>
        <w:rPr>
          <w:rFonts w:ascii="Arial" w:cs="Arial" w:eastAsia="Arial" w:hAnsi="Arial"/>
          <w:sz w:val="11"/>
          <w:szCs w:val="11"/>
          <w:color w:val="auto"/>
        </w:rPr>
        <w:t>Interest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2.14</w:t>
      </w:r>
      <w:r>
        <w:rPr>
          <w:sz w:val="20"/>
          <w:szCs w:val="20"/>
          <w:color w:val="auto"/>
        </w:rPr>
        <w:tab/>
      </w:r>
      <w:r>
        <w:rPr>
          <w:rFonts w:ascii="Arial" w:cs="Arial" w:eastAsia="Arial" w:hAnsi="Arial"/>
          <w:sz w:val="12"/>
          <w:szCs w:val="12"/>
          <w:color w:val="auto"/>
        </w:rPr>
        <w:t>Alternate Rate of Interest.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2.15</w:t>
      </w:r>
      <w:r>
        <w:rPr>
          <w:sz w:val="20"/>
          <w:szCs w:val="20"/>
          <w:color w:val="auto"/>
        </w:rPr>
        <w:tab/>
      </w:r>
      <w:r>
        <w:rPr>
          <w:rFonts w:ascii="Arial" w:cs="Arial" w:eastAsia="Arial" w:hAnsi="Arial"/>
          <w:sz w:val="11"/>
          <w:szCs w:val="11"/>
          <w:color w:val="auto"/>
        </w:rPr>
        <w:t>Increased Costs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2.16</w:t>
      </w:r>
      <w:r>
        <w:rPr>
          <w:sz w:val="20"/>
          <w:szCs w:val="20"/>
          <w:color w:val="auto"/>
        </w:rPr>
        <w:tab/>
      </w:r>
      <w:r>
        <w:rPr>
          <w:rFonts w:ascii="Arial" w:cs="Arial" w:eastAsia="Arial" w:hAnsi="Arial"/>
          <w:sz w:val="12"/>
          <w:szCs w:val="12"/>
          <w:color w:val="auto"/>
        </w:rPr>
        <w:t>Break Funding Payments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2.17</w:t>
      </w:r>
      <w:r>
        <w:rPr>
          <w:sz w:val="20"/>
          <w:szCs w:val="20"/>
          <w:color w:val="auto"/>
        </w:rPr>
        <w:tab/>
      </w:r>
      <w:r>
        <w:rPr>
          <w:rFonts w:ascii="Arial" w:cs="Arial" w:eastAsia="Arial" w:hAnsi="Arial"/>
          <w:sz w:val="11"/>
          <w:szCs w:val="11"/>
          <w:color w:val="auto"/>
        </w:rPr>
        <w:t>Taxes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2.18</w:t>
      </w:r>
      <w:r>
        <w:rPr>
          <w:sz w:val="20"/>
          <w:szCs w:val="20"/>
          <w:color w:val="auto"/>
        </w:rPr>
        <w:tab/>
      </w:r>
      <w:r>
        <w:rPr>
          <w:rFonts w:ascii="Arial" w:cs="Arial" w:eastAsia="Arial" w:hAnsi="Arial"/>
          <w:sz w:val="12"/>
          <w:szCs w:val="12"/>
          <w:color w:val="auto"/>
        </w:rPr>
        <w:t>Payments Generally; Allocation of Proceeds; Sharing of Set-offs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2.19</w:t>
      </w:r>
      <w:r>
        <w:rPr>
          <w:sz w:val="20"/>
          <w:szCs w:val="20"/>
          <w:color w:val="auto"/>
        </w:rPr>
        <w:tab/>
      </w:r>
      <w:r>
        <w:rPr>
          <w:rFonts w:ascii="Arial" w:cs="Arial" w:eastAsia="Arial" w:hAnsi="Arial"/>
          <w:sz w:val="12"/>
          <w:szCs w:val="12"/>
          <w:color w:val="auto"/>
        </w:rPr>
        <w:t>Mitigation Obligations; Replacement of Lenders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2.20</w:t>
      </w:r>
      <w:r>
        <w:rPr>
          <w:sz w:val="20"/>
          <w:szCs w:val="20"/>
          <w:color w:val="auto"/>
        </w:rPr>
        <w:tab/>
      </w:r>
      <w:r>
        <w:rPr>
          <w:rFonts w:ascii="Arial" w:cs="Arial" w:eastAsia="Arial" w:hAnsi="Arial"/>
          <w:sz w:val="12"/>
          <w:szCs w:val="12"/>
          <w:color w:val="auto"/>
        </w:rPr>
        <w:t>Defaulting Lenders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2.21</w:t>
      </w:r>
      <w:r>
        <w:rPr>
          <w:sz w:val="20"/>
          <w:szCs w:val="20"/>
          <w:color w:val="auto"/>
        </w:rPr>
        <w:tab/>
      </w:r>
      <w:r>
        <w:rPr>
          <w:rFonts w:ascii="Arial" w:cs="Arial" w:eastAsia="Arial" w:hAnsi="Arial"/>
          <w:sz w:val="11"/>
          <w:szCs w:val="11"/>
          <w:color w:val="auto"/>
        </w:rPr>
        <w:t>Returned Payments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2.22</w:t>
      </w:r>
      <w:r>
        <w:rPr>
          <w:sz w:val="20"/>
          <w:szCs w:val="20"/>
          <w:color w:val="auto"/>
        </w:rPr>
        <w:tab/>
      </w:r>
      <w:r>
        <w:rPr>
          <w:rFonts w:ascii="Arial" w:cs="Arial" w:eastAsia="Arial" w:hAnsi="Arial"/>
          <w:sz w:val="12"/>
          <w:szCs w:val="12"/>
          <w:color w:val="auto"/>
        </w:rPr>
        <w:t>Banking Services and Swap Agreements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III </w:t>
      </w:r>
      <w:r>
        <w:rPr>
          <w:rFonts w:ascii="Arial" w:cs="Arial" w:eastAsia="Arial" w:hAnsi="Arial"/>
          <w:sz w:val="13"/>
          <w:szCs w:val="13"/>
          <w:color w:val="000000"/>
        </w:rPr>
        <w:t>Representations and Warranties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3.01</w:t>
      </w:r>
      <w:r>
        <w:rPr>
          <w:sz w:val="20"/>
          <w:szCs w:val="20"/>
          <w:color w:val="auto"/>
        </w:rPr>
        <w:tab/>
      </w:r>
      <w:r>
        <w:rPr>
          <w:rFonts w:ascii="Arial" w:cs="Arial" w:eastAsia="Arial" w:hAnsi="Arial"/>
          <w:sz w:val="12"/>
          <w:szCs w:val="12"/>
          <w:color w:val="auto"/>
        </w:rPr>
        <w:t>Organization; Powers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3.02</w:t>
      </w:r>
      <w:r>
        <w:rPr>
          <w:sz w:val="20"/>
          <w:szCs w:val="20"/>
          <w:color w:val="auto"/>
        </w:rPr>
        <w:tab/>
      </w:r>
      <w:r>
        <w:rPr>
          <w:rFonts w:ascii="Arial" w:cs="Arial" w:eastAsia="Arial" w:hAnsi="Arial"/>
          <w:sz w:val="12"/>
          <w:szCs w:val="12"/>
          <w:color w:val="auto"/>
        </w:rPr>
        <w:t>Authorization; Enforceability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3.03</w:t>
      </w:r>
      <w:r>
        <w:rPr>
          <w:sz w:val="20"/>
          <w:szCs w:val="20"/>
          <w:color w:val="auto"/>
        </w:rPr>
        <w:tab/>
      </w:r>
      <w:r>
        <w:rPr>
          <w:rFonts w:ascii="Arial" w:cs="Arial" w:eastAsia="Arial" w:hAnsi="Arial"/>
          <w:sz w:val="12"/>
          <w:szCs w:val="12"/>
          <w:color w:val="auto"/>
        </w:rPr>
        <w:t>Governmental Approvals; No Conflicts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3.04</w:t>
      </w:r>
      <w:r>
        <w:rPr>
          <w:sz w:val="20"/>
          <w:szCs w:val="20"/>
          <w:color w:val="auto"/>
        </w:rPr>
        <w:tab/>
      </w:r>
      <w:r>
        <w:rPr>
          <w:rFonts w:ascii="Arial" w:cs="Arial" w:eastAsia="Arial" w:hAnsi="Arial"/>
          <w:sz w:val="12"/>
          <w:szCs w:val="12"/>
          <w:color w:val="auto"/>
        </w:rPr>
        <w:t>Financial Condition; No Material Adverse Change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3.05</w:t>
      </w:r>
      <w:r>
        <w:rPr>
          <w:sz w:val="20"/>
          <w:szCs w:val="20"/>
          <w:color w:val="auto"/>
        </w:rPr>
        <w:tab/>
      </w:r>
      <w:r>
        <w:rPr>
          <w:rFonts w:ascii="Arial" w:cs="Arial" w:eastAsia="Arial" w:hAnsi="Arial"/>
          <w:sz w:val="11"/>
          <w:szCs w:val="11"/>
          <w:color w:val="auto"/>
        </w:rPr>
        <w:t>Properties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3.06</w:t>
      </w:r>
      <w:r>
        <w:rPr>
          <w:sz w:val="20"/>
          <w:szCs w:val="20"/>
          <w:color w:val="auto"/>
        </w:rPr>
        <w:tab/>
      </w:r>
      <w:r>
        <w:rPr>
          <w:rFonts w:ascii="Arial" w:cs="Arial" w:eastAsia="Arial" w:hAnsi="Arial"/>
          <w:sz w:val="12"/>
          <w:szCs w:val="12"/>
          <w:color w:val="auto"/>
        </w:rPr>
        <w:t>Litigation and Environmental Matters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3.07</w:t>
      </w:r>
      <w:r>
        <w:rPr>
          <w:sz w:val="20"/>
          <w:szCs w:val="20"/>
          <w:color w:val="auto"/>
        </w:rPr>
        <w:tab/>
      </w:r>
      <w:r>
        <w:rPr>
          <w:rFonts w:ascii="Arial" w:cs="Arial" w:eastAsia="Arial" w:hAnsi="Arial"/>
          <w:sz w:val="12"/>
          <w:szCs w:val="12"/>
          <w:color w:val="auto"/>
        </w:rPr>
        <w:t>Compliance with Laws and Agreements; No Default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3.08</w:t>
      </w:r>
      <w:r>
        <w:rPr>
          <w:sz w:val="20"/>
          <w:szCs w:val="20"/>
          <w:color w:val="auto"/>
        </w:rPr>
        <w:tab/>
      </w:r>
      <w:r>
        <w:rPr>
          <w:rFonts w:ascii="Arial" w:cs="Arial" w:eastAsia="Arial" w:hAnsi="Arial"/>
          <w:sz w:val="12"/>
          <w:szCs w:val="12"/>
          <w:color w:val="auto"/>
        </w:rPr>
        <w:t>Investment Company Status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3.09</w:t>
      </w:r>
      <w:r>
        <w:rPr>
          <w:sz w:val="20"/>
          <w:szCs w:val="20"/>
          <w:color w:val="auto"/>
        </w:rPr>
        <w:tab/>
      </w:r>
      <w:r>
        <w:rPr>
          <w:rFonts w:ascii="Arial" w:cs="Arial" w:eastAsia="Arial" w:hAnsi="Arial"/>
          <w:sz w:val="11"/>
          <w:szCs w:val="11"/>
          <w:color w:val="auto"/>
        </w:rPr>
        <w:t>Taxes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3.10</w:t>
      </w:r>
      <w:r>
        <w:rPr>
          <w:sz w:val="20"/>
          <w:szCs w:val="20"/>
          <w:color w:val="auto"/>
        </w:rPr>
        <w:tab/>
      </w:r>
      <w:r>
        <w:rPr>
          <w:rFonts w:ascii="Arial" w:cs="Arial" w:eastAsia="Arial" w:hAnsi="Arial"/>
          <w:sz w:val="13"/>
          <w:szCs w:val="13"/>
          <w:color w:val="auto"/>
        </w:rPr>
        <w:t>ERISA</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3.11</w:t>
      </w:r>
      <w:r>
        <w:rPr>
          <w:sz w:val="20"/>
          <w:szCs w:val="20"/>
          <w:color w:val="auto"/>
        </w:rPr>
        <w:tab/>
      </w:r>
      <w:r>
        <w:rPr>
          <w:rFonts w:ascii="Arial" w:cs="Arial" w:eastAsia="Arial" w:hAnsi="Arial"/>
          <w:sz w:val="12"/>
          <w:szCs w:val="12"/>
          <w:color w:val="auto"/>
        </w:rPr>
        <w:t>Disclosure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3.12</w:t>
      </w:r>
      <w:r>
        <w:rPr>
          <w:sz w:val="20"/>
          <w:szCs w:val="20"/>
          <w:color w:val="auto"/>
        </w:rPr>
        <w:tab/>
      </w:r>
      <w:r>
        <w:rPr>
          <w:rFonts w:ascii="Arial" w:cs="Arial" w:eastAsia="Arial" w:hAnsi="Arial"/>
          <w:sz w:val="12"/>
          <w:szCs w:val="12"/>
          <w:color w:val="auto"/>
        </w:rPr>
        <w:t>Material Agreements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3.13</w:t>
      </w:r>
      <w:r>
        <w:rPr>
          <w:sz w:val="20"/>
          <w:szCs w:val="20"/>
          <w:color w:val="auto"/>
        </w:rPr>
        <w:tab/>
      </w:r>
      <w:r>
        <w:rPr>
          <w:rFonts w:ascii="Arial" w:cs="Arial" w:eastAsia="Arial" w:hAnsi="Arial"/>
          <w:sz w:val="12"/>
          <w:szCs w:val="12"/>
          <w:color w:val="auto"/>
        </w:rPr>
        <w:t>Solvency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3.14</w:t>
      </w:r>
      <w:r>
        <w:rPr>
          <w:sz w:val="20"/>
          <w:szCs w:val="20"/>
          <w:color w:val="auto"/>
        </w:rPr>
        <w:tab/>
      </w:r>
      <w:r>
        <w:rPr>
          <w:rFonts w:ascii="Arial" w:cs="Arial" w:eastAsia="Arial" w:hAnsi="Arial"/>
          <w:sz w:val="11"/>
          <w:szCs w:val="11"/>
          <w:color w:val="auto"/>
        </w:rPr>
        <w:t>Insurance</w:t>
      </w: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5715</wp:posOffset>
            </wp:positionV>
            <wp:extent cx="4286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625" cy="5715"/>
                    </a:xfrm>
                    <a:prstGeom prst="rect">
                      <a:avLst/>
                    </a:prstGeom>
                    <a:noFill/>
                  </pic:spPr>
                </pic:pic>
              </a:graphicData>
            </a:graphic>
          </wp:anchor>
        </w:drawing>
      </w:r>
    </w:p>
    <w:p>
      <w:pPr>
        <w:jc w:val="right"/>
        <w:ind w:right="119"/>
        <w:spacing w:after="0"/>
        <w:rPr>
          <w:sz w:val="20"/>
          <w:szCs w:val="20"/>
          <w:color w:val="auto"/>
        </w:rPr>
      </w:pPr>
      <w:r>
        <w:rPr>
          <w:rFonts w:ascii="Arial" w:cs="Arial" w:eastAsia="Arial" w:hAnsi="Arial"/>
          <w:sz w:val="13"/>
          <w:szCs w:val="13"/>
          <w:color w:val="auto"/>
        </w:rPr>
        <w:t>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28</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29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29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29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29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30</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30</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30</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39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49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57</w:t>
      </w:r>
    </w:p>
    <w:p>
      <w:pPr>
        <w:sectPr>
          <w:pgSz w:w="11900" w:h="16838" w:orient="portrait"/>
          <w:cols w:equalWidth="0" w:num="2">
            <w:col w:w="7700" w:space="720"/>
            <w:col w:w="599"/>
          </w:cols>
          <w:pgMar w:left="1440" w:top="464" w:right="1440" w:bottom="1440" w:gutter="0" w:footer="0" w:header="0"/>
        </w:sectPr>
      </w:pPr>
    </w:p>
    <w:bookmarkStart w:id="53" w:name="page54"/>
    <w:bookmarkEnd w:id="53"/>
    <w:p>
      <w:pPr>
        <w:spacing w:after="0" w:line="8"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3.15</w:t>
      </w:r>
      <w:r>
        <w:rPr>
          <w:sz w:val="20"/>
          <w:szCs w:val="20"/>
          <w:color w:val="auto"/>
        </w:rPr>
        <w:tab/>
      </w:r>
      <w:r>
        <w:rPr>
          <w:rFonts w:ascii="Arial" w:cs="Arial" w:eastAsia="Arial" w:hAnsi="Arial"/>
          <w:sz w:val="12"/>
          <w:szCs w:val="12"/>
          <w:color w:val="auto"/>
        </w:rPr>
        <w:t>Capitalization and Subsidiaries</w:t>
      </w:r>
    </w:p>
    <w:p>
      <w:pPr>
        <w:ind w:left="300"/>
        <w:spacing w:after="0"/>
        <w:tabs>
          <w:tab w:leader="none" w:pos="1340" w:val="left"/>
        </w:tabs>
        <w:rPr>
          <w:sz w:val="20"/>
          <w:szCs w:val="20"/>
          <w:color w:val="auto"/>
        </w:rPr>
      </w:pPr>
      <w:r>
        <w:rPr>
          <w:rFonts w:ascii="Arial" w:cs="Arial" w:eastAsia="Arial" w:hAnsi="Arial"/>
          <w:sz w:val="13"/>
          <w:szCs w:val="13"/>
          <w:color w:val="010000"/>
        </w:rPr>
        <w:t>SECTION 3.16</w:t>
      </w:r>
      <w:r>
        <w:rPr>
          <w:sz w:val="20"/>
          <w:szCs w:val="20"/>
          <w:color w:val="auto"/>
        </w:rPr>
        <w:tab/>
      </w:r>
      <w:r>
        <w:rPr>
          <w:rFonts w:ascii="Arial" w:cs="Arial" w:eastAsia="Arial" w:hAnsi="Arial"/>
          <w:sz w:val="12"/>
          <w:szCs w:val="12"/>
          <w:color w:val="auto"/>
        </w:rPr>
        <w:t>Security Interest in Collateral</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3.17</w:t>
      </w:r>
      <w:r>
        <w:rPr>
          <w:sz w:val="20"/>
          <w:szCs w:val="20"/>
          <w:color w:val="auto"/>
        </w:rPr>
        <w:tab/>
      </w:r>
      <w:r>
        <w:rPr>
          <w:rFonts w:ascii="Arial" w:cs="Arial" w:eastAsia="Arial" w:hAnsi="Arial"/>
          <w:sz w:val="12"/>
          <w:szCs w:val="12"/>
          <w:color w:val="auto"/>
        </w:rPr>
        <w:t>Employment Matters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3.18</w:t>
      </w:r>
      <w:r>
        <w:rPr>
          <w:sz w:val="20"/>
          <w:szCs w:val="20"/>
          <w:color w:val="auto"/>
        </w:rPr>
        <w:tab/>
      </w:r>
      <w:r>
        <w:rPr>
          <w:rFonts w:ascii="Arial" w:cs="Arial" w:eastAsia="Arial" w:hAnsi="Arial"/>
          <w:sz w:val="11"/>
          <w:szCs w:val="11"/>
          <w:color w:val="auto"/>
        </w:rPr>
        <w:t>Federal Reserve Regulations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3.19</w:t>
      </w:r>
      <w:r>
        <w:rPr>
          <w:sz w:val="20"/>
          <w:szCs w:val="20"/>
          <w:color w:val="auto"/>
        </w:rPr>
        <w:tab/>
      </w:r>
      <w:r>
        <w:rPr>
          <w:rFonts w:ascii="Arial" w:cs="Arial" w:eastAsia="Arial" w:hAnsi="Arial"/>
          <w:sz w:val="11"/>
          <w:szCs w:val="11"/>
          <w:color w:val="auto"/>
        </w:rPr>
        <w:t>Use of Proceeds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3.20</w:t>
      </w:r>
      <w:r>
        <w:rPr>
          <w:sz w:val="20"/>
          <w:szCs w:val="20"/>
          <w:color w:val="auto"/>
        </w:rPr>
        <w:tab/>
      </w:r>
      <w:r>
        <w:rPr>
          <w:rFonts w:ascii="Arial" w:cs="Arial" w:eastAsia="Arial" w:hAnsi="Arial"/>
          <w:sz w:val="12"/>
          <w:szCs w:val="12"/>
          <w:color w:val="auto"/>
        </w:rPr>
        <w:t>No Burdensome Restrictions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3.21</w:t>
      </w:r>
      <w:r>
        <w:rPr>
          <w:sz w:val="20"/>
          <w:szCs w:val="20"/>
          <w:color w:val="auto"/>
        </w:rPr>
        <w:tab/>
      </w:r>
      <w:r>
        <w:rPr>
          <w:rFonts w:ascii="Arial" w:cs="Arial" w:eastAsia="Arial" w:hAnsi="Arial"/>
          <w:sz w:val="12"/>
          <w:szCs w:val="12"/>
          <w:color w:val="auto"/>
        </w:rPr>
        <w:t>Anti-Corruption Laws and Sanctions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3.22</w:t>
      </w:r>
      <w:r>
        <w:rPr>
          <w:sz w:val="20"/>
          <w:szCs w:val="20"/>
          <w:color w:val="auto"/>
        </w:rPr>
        <w:tab/>
      </w:r>
      <w:r>
        <w:rPr>
          <w:rFonts w:ascii="Arial" w:cs="Arial" w:eastAsia="Arial" w:hAnsi="Arial"/>
          <w:sz w:val="12"/>
          <w:szCs w:val="12"/>
          <w:color w:val="auto"/>
        </w:rPr>
        <w:t>EEA Financial Institutions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IV </w:t>
      </w:r>
      <w:r>
        <w:rPr>
          <w:rFonts w:ascii="Arial" w:cs="Arial" w:eastAsia="Arial" w:hAnsi="Arial"/>
          <w:sz w:val="13"/>
          <w:szCs w:val="13"/>
          <w:color w:val="000000"/>
        </w:rPr>
        <w:t>Conditions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4.01</w:t>
      </w:r>
      <w:r>
        <w:rPr>
          <w:sz w:val="20"/>
          <w:szCs w:val="20"/>
          <w:color w:val="auto"/>
        </w:rPr>
        <w:tab/>
      </w:r>
      <w:r>
        <w:rPr>
          <w:rFonts w:ascii="Arial" w:cs="Arial" w:eastAsia="Arial" w:hAnsi="Arial"/>
          <w:sz w:val="12"/>
          <w:szCs w:val="12"/>
          <w:color w:val="auto"/>
        </w:rPr>
        <w:t>Effective Date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4.02</w:t>
      </w:r>
      <w:r>
        <w:rPr>
          <w:sz w:val="20"/>
          <w:szCs w:val="20"/>
          <w:color w:val="auto"/>
        </w:rPr>
        <w:tab/>
      </w:r>
      <w:r>
        <w:rPr>
          <w:rFonts w:ascii="Arial" w:cs="Arial" w:eastAsia="Arial" w:hAnsi="Arial"/>
          <w:sz w:val="12"/>
          <w:szCs w:val="12"/>
          <w:color w:val="auto"/>
        </w:rPr>
        <w:t>Each Credit Event</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V </w:t>
      </w:r>
      <w:r>
        <w:rPr>
          <w:rFonts w:ascii="Arial" w:cs="Arial" w:eastAsia="Arial" w:hAnsi="Arial"/>
          <w:sz w:val="13"/>
          <w:szCs w:val="13"/>
          <w:color w:val="000000"/>
        </w:rPr>
        <w:t>Affirmative Covenants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5.01</w:t>
      </w:r>
      <w:r>
        <w:rPr>
          <w:sz w:val="20"/>
          <w:szCs w:val="20"/>
          <w:color w:val="auto"/>
        </w:rPr>
        <w:tab/>
      </w:r>
      <w:r>
        <w:rPr>
          <w:rFonts w:ascii="Arial" w:cs="Arial" w:eastAsia="Arial" w:hAnsi="Arial"/>
          <w:sz w:val="12"/>
          <w:szCs w:val="12"/>
          <w:color w:val="auto"/>
        </w:rPr>
        <w:t>Financial Statements and Other Information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5.02</w:t>
      </w:r>
      <w:r>
        <w:rPr>
          <w:sz w:val="20"/>
          <w:szCs w:val="20"/>
          <w:color w:val="auto"/>
        </w:rPr>
        <w:tab/>
      </w:r>
      <w:r>
        <w:rPr>
          <w:rFonts w:ascii="Arial" w:cs="Arial" w:eastAsia="Arial" w:hAnsi="Arial"/>
          <w:sz w:val="12"/>
          <w:szCs w:val="12"/>
          <w:color w:val="auto"/>
        </w:rPr>
        <w:t>Notices of Material Events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5.03</w:t>
      </w:r>
      <w:r>
        <w:rPr>
          <w:sz w:val="20"/>
          <w:szCs w:val="20"/>
          <w:color w:val="auto"/>
        </w:rPr>
        <w:tab/>
      </w:r>
      <w:r>
        <w:rPr>
          <w:rFonts w:ascii="Arial" w:cs="Arial" w:eastAsia="Arial" w:hAnsi="Arial"/>
          <w:sz w:val="12"/>
          <w:szCs w:val="12"/>
          <w:color w:val="auto"/>
        </w:rPr>
        <w:t>Existence; Conduct of Business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5.04</w:t>
      </w:r>
      <w:r>
        <w:rPr>
          <w:sz w:val="20"/>
          <w:szCs w:val="20"/>
          <w:color w:val="auto"/>
        </w:rPr>
        <w:tab/>
      </w:r>
      <w:r>
        <w:rPr>
          <w:rFonts w:ascii="Arial" w:cs="Arial" w:eastAsia="Arial" w:hAnsi="Arial"/>
          <w:sz w:val="12"/>
          <w:szCs w:val="12"/>
          <w:color w:val="auto"/>
        </w:rPr>
        <w:t>Payment of Obligations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5.05</w:t>
      </w:r>
      <w:r>
        <w:rPr>
          <w:sz w:val="20"/>
          <w:szCs w:val="20"/>
          <w:color w:val="auto"/>
        </w:rPr>
        <w:tab/>
      </w:r>
      <w:r>
        <w:rPr>
          <w:rFonts w:ascii="Arial" w:cs="Arial" w:eastAsia="Arial" w:hAnsi="Arial"/>
          <w:sz w:val="12"/>
          <w:szCs w:val="12"/>
          <w:color w:val="auto"/>
        </w:rPr>
        <w:t>Maintenance of Properties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5.06</w:t>
      </w:r>
      <w:r>
        <w:rPr>
          <w:sz w:val="20"/>
          <w:szCs w:val="20"/>
          <w:color w:val="auto"/>
        </w:rPr>
        <w:tab/>
      </w:r>
      <w:r>
        <w:rPr>
          <w:rFonts w:ascii="Arial" w:cs="Arial" w:eastAsia="Arial" w:hAnsi="Arial"/>
          <w:sz w:val="12"/>
          <w:szCs w:val="12"/>
          <w:color w:val="auto"/>
        </w:rPr>
        <w:t>Books and Records; Inspection Rights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5.07</w:t>
      </w:r>
      <w:r>
        <w:rPr>
          <w:sz w:val="20"/>
          <w:szCs w:val="20"/>
          <w:color w:val="auto"/>
        </w:rPr>
        <w:tab/>
      </w:r>
      <w:r>
        <w:rPr>
          <w:rFonts w:ascii="Arial" w:cs="Arial" w:eastAsia="Arial" w:hAnsi="Arial"/>
          <w:sz w:val="12"/>
          <w:szCs w:val="12"/>
          <w:color w:val="auto"/>
        </w:rPr>
        <w:t>Compliance with Laws and Material Contractual Obligations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5.08</w:t>
      </w:r>
      <w:r>
        <w:rPr>
          <w:sz w:val="20"/>
          <w:szCs w:val="20"/>
          <w:color w:val="auto"/>
        </w:rPr>
        <w:tab/>
      </w:r>
      <w:r>
        <w:rPr>
          <w:rFonts w:ascii="Arial" w:cs="Arial" w:eastAsia="Arial" w:hAnsi="Arial"/>
          <w:sz w:val="11"/>
          <w:szCs w:val="11"/>
          <w:color w:val="auto"/>
        </w:rPr>
        <w:t>Use of Proceeds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5.09</w:t>
      </w:r>
      <w:r>
        <w:rPr>
          <w:sz w:val="20"/>
          <w:szCs w:val="20"/>
          <w:color w:val="auto"/>
        </w:rPr>
        <w:tab/>
      </w:r>
      <w:r>
        <w:rPr>
          <w:rFonts w:ascii="Arial" w:cs="Arial" w:eastAsia="Arial" w:hAnsi="Arial"/>
          <w:sz w:val="12"/>
          <w:szCs w:val="12"/>
          <w:color w:val="auto"/>
        </w:rPr>
        <w:t>Accuracy of Information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5.10</w:t>
      </w:r>
      <w:r>
        <w:rPr>
          <w:sz w:val="20"/>
          <w:szCs w:val="20"/>
          <w:color w:val="auto"/>
        </w:rPr>
        <w:tab/>
      </w:r>
      <w:r>
        <w:rPr>
          <w:rFonts w:ascii="Arial" w:cs="Arial" w:eastAsia="Arial" w:hAnsi="Arial"/>
          <w:sz w:val="11"/>
          <w:szCs w:val="11"/>
          <w:color w:val="auto"/>
        </w:rPr>
        <w:t>Insurance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5.11</w:t>
      </w:r>
      <w:r>
        <w:rPr>
          <w:sz w:val="20"/>
          <w:szCs w:val="20"/>
          <w:color w:val="auto"/>
        </w:rPr>
        <w:tab/>
      </w:r>
      <w:r>
        <w:rPr>
          <w:rFonts w:ascii="Arial" w:cs="Arial" w:eastAsia="Arial" w:hAnsi="Arial"/>
          <w:sz w:val="11"/>
          <w:szCs w:val="11"/>
          <w:color w:val="auto"/>
        </w:rPr>
        <w:t>Reserved</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5.12</w:t>
      </w:r>
      <w:r>
        <w:rPr>
          <w:sz w:val="20"/>
          <w:szCs w:val="20"/>
          <w:color w:val="auto"/>
        </w:rPr>
        <w:tab/>
      </w:r>
      <w:r>
        <w:rPr>
          <w:rFonts w:ascii="Arial" w:cs="Arial" w:eastAsia="Arial" w:hAnsi="Arial"/>
          <w:sz w:val="12"/>
          <w:szCs w:val="12"/>
          <w:color w:val="auto"/>
        </w:rPr>
        <w:t>Casualty and Condemnation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5.13</w:t>
      </w:r>
      <w:r>
        <w:rPr>
          <w:sz w:val="20"/>
          <w:szCs w:val="20"/>
          <w:color w:val="auto"/>
        </w:rPr>
        <w:tab/>
      </w:r>
      <w:r>
        <w:rPr>
          <w:rFonts w:ascii="Arial" w:cs="Arial" w:eastAsia="Arial" w:hAnsi="Arial"/>
          <w:sz w:val="12"/>
          <w:szCs w:val="12"/>
          <w:color w:val="auto"/>
        </w:rPr>
        <w:t>Depository Banks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5.14</w:t>
      </w:r>
      <w:r>
        <w:rPr>
          <w:sz w:val="20"/>
          <w:szCs w:val="20"/>
          <w:color w:val="auto"/>
        </w:rPr>
        <w:tab/>
      </w:r>
      <w:r>
        <w:rPr>
          <w:rFonts w:ascii="Arial" w:cs="Arial" w:eastAsia="Arial" w:hAnsi="Arial"/>
          <w:sz w:val="12"/>
          <w:szCs w:val="12"/>
          <w:color w:val="auto"/>
        </w:rPr>
        <w:t>Additional Collateral; Further Assurances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5.15</w:t>
      </w:r>
      <w:r>
        <w:rPr>
          <w:sz w:val="20"/>
          <w:szCs w:val="20"/>
          <w:color w:val="auto"/>
        </w:rPr>
        <w:tab/>
      </w:r>
      <w:r>
        <w:rPr>
          <w:rFonts w:ascii="Arial" w:cs="Arial" w:eastAsia="Arial" w:hAnsi="Arial"/>
          <w:sz w:val="12"/>
          <w:szCs w:val="12"/>
          <w:color w:val="auto"/>
        </w:rPr>
        <w:t>Post-Closing Matters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VI </w:t>
      </w:r>
      <w:r>
        <w:rPr>
          <w:rFonts w:ascii="Arial" w:cs="Arial" w:eastAsia="Arial" w:hAnsi="Arial"/>
          <w:sz w:val="13"/>
          <w:szCs w:val="13"/>
          <w:color w:val="000000"/>
        </w:rPr>
        <w:t>Negative Covenants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6.01</w:t>
      </w:r>
      <w:r>
        <w:rPr>
          <w:sz w:val="20"/>
          <w:szCs w:val="20"/>
          <w:color w:val="auto"/>
        </w:rPr>
        <w:tab/>
      </w:r>
      <w:r>
        <w:rPr>
          <w:rFonts w:ascii="Arial" w:cs="Arial" w:eastAsia="Arial" w:hAnsi="Arial"/>
          <w:sz w:val="11"/>
          <w:szCs w:val="11"/>
          <w:color w:val="auto"/>
        </w:rPr>
        <w:t>Indebtedness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6.02</w:t>
      </w:r>
      <w:r>
        <w:rPr>
          <w:sz w:val="20"/>
          <w:szCs w:val="20"/>
          <w:color w:val="auto"/>
        </w:rPr>
        <w:tab/>
      </w:r>
      <w:r>
        <w:rPr>
          <w:rFonts w:ascii="Arial" w:cs="Arial" w:eastAsia="Arial" w:hAnsi="Arial"/>
          <w:sz w:val="12"/>
          <w:szCs w:val="12"/>
          <w:color w:val="auto"/>
        </w:rPr>
        <w:t>Liens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6.03</w:t>
      </w:r>
      <w:r>
        <w:rPr>
          <w:sz w:val="20"/>
          <w:szCs w:val="20"/>
          <w:color w:val="auto"/>
        </w:rPr>
        <w:tab/>
      </w:r>
      <w:r>
        <w:rPr>
          <w:rFonts w:ascii="Arial" w:cs="Arial" w:eastAsia="Arial" w:hAnsi="Arial"/>
          <w:sz w:val="11"/>
          <w:szCs w:val="11"/>
          <w:color w:val="auto"/>
        </w:rPr>
        <w:t>Fundamental Changes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6.04</w:t>
      </w:r>
      <w:r>
        <w:rPr>
          <w:sz w:val="20"/>
          <w:szCs w:val="20"/>
          <w:color w:val="auto"/>
        </w:rPr>
        <w:tab/>
      </w:r>
      <w:r>
        <w:rPr>
          <w:rFonts w:ascii="Arial" w:cs="Arial" w:eastAsia="Arial" w:hAnsi="Arial"/>
          <w:sz w:val="12"/>
          <w:szCs w:val="12"/>
          <w:color w:val="auto"/>
        </w:rPr>
        <w:t>Investments, Loans, Advances, Guarantees and Acquisitions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6.05</w:t>
      </w:r>
      <w:r>
        <w:rPr>
          <w:sz w:val="20"/>
          <w:szCs w:val="20"/>
          <w:color w:val="auto"/>
        </w:rPr>
        <w:tab/>
      </w:r>
      <w:r>
        <w:rPr>
          <w:rFonts w:ascii="Arial" w:cs="Arial" w:eastAsia="Arial" w:hAnsi="Arial"/>
          <w:sz w:val="11"/>
          <w:szCs w:val="11"/>
          <w:color w:val="auto"/>
        </w:rPr>
        <w:t>Asset Sales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6.06</w:t>
      </w:r>
      <w:r>
        <w:rPr>
          <w:sz w:val="20"/>
          <w:szCs w:val="20"/>
          <w:color w:val="auto"/>
        </w:rPr>
        <w:tab/>
      </w:r>
      <w:r>
        <w:rPr>
          <w:rFonts w:ascii="Arial" w:cs="Arial" w:eastAsia="Arial" w:hAnsi="Arial"/>
          <w:sz w:val="11"/>
          <w:szCs w:val="11"/>
          <w:color w:val="auto"/>
        </w:rPr>
        <w:t>Sale and Leaseback Transactions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6.07</w:t>
      </w:r>
      <w:r>
        <w:rPr>
          <w:sz w:val="20"/>
          <w:szCs w:val="20"/>
          <w:color w:val="auto"/>
        </w:rPr>
        <w:tab/>
      </w:r>
      <w:r>
        <w:rPr>
          <w:rFonts w:ascii="Arial" w:cs="Arial" w:eastAsia="Arial" w:hAnsi="Arial"/>
          <w:sz w:val="11"/>
          <w:szCs w:val="11"/>
          <w:color w:val="auto"/>
        </w:rPr>
        <w:t>Swap Agreements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6.08</w:t>
      </w:r>
      <w:r>
        <w:rPr>
          <w:sz w:val="20"/>
          <w:szCs w:val="20"/>
          <w:color w:val="auto"/>
        </w:rPr>
        <w:tab/>
      </w:r>
      <w:r>
        <w:rPr>
          <w:rFonts w:ascii="Arial" w:cs="Arial" w:eastAsia="Arial" w:hAnsi="Arial"/>
          <w:sz w:val="11"/>
          <w:szCs w:val="11"/>
          <w:color w:val="auto"/>
        </w:rPr>
        <w:t>Restricted Payments; Certain Payments of Indebtedness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6.09</w:t>
      </w:r>
      <w:r>
        <w:rPr>
          <w:sz w:val="20"/>
          <w:szCs w:val="20"/>
          <w:color w:val="auto"/>
        </w:rPr>
        <w:tab/>
      </w:r>
      <w:r>
        <w:rPr>
          <w:rFonts w:ascii="Arial" w:cs="Arial" w:eastAsia="Arial" w:hAnsi="Arial"/>
          <w:sz w:val="12"/>
          <w:szCs w:val="12"/>
          <w:color w:val="auto"/>
        </w:rPr>
        <w:t>Transactions with Affiliates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6.10</w:t>
      </w:r>
      <w:r>
        <w:rPr>
          <w:sz w:val="20"/>
          <w:szCs w:val="20"/>
          <w:color w:val="auto"/>
        </w:rPr>
        <w:tab/>
      </w:r>
      <w:r>
        <w:rPr>
          <w:rFonts w:ascii="Arial" w:cs="Arial" w:eastAsia="Arial" w:hAnsi="Arial"/>
          <w:sz w:val="12"/>
          <w:szCs w:val="12"/>
          <w:color w:val="auto"/>
        </w:rPr>
        <w:t>Restrictive Agreements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6.11</w:t>
      </w:r>
      <w:r>
        <w:rPr>
          <w:sz w:val="20"/>
          <w:szCs w:val="20"/>
          <w:color w:val="auto"/>
        </w:rPr>
        <w:tab/>
      </w:r>
      <w:r>
        <w:rPr>
          <w:rFonts w:ascii="Arial" w:cs="Arial" w:eastAsia="Arial" w:hAnsi="Arial"/>
          <w:sz w:val="12"/>
          <w:szCs w:val="12"/>
          <w:color w:val="auto"/>
        </w:rPr>
        <w:t>Amendment of Material Documents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6.12</w:t>
      </w:r>
      <w:r>
        <w:rPr>
          <w:sz w:val="20"/>
          <w:szCs w:val="20"/>
          <w:color w:val="auto"/>
        </w:rPr>
        <w:tab/>
      </w:r>
      <w:r>
        <w:rPr>
          <w:rFonts w:ascii="Arial" w:cs="Arial" w:eastAsia="Arial" w:hAnsi="Arial"/>
          <w:sz w:val="12"/>
          <w:szCs w:val="12"/>
          <w:color w:val="auto"/>
        </w:rPr>
        <w:t>Financial Covenants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VII </w:t>
      </w:r>
      <w:r>
        <w:rPr>
          <w:rFonts w:ascii="Arial" w:cs="Arial" w:eastAsia="Arial" w:hAnsi="Arial"/>
          <w:sz w:val="13"/>
          <w:szCs w:val="13"/>
          <w:color w:val="000000"/>
        </w:rPr>
        <w:t>Events of Default</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VIII </w:t>
      </w:r>
      <w:r>
        <w:rPr>
          <w:rFonts w:ascii="Arial" w:cs="Arial" w:eastAsia="Arial" w:hAnsi="Arial"/>
          <w:sz w:val="13"/>
          <w:szCs w:val="13"/>
          <w:color w:val="000000"/>
        </w:rPr>
        <w:t>The Administrative Agent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8.01</w:t>
      </w:r>
      <w:r>
        <w:rPr>
          <w:sz w:val="20"/>
          <w:szCs w:val="20"/>
          <w:color w:val="auto"/>
        </w:rPr>
        <w:tab/>
      </w:r>
      <w:r>
        <w:rPr>
          <w:rFonts w:ascii="Arial" w:cs="Arial" w:eastAsia="Arial" w:hAnsi="Arial"/>
          <w:sz w:val="12"/>
          <w:szCs w:val="12"/>
          <w:color w:val="auto"/>
        </w:rPr>
        <w:t>Appointment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8.02</w:t>
      </w:r>
      <w:r>
        <w:rPr>
          <w:sz w:val="20"/>
          <w:szCs w:val="20"/>
          <w:color w:val="auto"/>
        </w:rPr>
        <w:tab/>
      </w:r>
      <w:r>
        <w:rPr>
          <w:rFonts w:ascii="Arial" w:cs="Arial" w:eastAsia="Arial" w:hAnsi="Arial"/>
          <w:sz w:val="11"/>
          <w:szCs w:val="11"/>
          <w:color w:val="auto"/>
        </w:rPr>
        <w:t>Rights as a Lender</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8.03</w:t>
      </w:r>
      <w:r>
        <w:rPr>
          <w:sz w:val="20"/>
          <w:szCs w:val="20"/>
          <w:color w:val="auto"/>
        </w:rPr>
        <w:tab/>
      </w:r>
      <w:r>
        <w:rPr>
          <w:rFonts w:ascii="Arial" w:cs="Arial" w:eastAsia="Arial" w:hAnsi="Arial"/>
          <w:sz w:val="12"/>
          <w:szCs w:val="12"/>
          <w:color w:val="auto"/>
        </w:rPr>
        <w:t>Duties and Obligations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8.04</w:t>
      </w:r>
      <w:r>
        <w:rPr>
          <w:sz w:val="20"/>
          <w:szCs w:val="20"/>
          <w:color w:val="auto"/>
        </w:rPr>
        <w:tab/>
      </w:r>
      <w:r>
        <w:rPr>
          <w:rFonts w:ascii="Arial" w:cs="Arial" w:eastAsia="Arial" w:hAnsi="Arial"/>
          <w:sz w:val="12"/>
          <w:szCs w:val="12"/>
          <w:color w:val="auto"/>
        </w:rPr>
        <w:t>Reliance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8.05</w:t>
      </w:r>
      <w:r>
        <w:rPr>
          <w:sz w:val="20"/>
          <w:szCs w:val="20"/>
          <w:color w:val="auto"/>
        </w:rPr>
        <w:tab/>
      </w:r>
      <w:r>
        <w:rPr>
          <w:rFonts w:ascii="Arial" w:cs="Arial" w:eastAsia="Arial" w:hAnsi="Arial"/>
          <w:sz w:val="12"/>
          <w:szCs w:val="12"/>
          <w:color w:val="auto"/>
        </w:rPr>
        <w:t>Actions through Sub-Agents</w:t>
      </w:r>
    </w:p>
    <w:p>
      <w:pPr>
        <w:spacing w:after="0" w:line="284"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57</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57</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61</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62</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62</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69</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70</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71</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72</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78</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79</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79</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79</w:t>
      </w:r>
    </w:p>
    <w:p>
      <w:pPr>
        <w:sectPr>
          <w:pgSz w:w="11900" w:h="16838" w:orient="portrait"/>
          <w:cols w:equalWidth="0" w:num="2">
            <w:col w:w="8040" w:space="720"/>
            <w:col w:w="259"/>
          </w:cols>
          <w:pgMar w:left="1440" w:top="337" w:right="1440" w:bottom="1440" w:gutter="0" w:footer="0" w:header="0"/>
        </w:sectPr>
      </w:pPr>
    </w:p>
    <w:bookmarkStart w:id="54" w:name="page55"/>
    <w:bookmarkEnd w:id="54"/>
    <w:p>
      <w:pPr>
        <w:spacing w:after="0" w:line="8"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8.06</w:t>
      </w:r>
      <w:r>
        <w:rPr>
          <w:sz w:val="20"/>
          <w:szCs w:val="20"/>
          <w:color w:val="auto"/>
        </w:rPr>
        <w:tab/>
      </w:r>
      <w:r>
        <w:rPr>
          <w:rFonts w:ascii="Arial" w:cs="Arial" w:eastAsia="Arial" w:hAnsi="Arial"/>
          <w:sz w:val="12"/>
          <w:szCs w:val="12"/>
          <w:color w:val="auto"/>
        </w:rPr>
        <w:t>Resignation</w:t>
      </w:r>
    </w:p>
    <w:p>
      <w:pPr>
        <w:ind w:left="300"/>
        <w:spacing w:after="0"/>
        <w:tabs>
          <w:tab w:leader="none" w:pos="1340" w:val="left"/>
        </w:tabs>
        <w:rPr>
          <w:sz w:val="20"/>
          <w:szCs w:val="20"/>
          <w:color w:val="auto"/>
        </w:rPr>
      </w:pPr>
      <w:r>
        <w:rPr>
          <w:rFonts w:ascii="Arial" w:cs="Arial" w:eastAsia="Arial" w:hAnsi="Arial"/>
          <w:sz w:val="13"/>
          <w:szCs w:val="13"/>
          <w:color w:val="010000"/>
        </w:rPr>
        <w:t>SECTION 8.07</w:t>
      </w:r>
      <w:r>
        <w:rPr>
          <w:sz w:val="20"/>
          <w:szCs w:val="20"/>
          <w:color w:val="auto"/>
        </w:rPr>
        <w:tab/>
      </w:r>
      <w:r>
        <w:rPr>
          <w:rFonts w:ascii="Arial" w:cs="Arial" w:eastAsia="Arial" w:hAnsi="Arial"/>
          <w:sz w:val="12"/>
          <w:szCs w:val="12"/>
          <w:color w:val="auto"/>
        </w:rPr>
        <w:t>Non-Reliance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8.08</w:t>
      </w:r>
      <w:r>
        <w:rPr>
          <w:sz w:val="20"/>
          <w:szCs w:val="20"/>
          <w:color w:val="auto"/>
        </w:rPr>
        <w:tab/>
      </w:r>
      <w:r>
        <w:rPr>
          <w:rFonts w:ascii="Arial" w:cs="Arial" w:eastAsia="Arial" w:hAnsi="Arial"/>
          <w:sz w:val="12"/>
          <w:szCs w:val="12"/>
          <w:color w:val="auto"/>
        </w:rPr>
        <w:t>Other Agency Titles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8.09</w:t>
      </w:r>
      <w:r>
        <w:rPr>
          <w:sz w:val="20"/>
          <w:szCs w:val="20"/>
          <w:color w:val="auto"/>
        </w:rPr>
        <w:tab/>
      </w:r>
      <w:r>
        <w:rPr>
          <w:rFonts w:ascii="Arial" w:cs="Arial" w:eastAsia="Arial" w:hAnsi="Arial"/>
          <w:sz w:val="12"/>
          <w:szCs w:val="12"/>
          <w:color w:val="auto"/>
        </w:rPr>
        <w:t>Not Partners or Co-Venturers; Administrative Agent as Representative of the Secured Parties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8.10</w:t>
      </w:r>
      <w:r>
        <w:rPr>
          <w:sz w:val="20"/>
          <w:szCs w:val="20"/>
          <w:color w:val="auto"/>
        </w:rPr>
        <w:tab/>
      </w:r>
      <w:r>
        <w:rPr>
          <w:rFonts w:ascii="Arial" w:cs="Arial" w:eastAsia="Arial" w:hAnsi="Arial"/>
          <w:sz w:val="12"/>
          <w:szCs w:val="12"/>
          <w:color w:val="auto"/>
        </w:rPr>
        <w:t>Credit Bidding</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IX </w:t>
      </w:r>
      <w:r>
        <w:rPr>
          <w:rFonts w:ascii="Arial" w:cs="Arial" w:eastAsia="Arial" w:hAnsi="Arial"/>
          <w:sz w:val="13"/>
          <w:szCs w:val="13"/>
          <w:color w:val="000000"/>
        </w:rPr>
        <w:t>Miscellaneous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9.01</w:t>
      </w:r>
      <w:r>
        <w:rPr>
          <w:sz w:val="20"/>
          <w:szCs w:val="20"/>
          <w:color w:val="auto"/>
        </w:rPr>
        <w:tab/>
      </w:r>
      <w:r>
        <w:rPr>
          <w:rFonts w:ascii="Arial" w:cs="Arial" w:eastAsia="Arial" w:hAnsi="Arial"/>
          <w:sz w:val="12"/>
          <w:szCs w:val="12"/>
          <w:color w:val="auto"/>
        </w:rPr>
        <w:t>Notices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9.02</w:t>
      </w:r>
      <w:r>
        <w:rPr>
          <w:sz w:val="20"/>
          <w:szCs w:val="20"/>
          <w:color w:val="auto"/>
        </w:rPr>
        <w:tab/>
      </w:r>
      <w:r>
        <w:rPr>
          <w:rFonts w:ascii="Arial" w:cs="Arial" w:eastAsia="Arial" w:hAnsi="Arial"/>
          <w:sz w:val="12"/>
          <w:szCs w:val="12"/>
          <w:color w:val="auto"/>
        </w:rPr>
        <w:t>Waivers; Amendments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9.03</w:t>
      </w:r>
      <w:r>
        <w:rPr>
          <w:sz w:val="20"/>
          <w:szCs w:val="20"/>
          <w:color w:val="auto"/>
        </w:rPr>
        <w:tab/>
      </w:r>
      <w:r>
        <w:rPr>
          <w:rFonts w:ascii="Arial" w:cs="Arial" w:eastAsia="Arial" w:hAnsi="Arial"/>
          <w:sz w:val="12"/>
          <w:szCs w:val="12"/>
          <w:color w:val="auto"/>
        </w:rPr>
        <w:t>Expenses; Indemnity; Damage Waiver</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9.04</w:t>
      </w:r>
      <w:r>
        <w:rPr>
          <w:sz w:val="20"/>
          <w:szCs w:val="20"/>
          <w:color w:val="auto"/>
        </w:rPr>
        <w:tab/>
      </w:r>
      <w:r>
        <w:rPr>
          <w:rFonts w:ascii="Arial" w:cs="Arial" w:eastAsia="Arial" w:hAnsi="Arial"/>
          <w:sz w:val="11"/>
          <w:szCs w:val="11"/>
          <w:color w:val="auto"/>
        </w:rPr>
        <w:t>Successors and Assigns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9.05</w:t>
      </w:r>
      <w:r>
        <w:rPr>
          <w:sz w:val="20"/>
          <w:szCs w:val="20"/>
          <w:color w:val="auto"/>
        </w:rPr>
        <w:tab/>
      </w:r>
      <w:r>
        <w:rPr>
          <w:rFonts w:ascii="Arial" w:cs="Arial" w:eastAsia="Arial" w:hAnsi="Arial"/>
          <w:sz w:val="12"/>
          <w:szCs w:val="12"/>
          <w:color w:val="auto"/>
        </w:rPr>
        <w:t>Survival</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9.06</w:t>
      </w:r>
      <w:r>
        <w:rPr>
          <w:sz w:val="20"/>
          <w:szCs w:val="20"/>
          <w:color w:val="auto"/>
        </w:rPr>
        <w:tab/>
      </w:r>
      <w:r>
        <w:rPr>
          <w:rFonts w:ascii="Arial" w:cs="Arial" w:eastAsia="Arial" w:hAnsi="Arial"/>
          <w:sz w:val="12"/>
          <w:szCs w:val="12"/>
          <w:color w:val="auto"/>
        </w:rPr>
        <w:t>Counterparts; Integration; Effectiveness; Electronic Execution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9.07</w:t>
      </w:r>
      <w:r>
        <w:rPr>
          <w:sz w:val="20"/>
          <w:szCs w:val="20"/>
          <w:color w:val="auto"/>
        </w:rPr>
        <w:tab/>
      </w:r>
      <w:r>
        <w:rPr>
          <w:rFonts w:ascii="Arial" w:cs="Arial" w:eastAsia="Arial" w:hAnsi="Arial"/>
          <w:sz w:val="12"/>
          <w:szCs w:val="12"/>
          <w:color w:val="auto"/>
        </w:rPr>
        <w:t>Severability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9.08</w:t>
      </w:r>
      <w:r>
        <w:rPr>
          <w:sz w:val="20"/>
          <w:szCs w:val="20"/>
          <w:color w:val="auto"/>
        </w:rPr>
        <w:tab/>
      </w:r>
      <w:r>
        <w:rPr>
          <w:rFonts w:ascii="Arial" w:cs="Arial" w:eastAsia="Arial" w:hAnsi="Arial"/>
          <w:sz w:val="12"/>
          <w:szCs w:val="12"/>
          <w:color w:val="auto"/>
        </w:rPr>
        <w:t>Right of Setoff</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9.09</w:t>
      </w:r>
      <w:r>
        <w:rPr>
          <w:sz w:val="20"/>
          <w:szCs w:val="20"/>
          <w:color w:val="auto"/>
        </w:rPr>
        <w:tab/>
      </w:r>
      <w:r>
        <w:rPr>
          <w:rFonts w:ascii="Arial" w:cs="Arial" w:eastAsia="Arial" w:hAnsi="Arial"/>
          <w:sz w:val="12"/>
          <w:szCs w:val="12"/>
          <w:color w:val="auto"/>
        </w:rPr>
        <w:t>Governing Law; Jurisdiction; Consent to Service of Process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9.10</w:t>
      </w:r>
      <w:r>
        <w:rPr>
          <w:sz w:val="20"/>
          <w:szCs w:val="20"/>
          <w:color w:val="auto"/>
        </w:rPr>
        <w:tab/>
      </w:r>
      <w:r>
        <w:rPr>
          <w:rFonts w:ascii="Arial" w:cs="Arial" w:eastAsia="Arial" w:hAnsi="Arial"/>
          <w:sz w:val="13"/>
          <w:szCs w:val="13"/>
          <w:color w:val="auto"/>
        </w:rPr>
        <w:t>WAIVER OF JURY TRIAL</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9.11</w:t>
      </w:r>
      <w:r>
        <w:rPr>
          <w:sz w:val="20"/>
          <w:szCs w:val="20"/>
          <w:color w:val="auto"/>
        </w:rPr>
        <w:tab/>
      </w:r>
      <w:r>
        <w:rPr>
          <w:rFonts w:ascii="Arial" w:cs="Arial" w:eastAsia="Arial" w:hAnsi="Arial"/>
          <w:sz w:val="11"/>
          <w:szCs w:val="11"/>
          <w:color w:val="auto"/>
        </w:rPr>
        <w:t>Headings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9.12</w:t>
      </w:r>
      <w:r>
        <w:rPr>
          <w:sz w:val="20"/>
          <w:szCs w:val="20"/>
          <w:color w:val="auto"/>
        </w:rPr>
        <w:tab/>
      </w:r>
      <w:r>
        <w:rPr>
          <w:rFonts w:ascii="Arial" w:cs="Arial" w:eastAsia="Arial" w:hAnsi="Arial"/>
          <w:sz w:val="13"/>
          <w:szCs w:val="13"/>
          <w:color w:val="auto"/>
        </w:rPr>
        <w:t>Confidentiality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9.13</w:t>
      </w:r>
      <w:r>
        <w:rPr>
          <w:sz w:val="20"/>
          <w:szCs w:val="20"/>
          <w:color w:val="auto"/>
        </w:rPr>
        <w:tab/>
      </w:r>
      <w:r>
        <w:rPr>
          <w:rFonts w:ascii="Arial" w:cs="Arial" w:eastAsia="Arial" w:hAnsi="Arial"/>
          <w:sz w:val="12"/>
          <w:szCs w:val="12"/>
          <w:color w:val="auto"/>
        </w:rPr>
        <w:t>Several Obligations; Nonreliance; Violation of Law</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9.14</w:t>
      </w:r>
      <w:r>
        <w:rPr>
          <w:sz w:val="20"/>
          <w:szCs w:val="20"/>
          <w:color w:val="auto"/>
        </w:rPr>
        <w:tab/>
      </w:r>
      <w:r>
        <w:rPr>
          <w:rFonts w:ascii="Arial" w:cs="Arial" w:eastAsia="Arial" w:hAnsi="Arial"/>
          <w:sz w:val="12"/>
          <w:szCs w:val="12"/>
          <w:color w:val="auto"/>
        </w:rPr>
        <w:t>USA PATRIOT Act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9.15</w:t>
      </w:r>
      <w:r>
        <w:rPr>
          <w:sz w:val="20"/>
          <w:szCs w:val="20"/>
          <w:color w:val="auto"/>
        </w:rPr>
        <w:tab/>
      </w:r>
      <w:r>
        <w:rPr>
          <w:rFonts w:ascii="Arial" w:cs="Arial" w:eastAsia="Arial" w:hAnsi="Arial"/>
          <w:sz w:val="12"/>
          <w:szCs w:val="12"/>
          <w:color w:val="auto"/>
        </w:rPr>
        <w:t>Disclosure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9.16</w:t>
      </w:r>
      <w:r>
        <w:rPr>
          <w:sz w:val="20"/>
          <w:szCs w:val="20"/>
          <w:color w:val="auto"/>
        </w:rPr>
        <w:tab/>
      </w:r>
      <w:r>
        <w:rPr>
          <w:rFonts w:ascii="Arial" w:cs="Arial" w:eastAsia="Arial" w:hAnsi="Arial"/>
          <w:sz w:val="12"/>
          <w:szCs w:val="12"/>
          <w:color w:val="auto"/>
        </w:rPr>
        <w:t>Appointment for Perfection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9.17</w:t>
      </w:r>
      <w:r>
        <w:rPr>
          <w:sz w:val="20"/>
          <w:szCs w:val="20"/>
          <w:color w:val="auto"/>
        </w:rPr>
        <w:tab/>
      </w:r>
      <w:r>
        <w:rPr>
          <w:rFonts w:ascii="Arial" w:cs="Arial" w:eastAsia="Arial" w:hAnsi="Arial"/>
          <w:sz w:val="12"/>
          <w:szCs w:val="12"/>
          <w:color w:val="auto"/>
        </w:rPr>
        <w:t>Interest Rate Limitation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9.18</w:t>
      </w:r>
      <w:r>
        <w:rPr>
          <w:sz w:val="20"/>
          <w:szCs w:val="20"/>
          <w:color w:val="auto"/>
        </w:rPr>
        <w:tab/>
      </w:r>
      <w:r>
        <w:rPr>
          <w:rFonts w:ascii="Arial" w:cs="Arial" w:eastAsia="Arial" w:hAnsi="Arial"/>
          <w:sz w:val="12"/>
          <w:szCs w:val="12"/>
          <w:color w:val="auto"/>
        </w:rPr>
        <w:t>No Fiduciary Duty, etc</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9.19</w:t>
      </w:r>
      <w:r>
        <w:rPr>
          <w:sz w:val="20"/>
          <w:szCs w:val="20"/>
          <w:color w:val="auto"/>
        </w:rPr>
        <w:tab/>
      </w:r>
      <w:r>
        <w:rPr>
          <w:rFonts w:ascii="Arial" w:cs="Arial" w:eastAsia="Arial" w:hAnsi="Arial"/>
          <w:sz w:val="12"/>
          <w:szCs w:val="12"/>
          <w:color w:val="auto"/>
        </w:rPr>
        <w:t>Marketing Consent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9.20</w:t>
      </w:r>
      <w:r>
        <w:rPr>
          <w:sz w:val="20"/>
          <w:szCs w:val="20"/>
          <w:color w:val="auto"/>
        </w:rPr>
        <w:tab/>
      </w:r>
      <w:r>
        <w:rPr>
          <w:rFonts w:ascii="Arial" w:cs="Arial" w:eastAsia="Arial" w:hAnsi="Arial"/>
          <w:sz w:val="12"/>
          <w:szCs w:val="12"/>
          <w:color w:val="auto"/>
        </w:rPr>
        <w:t>Acknowledgement and Consent to Bail-In of EEA Financial Institutions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010000"/>
        </w:rPr>
        <w:t xml:space="preserve">ARTICLE X </w:t>
      </w:r>
      <w:r>
        <w:rPr>
          <w:rFonts w:ascii="Arial" w:cs="Arial" w:eastAsia="Arial" w:hAnsi="Arial"/>
          <w:sz w:val="13"/>
          <w:szCs w:val="13"/>
          <w:color w:val="000000"/>
        </w:rPr>
        <w:t>Loan Guaranty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10.01</w:t>
      </w:r>
      <w:r>
        <w:rPr>
          <w:sz w:val="20"/>
          <w:szCs w:val="20"/>
          <w:color w:val="auto"/>
        </w:rPr>
        <w:tab/>
      </w:r>
      <w:r>
        <w:rPr>
          <w:rFonts w:ascii="Arial" w:cs="Arial" w:eastAsia="Arial" w:hAnsi="Arial"/>
          <w:sz w:val="12"/>
          <w:szCs w:val="12"/>
          <w:color w:val="auto"/>
        </w:rPr>
        <w:t>Guaranty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10.02</w:t>
      </w:r>
      <w:r>
        <w:rPr>
          <w:sz w:val="20"/>
          <w:szCs w:val="20"/>
          <w:color w:val="auto"/>
        </w:rPr>
        <w:tab/>
      </w:r>
      <w:r>
        <w:rPr>
          <w:rFonts w:ascii="Arial" w:cs="Arial" w:eastAsia="Arial" w:hAnsi="Arial"/>
          <w:sz w:val="12"/>
          <w:szCs w:val="12"/>
          <w:color w:val="auto"/>
        </w:rPr>
        <w:t>Guaranty of Payment</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10.03</w:t>
      </w:r>
      <w:r>
        <w:rPr>
          <w:sz w:val="20"/>
          <w:szCs w:val="20"/>
          <w:color w:val="auto"/>
        </w:rPr>
        <w:tab/>
      </w:r>
      <w:r>
        <w:rPr>
          <w:rFonts w:ascii="Arial" w:cs="Arial" w:eastAsia="Arial" w:hAnsi="Arial"/>
          <w:sz w:val="12"/>
          <w:szCs w:val="12"/>
          <w:color w:val="auto"/>
        </w:rPr>
        <w:t>No Discharge or Diminishment of Loan Guaranty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10.04</w:t>
      </w:r>
      <w:r>
        <w:rPr>
          <w:sz w:val="20"/>
          <w:szCs w:val="20"/>
          <w:color w:val="auto"/>
        </w:rPr>
        <w:tab/>
      </w:r>
      <w:r>
        <w:rPr>
          <w:rFonts w:ascii="Arial" w:cs="Arial" w:eastAsia="Arial" w:hAnsi="Arial"/>
          <w:sz w:val="11"/>
          <w:szCs w:val="11"/>
          <w:color w:val="auto"/>
        </w:rPr>
        <w:t>Defenses Waived</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10.05</w:t>
      </w:r>
      <w:r>
        <w:rPr>
          <w:sz w:val="20"/>
          <w:szCs w:val="20"/>
          <w:color w:val="auto"/>
        </w:rPr>
        <w:tab/>
      </w:r>
      <w:r>
        <w:rPr>
          <w:rFonts w:ascii="Arial" w:cs="Arial" w:eastAsia="Arial" w:hAnsi="Arial"/>
          <w:sz w:val="12"/>
          <w:szCs w:val="12"/>
          <w:color w:val="auto"/>
        </w:rPr>
        <w:t>Rights of Subrogation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10.06</w:t>
      </w:r>
      <w:r>
        <w:rPr>
          <w:sz w:val="20"/>
          <w:szCs w:val="20"/>
          <w:color w:val="auto"/>
        </w:rPr>
        <w:tab/>
      </w:r>
      <w:r>
        <w:rPr>
          <w:rFonts w:ascii="Arial" w:cs="Arial" w:eastAsia="Arial" w:hAnsi="Arial"/>
          <w:sz w:val="12"/>
          <w:szCs w:val="12"/>
          <w:color w:val="auto"/>
        </w:rPr>
        <w:t>Reinstatement; Stay of Acceleration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10.07</w:t>
      </w:r>
      <w:r>
        <w:rPr>
          <w:sz w:val="20"/>
          <w:szCs w:val="20"/>
          <w:color w:val="auto"/>
        </w:rPr>
        <w:tab/>
      </w:r>
      <w:r>
        <w:rPr>
          <w:rFonts w:ascii="Arial" w:cs="Arial" w:eastAsia="Arial" w:hAnsi="Arial"/>
          <w:sz w:val="12"/>
          <w:szCs w:val="12"/>
          <w:color w:val="auto"/>
        </w:rPr>
        <w:t>Information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10.08</w:t>
      </w:r>
      <w:r>
        <w:rPr>
          <w:sz w:val="20"/>
          <w:szCs w:val="20"/>
          <w:color w:val="auto"/>
        </w:rPr>
        <w:tab/>
      </w:r>
      <w:r>
        <w:rPr>
          <w:rFonts w:ascii="Arial" w:cs="Arial" w:eastAsia="Arial" w:hAnsi="Arial"/>
          <w:sz w:val="12"/>
          <w:szCs w:val="12"/>
          <w:color w:val="auto"/>
        </w:rPr>
        <w:t>Termination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10.09</w:t>
      </w:r>
      <w:r>
        <w:rPr>
          <w:sz w:val="20"/>
          <w:szCs w:val="20"/>
          <w:color w:val="auto"/>
        </w:rPr>
        <w:tab/>
      </w:r>
      <w:r>
        <w:rPr>
          <w:rFonts w:ascii="Arial" w:cs="Arial" w:eastAsia="Arial" w:hAnsi="Arial"/>
          <w:sz w:val="11"/>
          <w:szCs w:val="11"/>
          <w:color w:val="auto"/>
        </w:rPr>
        <w:t>Taxes</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10.10</w:t>
      </w:r>
      <w:r>
        <w:rPr>
          <w:rFonts w:ascii="Arial" w:cs="Arial" w:eastAsia="Arial" w:hAnsi="Arial"/>
          <w:sz w:val="13"/>
          <w:szCs w:val="13"/>
          <w:color w:val="auto"/>
        </w:rPr>
        <w:tab/>
        <w:t>Maximum Liability</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10.11</w:t>
      </w:r>
      <w:r>
        <w:rPr>
          <w:sz w:val="20"/>
          <w:szCs w:val="20"/>
          <w:color w:val="auto"/>
        </w:rPr>
        <w:tab/>
      </w:r>
      <w:r>
        <w:rPr>
          <w:rFonts w:ascii="Arial" w:cs="Arial" w:eastAsia="Arial" w:hAnsi="Arial"/>
          <w:sz w:val="12"/>
          <w:szCs w:val="12"/>
          <w:color w:val="auto"/>
        </w:rPr>
        <w:t>Contribution</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10.12</w:t>
      </w:r>
      <w:r>
        <w:rPr>
          <w:sz w:val="20"/>
          <w:szCs w:val="20"/>
          <w:color w:val="auto"/>
        </w:rPr>
        <w:tab/>
      </w:r>
      <w:r>
        <w:rPr>
          <w:rFonts w:ascii="Arial" w:cs="Arial" w:eastAsia="Arial" w:hAnsi="Arial"/>
          <w:sz w:val="12"/>
          <w:szCs w:val="12"/>
          <w:color w:val="auto"/>
        </w:rPr>
        <w:t>Liability Cumulative</w:t>
      </w:r>
    </w:p>
    <w:p>
      <w:pPr>
        <w:spacing w:after="0" w:line="6"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3"/>
          <w:szCs w:val="13"/>
          <w:color w:val="010000"/>
        </w:rPr>
        <w:t>SECTION 10.13</w:t>
      </w:r>
      <w:r>
        <w:rPr>
          <w:sz w:val="20"/>
          <w:szCs w:val="20"/>
          <w:color w:val="auto"/>
        </w:rPr>
        <w:tab/>
      </w:r>
      <w:r>
        <w:rPr>
          <w:rFonts w:ascii="Arial" w:cs="Arial" w:eastAsia="Arial" w:hAnsi="Arial"/>
          <w:sz w:val="12"/>
          <w:szCs w:val="12"/>
          <w:color w:val="auto"/>
        </w:rPr>
        <w:t>Keepwell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1060"/>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19"/>
        <w:spacing w:after="0"/>
        <w:rPr>
          <w:sz w:val="20"/>
          <w:szCs w:val="20"/>
          <w:color w:val="auto"/>
        </w:rPr>
      </w:pPr>
      <w:r>
        <w:rPr>
          <w:rFonts w:ascii="Arial" w:cs="Arial" w:eastAsia="Arial" w:hAnsi="Arial"/>
          <w:sz w:val="13"/>
          <w:szCs w:val="13"/>
          <w:color w:val="auto"/>
        </w:rPr>
        <w:t>79</w:t>
      </w:r>
    </w:p>
    <w:p>
      <w:pPr>
        <w:spacing w:after="0" w:line="18"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80</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81</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82</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89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93</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94</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95</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96</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97</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98</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98</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98</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98</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3"/>
          <w:szCs w:val="13"/>
          <w:color w:val="auto"/>
        </w:rPr>
        <w:t>99</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100</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100</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100</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100</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100</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101</w:t>
      </w:r>
    </w:p>
    <w:p>
      <w:pPr>
        <w:spacing w:after="0" w:line="29" w:lineRule="exact"/>
        <w:rPr>
          <w:sz w:val="20"/>
          <w:szCs w:val="20"/>
          <w:color w:val="auto"/>
        </w:rPr>
      </w:pPr>
    </w:p>
    <w:p>
      <w:pPr>
        <w:jc w:val="right"/>
        <w:ind w:right="119"/>
        <w:spacing w:after="0"/>
        <w:rPr>
          <w:sz w:val="20"/>
          <w:szCs w:val="20"/>
          <w:color w:val="auto"/>
        </w:rPr>
      </w:pPr>
      <w:r>
        <w:rPr>
          <w:rFonts w:ascii="Arial" w:cs="Arial" w:eastAsia="Arial" w:hAnsi="Arial"/>
          <w:sz w:val="11"/>
          <w:szCs w:val="11"/>
          <w:color w:val="auto"/>
        </w:rPr>
        <w:t>101</w:t>
      </w:r>
    </w:p>
    <w:p>
      <w:pPr>
        <w:sectPr>
          <w:pgSz w:w="11900" w:h="16838" w:orient="portrait"/>
          <w:cols w:equalWidth="0" w:num="2">
            <w:col w:w="7980" w:space="720"/>
            <w:col w:w="319"/>
          </w:cols>
          <w:pgMar w:left="1440" w:top="337" w:right="1440" w:bottom="1440" w:gutter="0" w:footer="0" w:header="0"/>
        </w:sectPr>
      </w:pPr>
    </w:p>
    <w:bookmarkStart w:id="55" w:name="page56"/>
    <w:bookmarkEnd w:id="55"/>
    <w:p>
      <w:pPr>
        <w:ind w:left="120"/>
        <w:spacing w:after="0"/>
        <w:rPr>
          <w:sz w:val="20"/>
          <w:szCs w:val="20"/>
          <w:color w:val="auto"/>
        </w:rPr>
      </w:pPr>
      <w:r>
        <w:rPr>
          <w:rFonts w:ascii="Arial" w:cs="Arial" w:eastAsia="Arial" w:hAnsi="Arial"/>
          <w:sz w:val="13"/>
          <w:szCs w:val="13"/>
          <w:u w:val="single" w:color="auto"/>
          <w:color w:val="auto"/>
        </w:rPr>
        <w:t>SCHEDULES</w:t>
      </w:r>
      <w:r>
        <w:rPr>
          <w:rFonts w:ascii="Arial" w:cs="Arial" w:eastAsia="Arial" w:hAnsi="Arial"/>
          <w:sz w:val="13"/>
          <w:szCs w:val="13"/>
          <w:color w:val="auto"/>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Commitment Schedule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3.05 – Properties, etc.</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3.06 – Disclosed Matters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3.12 – Material Agreements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3.14 – Insurance</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3.15 – Capitalization and Subsidiaries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3.22 – Affiliate Transactions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6.01 – Existing Indebtedness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6.02 – Existing Liens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6.04 – Existing Investments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6.10 – Existing Restrictions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EXHIBITS</w:t>
      </w:r>
      <w:r>
        <w:rPr>
          <w:rFonts w:ascii="Arial" w:cs="Arial" w:eastAsia="Arial" w:hAnsi="Arial"/>
          <w:sz w:val="13"/>
          <w:szCs w:val="13"/>
          <w:color w:val="auto"/>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A – Assignment and Assumption</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B – Borrowing Request</w:t>
      </w:r>
    </w:p>
    <w:p>
      <w:pPr>
        <w:spacing w:after="0" w:line="88" w:lineRule="exact"/>
        <w:rPr>
          <w:sz w:val="20"/>
          <w:szCs w:val="20"/>
          <w:color w:val="auto"/>
        </w:rPr>
      </w:pPr>
    </w:p>
    <w:p>
      <w:pPr>
        <w:ind w:left="120" w:right="1419"/>
        <w:spacing w:after="0" w:line="374" w:lineRule="auto"/>
        <w:rPr>
          <w:sz w:val="20"/>
          <w:szCs w:val="20"/>
          <w:color w:val="auto"/>
        </w:rPr>
      </w:pPr>
      <w:r>
        <w:rPr>
          <w:rFonts w:ascii="Arial" w:cs="Arial" w:eastAsia="Arial" w:hAnsi="Arial"/>
          <w:sz w:val="13"/>
          <w:szCs w:val="13"/>
          <w:color w:val="auto"/>
        </w:rPr>
        <w:t>Exhibit C-1 – U.S. Tax Compliance Certificate (For Foreign Lenders That Are Not Partnerships For U.S. Federal Income Tax Purposes) Exhibit C-2 – U.S. Tax Compliance Certificate (For Foreign Participants That Are Not Partnerships For U.S. Federal Income Tax Purposes) Exhibit C-3 – U.S. Tax Compliance Certificate (For Foreign Participants That Are Partnerships For U.S. Federal Income Tax Purposes) Exhibit C-4 – U.S. Tax Compliance Certificate (For Foreign Lenders That Are Partnerships For U.S. Federal Income Tax Purposes) Exhibit D – Compliance Certificate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E –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56" w:name="page57"/>
    <w:bookmarkEnd w:id="56"/>
    <w:p>
      <w:pPr>
        <w:jc w:val="both"/>
        <w:ind w:left="120" w:right="119" w:firstLine="438"/>
        <w:spacing w:after="0" w:line="237" w:lineRule="auto"/>
        <w:rPr>
          <w:sz w:val="20"/>
          <w:szCs w:val="20"/>
          <w:color w:val="auto"/>
        </w:rPr>
      </w:pPr>
      <w:r>
        <w:rPr>
          <w:rFonts w:ascii="Arial" w:cs="Arial" w:eastAsia="Arial" w:hAnsi="Arial"/>
          <w:sz w:val="13"/>
          <w:szCs w:val="13"/>
          <w:color w:val="auto"/>
        </w:rPr>
        <w:t>CREDIT AGREEMENT dated as of November 9, 2017 (as it may be amended or modified from time to time, this “</w:t>
      </w:r>
      <w:r>
        <w:rPr>
          <w:rFonts w:ascii="Arial" w:cs="Arial" w:eastAsia="Arial" w:hAnsi="Arial"/>
          <w:sz w:val="13"/>
          <w:szCs w:val="13"/>
          <w:u w:val="single" w:color="auto"/>
          <w:color w:val="auto"/>
        </w:rPr>
        <w:t>Agreement</w:t>
      </w:r>
      <w:r>
        <w:rPr>
          <w:rFonts w:ascii="Arial" w:cs="Arial" w:eastAsia="Arial" w:hAnsi="Arial"/>
          <w:sz w:val="13"/>
          <w:szCs w:val="13"/>
          <w:color w:val="auto"/>
        </w:rPr>
        <w:t>”), among USA TECHNOLOGIES, INC., a Pennsylvania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party hereto, the Lenders party hereto, and JPMORGAN CHASE BANK, N.A., as Administrative Agent.</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parties hereto agree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010000"/>
        </w:rPr>
        <w:t>ARTICLE 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Definitions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1.01 </w:t>
      </w:r>
      <w:r>
        <w:rPr>
          <w:rFonts w:ascii="Arial" w:cs="Arial" w:eastAsia="Arial" w:hAnsi="Arial"/>
          <w:sz w:val="13"/>
          <w:szCs w:val="13"/>
          <w:u w:val="single" w:color="auto"/>
          <w:color w:val="000000"/>
        </w:rPr>
        <w:t>Defined Terms. As used in this Agreement, the following terms have the meanings specified below:</w:t>
      </w:r>
    </w:p>
    <w:p>
      <w:pPr>
        <w:spacing w:after="0" w:line="12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ABR</w:t>
      </w:r>
      <w:r>
        <w:rPr>
          <w:rFonts w:ascii="Arial" w:cs="Arial" w:eastAsia="Arial" w:hAnsi="Arial"/>
          <w:sz w:val="13"/>
          <w:szCs w:val="13"/>
          <w:color w:val="auto"/>
        </w:rPr>
        <w:t>”, when used in reference to any Loan or Borrowing, refers to whether such Loan, or the Loans comprising such Borrowing, is bearing interest at a rate determined by reference to the Alternate Base Rate.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w:t>
      </w:r>
      <w:r>
        <w:rPr>
          <w:rFonts w:ascii="Arial" w:cs="Arial" w:eastAsia="Arial" w:hAnsi="Arial"/>
          <w:sz w:val="13"/>
          <w:szCs w:val="13"/>
          <w:color w:val="auto"/>
        </w:rPr>
        <w:t>” has the meaning assigned to such term in the Security Agreement.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 Debtor</w:t>
      </w:r>
      <w:r>
        <w:rPr>
          <w:rFonts w:ascii="Arial" w:cs="Arial" w:eastAsia="Arial" w:hAnsi="Arial"/>
          <w:sz w:val="13"/>
          <w:szCs w:val="13"/>
          <w:color w:val="auto"/>
        </w:rPr>
        <w:t>” means any Person obligated on an Account.</w:t>
      </w:r>
    </w:p>
    <w:p>
      <w:pPr>
        <w:spacing w:after="0" w:line="133" w:lineRule="exact"/>
        <w:rPr>
          <w:sz w:val="20"/>
          <w:szCs w:val="20"/>
          <w:color w:val="auto"/>
        </w:rPr>
      </w:pPr>
    </w:p>
    <w:p>
      <w:pPr>
        <w:jc w:val="both"/>
        <w:ind w:left="120" w:right="119" w:firstLine="438"/>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w:t>
      </w:r>
      <w:r>
        <w:rPr>
          <w:rFonts w:ascii="Arial" w:cs="Arial" w:eastAsia="Arial" w:hAnsi="Arial"/>
          <w:sz w:val="13"/>
          <w:szCs w:val="13"/>
          <w:color w:val="auto"/>
        </w:rPr>
        <w:t>” means any transaction, or any series of related transactions, consummated on or after the Effective Date, by which any Loan Party or Subsidiary (a) acquires any going business, line of business or division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15" w:lineRule="exact"/>
        <w:rPr>
          <w:sz w:val="20"/>
          <w:szCs w:val="20"/>
          <w:color w:val="auto"/>
        </w:rPr>
      </w:pPr>
    </w:p>
    <w:p>
      <w:pPr>
        <w:jc w:val="both"/>
        <w:ind w:left="120" w:right="119" w:firstLine="43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Adjusted LIBO Rate</w:t>
      </w:r>
      <w:r>
        <w:rPr>
          <w:rFonts w:ascii="Arial" w:cs="Arial" w:eastAsia="Arial" w:hAnsi="Arial"/>
          <w:sz w:val="12"/>
          <w:szCs w:val="12"/>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means JPMorgan Chase Bank, N.A., in its capacity as administrative agent for the Lenders hereunder.</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means an Administrative Questionnaire in a form supplied by the Administrative Agent.</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specified Person, another Person that directly, or indirectly through one or more intermediaries, Controls or is Controlled by or is under common Control with the specified Person.</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Agents</w:t>
      </w:r>
      <w:r>
        <w:rPr>
          <w:rFonts w:ascii="Arial" w:cs="Arial" w:eastAsia="Arial" w:hAnsi="Arial"/>
          <w:sz w:val="13"/>
          <w:szCs w:val="13"/>
          <w:color w:val="auto"/>
        </w:rPr>
        <w:t>” means any lead arranger, bookrunner, syndication agent, or documentation agent with respect to the credit facilities contemplated in this Agreement.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Credit Exposure</w:t>
      </w:r>
      <w:r>
        <w:rPr>
          <w:rFonts w:ascii="Arial" w:cs="Arial" w:eastAsia="Arial" w:hAnsi="Arial"/>
          <w:sz w:val="13"/>
          <w:szCs w:val="13"/>
          <w:color w:val="auto"/>
        </w:rPr>
        <w:t>” means, at any time, the aggregate Credit Exposure of all the Lenders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57" w:name="page58"/>
    <w:bookmarkEnd w:id="57"/>
    <w:p>
      <w:pPr>
        <w:ind w:left="120"/>
        <w:spacing w:after="0"/>
        <w:rPr>
          <w:sz w:val="20"/>
          <w:szCs w:val="20"/>
          <w:color w:val="auto"/>
        </w:rPr>
      </w:pPr>
      <w:r>
        <w:rPr>
          <w:rFonts w:ascii="Arial" w:cs="Arial" w:eastAsia="Arial" w:hAnsi="Arial"/>
          <w:sz w:val="13"/>
          <w:szCs w:val="13"/>
          <w:color w:val="auto"/>
        </w:rPr>
        <w:t>at such time.</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Revolving Exposure</w:t>
      </w:r>
      <w:r>
        <w:rPr>
          <w:rFonts w:ascii="Arial" w:cs="Arial" w:eastAsia="Arial" w:hAnsi="Arial"/>
          <w:sz w:val="13"/>
          <w:szCs w:val="13"/>
          <w:color w:val="auto"/>
        </w:rPr>
        <w:t>” means, at any time, the aggregate Revolving Exposure of all the Lenders at such time (with the Swingline Exposure of each Lender calculated assuming that all of the Lenders have funded their participations in all Swingline Loans outstanding at such time).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ALTA</w:t>
      </w:r>
      <w:r>
        <w:rPr>
          <w:rFonts w:ascii="Arial" w:cs="Arial" w:eastAsia="Arial" w:hAnsi="Arial"/>
          <w:sz w:val="13"/>
          <w:szCs w:val="13"/>
          <w:color w:val="auto"/>
        </w:rPr>
        <w:t>” means the American Land Title Association.</w:t>
      </w:r>
    </w:p>
    <w:p>
      <w:pPr>
        <w:spacing w:after="0" w:line="133" w:lineRule="exact"/>
        <w:rPr>
          <w:sz w:val="20"/>
          <w:szCs w:val="20"/>
          <w:color w:val="auto"/>
        </w:rPr>
      </w:pPr>
    </w:p>
    <w:p>
      <w:pPr>
        <w:jc w:val="both"/>
        <w:ind w:left="120" w:right="119" w:firstLine="438"/>
        <w:spacing w:after="0" w:line="22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Alternate Base Rate</w:t>
      </w:r>
      <w:r>
        <w:rPr>
          <w:rFonts w:ascii="Arial" w:cs="Arial" w:eastAsia="Arial" w:hAnsi="Arial"/>
          <w:sz w:val="13"/>
          <w:szCs w:val="13"/>
          <w:color w:val="auto"/>
        </w:rPr>
        <w:t xml:space="preserve">” means, for any day, a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equal to the greatest of (a) the Prime Rate in effect on such day, (b) the NYFRB Rate in effect on such day plus ½ of 1%, and (c) the Adjusted LIBO Rate for a one month Interest Period on such day (or if such day is not a Business Day, the immediately preceding Business Day) plus 1%,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 (a) and (b) above and shall be determined without reference to clause (c) above. For the avoidance of doubt, if the Alternate Base Rate shall be less than zero, such rate shall be deemed to be zero for purposes of this Agreement.</w:t>
      </w:r>
    </w:p>
    <w:p>
      <w:pPr>
        <w:spacing w:after="0" w:line="116"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Anti-Corruption Laws</w:t>
      </w:r>
      <w:r>
        <w:rPr>
          <w:rFonts w:ascii="Arial" w:cs="Arial" w:eastAsia="Arial" w:hAnsi="Arial"/>
          <w:sz w:val="13"/>
          <w:szCs w:val="13"/>
          <w:color w:val="auto"/>
        </w:rPr>
        <w:t>” means all laws, rules, and regulations of any jurisdiction applicable to the Borrower or any of its Subsidiaries from time to time concerning or relating to bribery or corruption.</w:t>
      </w:r>
    </w:p>
    <w:p>
      <w:pPr>
        <w:spacing w:after="0" w:line="10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accordance with Section 2.20, so long as any Lender shall be a Defaulting Lender, such Defaulting Lender’s Commitment shall be disregarded in the calculations above.</w:t>
      </w:r>
    </w:p>
    <w:p>
      <w:pPr>
        <w:spacing w:after="0" w:line="114"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Rate</w:t>
      </w:r>
      <w:r>
        <w:rPr>
          <w:rFonts w:ascii="Arial" w:cs="Arial" w:eastAsia="Arial" w:hAnsi="Arial"/>
          <w:sz w:val="12"/>
          <w:szCs w:val="12"/>
          <w:color w:val="auto"/>
        </w:rPr>
        <w:t xml:space="preserve">” means, for any day, with respect to any Loan, or with respect to the commitment fees payable hereunder, as the case may be, the applicable rate per annum set forth below under the caption “Revolving Commitment ABR Spread”, “Revolving Commitment Eurodollar Spread” “Term A Loan ABR Spread”, “Term A Loan Eurodollar Spread” or “Commitment Fee Rate”, as the case may be, based upon the Borrower’s Total Leverage Ratio as of the most recent determination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until the delivery to the Administrative Agent, pursuant to Section 5.01, of the Borrower’s consolidated financial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58" w:name="page59"/>
    <w:bookmarkEnd w:id="58"/>
    <w:p>
      <w:pPr>
        <w:jc w:val="both"/>
        <w:ind w:left="120" w:right="119"/>
        <w:spacing w:after="0" w:line="254" w:lineRule="auto"/>
        <w:rPr>
          <w:sz w:val="20"/>
          <w:szCs w:val="20"/>
          <w:color w:val="auto"/>
        </w:rPr>
      </w:pPr>
      <w:r>
        <w:rPr>
          <w:rFonts w:ascii="Arial" w:cs="Arial" w:eastAsia="Arial" w:hAnsi="Arial"/>
          <w:sz w:val="13"/>
          <w:szCs w:val="13"/>
          <w:color w:val="auto"/>
        </w:rPr>
        <w:t>information for the Borrower’s fiscal quarter ending December 31, 2017, the “Applicable Rate” shall be the applicable rates per annum set forth below in Category 1:</w:t>
      </w:r>
    </w:p>
    <w:p>
      <w:pPr>
        <w:spacing w:after="0" w:line="200" w:lineRule="exact"/>
        <w:rPr>
          <w:sz w:val="20"/>
          <w:szCs w:val="20"/>
          <w:color w:val="auto"/>
        </w:rPr>
      </w:pPr>
    </w:p>
    <w:p>
      <w:pPr>
        <w:spacing w:after="0" w:line="342" w:lineRule="exact"/>
        <w:rPr>
          <w:sz w:val="20"/>
          <w:szCs w:val="20"/>
          <w:color w:val="auto"/>
        </w:rPr>
      </w:pPr>
    </w:p>
    <w:tbl>
      <w:tblPr>
        <w:tblLayout w:type="fixed"/>
        <w:tblInd w:w="130" w:type="dxa"/>
        <w:tblCellMar>
          <w:top w:w="0" w:type="dxa"/>
          <w:left w:w="0" w:type="dxa"/>
          <w:bottom w:w="0" w:type="dxa"/>
          <w:right w:w="0" w:type="dxa"/>
        </w:tblCellMar>
      </w:tblPr>
      <w:tr>
        <w:trPr>
          <w:trHeight w:val="128"/>
        </w:trPr>
        <w:tc>
          <w:tcPr>
            <w:tcW w:w="440" w:type="dxa"/>
            <w:vAlign w:val="bottom"/>
            <w:tcBorders>
              <w:top w:val="single" w:sz="8" w:color="auto"/>
              <w:left w:val="single" w:sz="8" w:color="auto"/>
            </w:tcBorders>
            <w:shd w:val="clear" w:color="auto" w:fill="B3B3B3"/>
          </w:tcPr>
          <w:p>
            <w:pPr>
              <w:spacing w:after="0"/>
              <w:rPr>
                <w:sz w:val="11"/>
                <w:szCs w:val="11"/>
                <w:color w:val="auto"/>
              </w:rPr>
            </w:pPr>
          </w:p>
        </w:tc>
        <w:tc>
          <w:tcPr>
            <w:tcW w:w="40" w:type="dxa"/>
            <w:vAlign w:val="bottom"/>
            <w:tcBorders>
              <w:top w:val="single" w:sz="8" w:color="auto"/>
            </w:tcBorders>
            <w:shd w:val="clear" w:color="auto" w:fill="B3B3B3"/>
          </w:tcPr>
          <w:p>
            <w:pPr>
              <w:spacing w:after="0"/>
              <w:rPr>
                <w:sz w:val="11"/>
                <w:szCs w:val="11"/>
                <w:color w:val="auto"/>
              </w:rPr>
            </w:pPr>
          </w:p>
        </w:tc>
        <w:tc>
          <w:tcPr>
            <w:tcW w:w="120" w:type="dxa"/>
            <w:vAlign w:val="bottom"/>
            <w:tcBorders>
              <w:top w:val="single" w:sz="8" w:color="auto"/>
            </w:tcBorders>
            <w:shd w:val="clear" w:color="auto" w:fill="B3B3B3"/>
          </w:tcPr>
          <w:p>
            <w:pPr>
              <w:spacing w:after="0"/>
              <w:rPr>
                <w:sz w:val="11"/>
                <w:szCs w:val="11"/>
                <w:color w:val="auto"/>
              </w:rPr>
            </w:pPr>
          </w:p>
        </w:tc>
        <w:tc>
          <w:tcPr>
            <w:tcW w:w="20" w:type="dxa"/>
            <w:vAlign w:val="bottom"/>
            <w:tcBorders>
              <w:top w:val="single" w:sz="8" w:color="auto"/>
            </w:tcBorders>
            <w:shd w:val="clear" w:color="auto" w:fill="B3B3B3"/>
          </w:tcPr>
          <w:p>
            <w:pPr>
              <w:spacing w:after="0"/>
              <w:rPr>
                <w:sz w:val="11"/>
                <w:szCs w:val="11"/>
                <w:color w:val="auto"/>
              </w:rPr>
            </w:pPr>
          </w:p>
        </w:tc>
        <w:tc>
          <w:tcPr>
            <w:tcW w:w="360" w:type="dxa"/>
            <w:vAlign w:val="bottom"/>
            <w:tcBorders>
              <w:top w:val="single" w:sz="8" w:color="auto"/>
            </w:tcBorders>
            <w:gridSpan w:val="3"/>
            <w:shd w:val="clear" w:color="auto" w:fill="B3B3B3"/>
          </w:tcPr>
          <w:p>
            <w:pPr>
              <w:jc w:val="center"/>
              <w:ind w:right="100"/>
              <w:spacing w:after="0" w:line="128" w:lineRule="exact"/>
              <w:rPr>
                <w:sz w:val="20"/>
                <w:szCs w:val="20"/>
                <w:color w:val="auto"/>
              </w:rPr>
            </w:pPr>
            <w:r>
              <w:rPr>
                <w:rFonts w:ascii="Arial" w:cs="Arial" w:eastAsia="Arial" w:hAnsi="Arial"/>
                <w:sz w:val="13"/>
                <w:szCs w:val="13"/>
                <w:color w:val="auto"/>
                <w:w w:val="89"/>
              </w:rPr>
              <w:t>Total</w:t>
            </w:r>
          </w:p>
        </w:tc>
        <w:tc>
          <w:tcPr>
            <w:tcW w:w="60" w:type="dxa"/>
            <w:vAlign w:val="bottom"/>
            <w:tcBorders>
              <w:top w:val="single" w:sz="8" w:color="auto"/>
            </w:tcBorders>
            <w:shd w:val="clear" w:color="auto" w:fill="B3B3B3"/>
          </w:tcPr>
          <w:p>
            <w:pPr>
              <w:spacing w:after="0"/>
              <w:rPr>
                <w:sz w:val="11"/>
                <w:szCs w:val="11"/>
                <w:color w:val="auto"/>
              </w:rPr>
            </w:pPr>
          </w:p>
        </w:tc>
        <w:tc>
          <w:tcPr>
            <w:tcW w:w="440" w:type="dxa"/>
            <w:vAlign w:val="bottom"/>
            <w:tcBorders>
              <w:top w:val="single" w:sz="8" w:color="auto"/>
              <w:right w:val="single" w:sz="8" w:color="auto"/>
            </w:tcBorders>
            <w:shd w:val="clear" w:color="auto" w:fill="B3B3B3"/>
          </w:tcPr>
          <w:p>
            <w:pPr>
              <w:spacing w:after="0"/>
              <w:rPr>
                <w:sz w:val="11"/>
                <w:szCs w:val="11"/>
                <w:color w:val="auto"/>
              </w:rPr>
            </w:pPr>
          </w:p>
        </w:tc>
        <w:tc>
          <w:tcPr>
            <w:tcW w:w="180" w:type="dxa"/>
            <w:vAlign w:val="bottom"/>
            <w:tcBorders>
              <w:top w:val="single" w:sz="8" w:color="auto"/>
            </w:tcBorders>
            <w:shd w:val="clear" w:color="auto" w:fill="B3B3B3"/>
          </w:tcPr>
          <w:p>
            <w:pPr>
              <w:spacing w:after="0"/>
              <w:rPr>
                <w:sz w:val="11"/>
                <w:szCs w:val="11"/>
                <w:color w:val="auto"/>
              </w:rPr>
            </w:pPr>
          </w:p>
        </w:tc>
        <w:tc>
          <w:tcPr>
            <w:tcW w:w="20" w:type="dxa"/>
            <w:vAlign w:val="bottom"/>
            <w:tcBorders>
              <w:top w:val="single" w:sz="8" w:color="auto"/>
            </w:tcBorders>
            <w:shd w:val="clear" w:color="auto" w:fill="B3B3B3"/>
          </w:tcPr>
          <w:p>
            <w:pPr>
              <w:spacing w:after="0"/>
              <w:rPr>
                <w:sz w:val="11"/>
                <w:szCs w:val="11"/>
                <w:color w:val="auto"/>
              </w:rPr>
            </w:pPr>
          </w:p>
        </w:tc>
        <w:tc>
          <w:tcPr>
            <w:tcW w:w="60" w:type="dxa"/>
            <w:vAlign w:val="bottom"/>
            <w:tcBorders>
              <w:top w:val="single" w:sz="8" w:color="auto"/>
            </w:tcBorders>
            <w:shd w:val="clear" w:color="auto" w:fill="B3B3B3"/>
          </w:tcPr>
          <w:p>
            <w:pPr>
              <w:spacing w:after="0"/>
              <w:rPr>
                <w:sz w:val="11"/>
                <w:szCs w:val="11"/>
                <w:color w:val="auto"/>
              </w:rPr>
            </w:pPr>
          </w:p>
        </w:tc>
        <w:tc>
          <w:tcPr>
            <w:tcW w:w="860" w:type="dxa"/>
            <w:vAlign w:val="bottom"/>
            <w:tcBorders>
              <w:top w:val="single" w:sz="8" w:color="auto"/>
              <w:right w:val="single" w:sz="8" w:color="auto"/>
            </w:tcBorders>
            <w:gridSpan w:val="4"/>
            <w:shd w:val="clear" w:color="auto" w:fill="B3B3B3"/>
          </w:tcPr>
          <w:p>
            <w:pPr>
              <w:jc w:val="center"/>
              <w:ind w:right="300"/>
              <w:spacing w:after="0" w:line="128" w:lineRule="exact"/>
              <w:rPr>
                <w:sz w:val="20"/>
                <w:szCs w:val="20"/>
                <w:color w:val="auto"/>
              </w:rPr>
            </w:pPr>
            <w:r>
              <w:rPr>
                <w:rFonts w:ascii="Arial" w:cs="Arial" w:eastAsia="Arial" w:hAnsi="Arial"/>
                <w:sz w:val="13"/>
                <w:szCs w:val="13"/>
                <w:color w:val="auto"/>
                <w:w w:val="98"/>
              </w:rPr>
              <w:t>Revolving</w:t>
            </w:r>
          </w:p>
        </w:tc>
        <w:tc>
          <w:tcPr>
            <w:tcW w:w="180" w:type="dxa"/>
            <w:vAlign w:val="bottom"/>
            <w:tcBorders>
              <w:top w:val="single" w:sz="8" w:color="auto"/>
            </w:tcBorders>
            <w:shd w:val="clear" w:color="auto" w:fill="B3B3B3"/>
          </w:tcPr>
          <w:p>
            <w:pPr>
              <w:spacing w:after="0"/>
              <w:rPr>
                <w:sz w:val="11"/>
                <w:szCs w:val="11"/>
                <w:color w:val="auto"/>
              </w:rPr>
            </w:pPr>
          </w:p>
        </w:tc>
        <w:tc>
          <w:tcPr>
            <w:tcW w:w="80" w:type="dxa"/>
            <w:vAlign w:val="bottom"/>
            <w:tcBorders>
              <w:top w:val="single" w:sz="8" w:color="auto"/>
            </w:tcBorders>
            <w:shd w:val="clear" w:color="auto" w:fill="B3B3B3"/>
          </w:tcPr>
          <w:p>
            <w:pPr>
              <w:spacing w:after="0"/>
              <w:rPr>
                <w:sz w:val="11"/>
                <w:szCs w:val="11"/>
                <w:color w:val="auto"/>
              </w:rPr>
            </w:pPr>
          </w:p>
        </w:tc>
        <w:tc>
          <w:tcPr>
            <w:tcW w:w="20" w:type="dxa"/>
            <w:vAlign w:val="bottom"/>
            <w:tcBorders>
              <w:top w:val="single" w:sz="8" w:color="auto"/>
            </w:tcBorders>
            <w:shd w:val="clear" w:color="auto" w:fill="B3B3B3"/>
          </w:tcPr>
          <w:p>
            <w:pPr>
              <w:spacing w:after="0"/>
              <w:rPr>
                <w:sz w:val="11"/>
                <w:szCs w:val="11"/>
                <w:color w:val="auto"/>
              </w:rPr>
            </w:pPr>
          </w:p>
        </w:tc>
        <w:tc>
          <w:tcPr>
            <w:tcW w:w="820" w:type="dxa"/>
            <w:vAlign w:val="bottom"/>
            <w:tcBorders>
              <w:top w:val="single" w:sz="8" w:color="auto"/>
              <w:right w:val="single" w:sz="8" w:color="auto"/>
            </w:tcBorders>
            <w:gridSpan w:val="5"/>
            <w:shd w:val="clear" w:color="auto" w:fill="B3B3B3"/>
          </w:tcPr>
          <w:p>
            <w:pPr>
              <w:jc w:val="center"/>
              <w:ind w:right="280"/>
              <w:spacing w:after="0" w:line="128" w:lineRule="exact"/>
              <w:rPr>
                <w:sz w:val="20"/>
                <w:szCs w:val="20"/>
                <w:color w:val="auto"/>
              </w:rPr>
            </w:pPr>
            <w:r>
              <w:rPr>
                <w:rFonts w:ascii="Arial" w:cs="Arial" w:eastAsia="Arial" w:hAnsi="Arial"/>
                <w:sz w:val="13"/>
                <w:szCs w:val="13"/>
                <w:color w:val="auto"/>
                <w:w w:val="94"/>
              </w:rPr>
              <w:t>Revolving</w:t>
            </w:r>
          </w:p>
        </w:tc>
        <w:tc>
          <w:tcPr>
            <w:tcW w:w="180" w:type="dxa"/>
            <w:vAlign w:val="bottom"/>
            <w:tcBorders>
              <w:top w:val="single" w:sz="8" w:color="auto"/>
            </w:tcBorders>
            <w:shd w:val="clear" w:color="auto" w:fill="B3B3B3"/>
          </w:tcPr>
          <w:p>
            <w:pPr>
              <w:spacing w:after="0"/>
              <w:rPr>
                <w:sz w:val="11"/>
                <w:szCs w:val="11"/>
                <w:color w:val="auto"/>
              </w:rPr>
            </w:pPr>
          </w:p>
        </w:tc>
        <w:tc>
          <w:tcPr>
            <w:tcW w:w="940" w:type="dxa"/>
            <w:vAlign w:val="bottom"/>
            <w:tcBorders>
              <w:top w:val="single" w:sz="8" w:color="auto"/>
              <w:right w:val="single" w:sz="8" w:color="auto"/>
            </w:tcBorders>
            <w:gridSpan w:val="4"/>
            <w:shd w:val="clear" w:color="auto" w:fill="B3B3B3"/>
          </w:tcPr>
          <w:p>
            <w:pPr>
              <w:jc w:val="center"/>
              <w:ind w:right="200"/>
              <w:spacing w:after="0" w:line="128" w:lineRule="exact"/>
              <w:rPr>
                <w:sz w:val="20"/>
                <w:szCs w:val="20"/>
                <w:color w:val="auto"/>
              </w:rPr>
            </w:pPr>
            <w:r>
              <w:rPr>
                <w:rFonts w:ascii="Arial" w:cs="Arial" w:eastAsia="Arial" w:hAnsi="Arial"/>
                <w:sz w:val="13"/>
                <w:szCs w:val="13"/>
                <w:color w:val="auto"/>
                <w:w w:val="93"/>
              </w:rPr>
              <w:t>Term A Loan</w:t>
            </w:r>
          </w:p>
        </w:tc>
        <w:tc>
          <w:tcPr>
            <w:tcW w:w="1120" w:type="dxa"/>
            <w:vAlign w:val="bottom"/>
            <w:tcBorders>
              <w:top w:val="single" w:sz="8" w:color="auto"/>
              <w:right w:val="single" w:sz="8" w:color="auto"/>
            </w:tcBorders>
            <w:gridSpan w:val="7"/>
            <w:shd w:val="clear" w:color="auto" w:fill="B3B3B3"/>
          </w:tcPr>
          <w:p>
            <w:pPr>
              <w:jc w:val="center"/>
              <w:ind w:right="40"/>
              <w:spacing w:after="0" w:line="128" w:lineRule="exact"/>
              <w:rPr>
                <w:sz w:val="20"/>
                <w:szCs w:val="20"/>
                <w:color w:val="auto"/>
              </w:rPr>
            </w:pPr>
            <w:r>
              <w:rPr>
                <w:rFonts w:ascii="Arial" w:cs="Arial" w:eastAsia="Arial" w:hAnsi="Arial"/>
                <w:sz w:val="13"/>
                <w:szCs w:val="13"/>
                <w:color w:val="auto"/>
                <w:w w:val="95"/>
              </w:rPr>
              <w:t>Term A Loan</w:t>
            </w:r>
          </w:p>
        </w:tc>
        <w:tc>
          <w:tcPr>
            <w:tcW w:w="180" w:type="dxa"/>
            <w:vAlign w:val="bottom"/>
            <w:tcBorders>
              <w:top w:val="single" w:sz="8" w:color="auto"/>
            </w:tcBorders>
            <w:shd w:val="clear" w:color="auto" w:fill="B3B3B3"/>
          </w:tcPr>
          <w:p>
            <w:pPr>
              <w:spacing w:after="0"/>
              <w:rPr>
                <w:sz w:val="11"/>
                <w:szCs w:val="11"/>
                <w:color w:val="auto"/>
              </w:rPr>
            </w:pPr>
          </w:p>
        </w:tc>
        <w:tc>
          <w:tcPr>
            <w:tcW w:w="920" w:type="dxa"/>
            <w:vAlign w:val="bottom"/>
            <w:tcBorders>
              <w:top w:val="single" w:sz="8" w:color="auto"/>
              <w:right w:val="single" w:sz="8" w:color="auto"/>
            </w:tcBorders>
            <w:gridSpan w:val="4"/>
            <w:shd w:val="clear" w:color="auto" w:fill="B3B3B3"/>
          </w:tcPr>
          <w:p>
            <w:pPr>
              <w:jc w:val="center"/>
              <w:ind w:right="220"/>
              <w:spacing w:after="0" w:line="128" w:lineRule="exact"/>
              <w:rPr>
                <w:sz w:val="20"/>
                <w:szCs w:val="20"/>
                <w:color w:val="auto"/>
              </w:rPr>
            </w:pPr>
            <w:r>
              <w:rPr>
                <w:rFonts w:ascii="Arial" w:cs="Arial" w:eastAsia="Arial" w:hAnsi="Arial"/>
                <w:sz w:val="13"/>
                <w:szCs w:val="13"/>
                <w:color w:val="auto"/>
                <w:w w:val="94"/>
              </w:rPr>
              <w:t>Commitment</w:t>
            </w:r>
          </w:p>
        </w:tc>
        <w:tc>
          <w:tcPr>
            <w:tcW w:w="0" w:type="dxa"/>
            <w:vAlign w:val="bottom"/>
          </w:tcPr>
          <w:p>
            <w:pPr>
              <w:spacing w:after="0"/>
              <w:rPr>
                <w:sz w:val="1"/>
                <w:szCs w:val="1"/>
                <w:color w:val="auto"/>
              </w:rPr>
            </w:pPr>
          </w:p>
        </w:tc>
      </w:tr>
      <w:tr>
        <w:trPr>
          <w:trHeight w:val="108"/>
        </w:trPr>
        <w:tc>
          <w:tcPr>
            <w:tcW w:w="440" w:type="dxa"/>
            <w:vAlign w:val="bottom"/>
            <w:tcBorders>
              <w:top w:val="single" w:sz="8" w:color="B3B3B3"/>
              <w:left w:val="single" w:sz="8" w:color="auto"/>
            </w:tcBorders>
            <w:shd w:val="clear" w:color="auto" w:fill="B3B3B3"/>
          </w:tcPr>
          <w:p>
            <w:pPr>
              <w:spacing w:after="0"/>
              <w:rPr>
                <w:sz w:val="9"/>
                <w:szCs w:val="9"/>
                <w:color w:val="auto"/>
              </w:rPr>
            </w:pPr>
          </w:p>
        </w:tc>
        <w:tc>
          <w:tcPr>
            <w:tcW w:w="40" w:type="dxa"/>
            <w:vAlign w:val="bottom"/>
            <w:tcBorders>
              <w:top w:val="single" w:sz="8" w:color="B3B3B3"/>
            </w:tcBorders>
            <w:shd w:val="clear" w:color="auto" w:fill="B3B3B3"/>
          </w:tcPr>
          <w:p>
            <w:pPr>
              <w:spacing w:after="0"/>
              <w:rPr>
                <w:sz w:val="9"/>
                <w:szCs w:val="9"/>
                <w:color w:val="auto"/>
              </w:rPr>
            </w:pPr>
          </w:p>
        </w:tc>
        <w:tc>
          <w:tcPr>
            <w:tcW w:w="12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260" w:type="dxa"/>
            <w:vAlign w:val="bottom"/>
            <w:tcBorders>
              <w:top w:val="single" w:sz="8" w:color="auto"/>
            </w:tcBorders>
            <w:shd w:val="clear" w:color="auto" w:fill="B3B3B3"/>
          </w:tcPr>
          <w:p>
            <w:pPr>
              <w:jc w:val="center"/>
              <w:spacing w:after="0"/>
              <w:rPr>
                <w:sz w:val="20"/>
                <w:szCs w:val="20"/>
                <w:color w:val="auto"/>
              </w:rPr>
            </w:pPr>
            <w:r>
              <w:rPr>
                <w:rFonts w:ascii="Arial" w:cs="Arial" w:eastAsia="Arial" w:hAnsi="Arial"/>
                <w:sz w:val="8"/>
                <w:szCs w:val="8"/>
                <w:color w:val="auto"/>
                <w:w w:val="77"/>
              </w:rPr>
              <w:t>Leverage</w:t>
            </w:r>
          </w:p>
        </w:tc>
        <w:tc>
          <w:tcPr>
            <w:tcW w:w="20" w:type="dxa"/>
            <w:vAlign w:val="bottom"/>
            <w:tcBorders>
              <w:top w:val="single" w:sz="8" w:color="B3B3B3"/>
            </w:tcBorders>
            <w:shd w:val="clear" w:color="auto" w:fill="B3B3B3"/>
          </w:tcPr>
          <w:p>
            <w:pPr>
              <w:spacing w:after="0"/>
              <w:rPr>
                <w:sz w:val="9"/>
                <w:szCs w:val="9"/>
                <w:color w:val="auto"/>
              </w:rPr>
            </w:pPr>
          </w:p>
        </w:tc>
        <w:tc>
          <w:tcPr>
            <w:tcW w:w="80" w:type="dxa"/>
            <w:vAlign w:val="bottom"/>
            <w:tcBorders>
              <w:top w:val="single" w:sz="8" w:color="B3B3B3"/>
            </w:tcBorders>
            <w:shd w:val="clear" w:color="auto" w:fill="B3B3B3"/>
          </w:tcPr>
          <w:p>
            <w:pPr>
              <w:spacing w:after="0"/>
              <w:rPr>
                <w:sz w:val="9"/>
                <w:szCs w:val="9"/>
                <w:color w:val="auto"/>
              </w:rPr>
            </w:pPr>
          </w:p>
        </w:tc>
        <w:tc>
          <w:tcPr>
            <w:tcW w:w="60" w:type="dxa"/>
            <w:vAlign w:val="bottom"/>
            <w:tcBorders>
              <w:top w:val="single" w:sz="8" w:color="B3B3B3"/>
            </w:tcBorders>
            <w:shd w:val="clear" w:color="auto" w:fill="B3B3B3"/>
          </w:tcPr>
          <w:p>
            <w:pPr>
              <w:spacing w:after="0"/>
              <w:rPr>
                <w:sz w:val="9"/>
                <w:szCs w:val="9"/>
                <w:color w:val="auto"/>
              </w:rPr>
            </w:pPr>
          </w:p>
        </w:tc>
        <w:tc>
          <w:tcPr>
            <w:tcW w:w="44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60" w:type="dxa"/>
            <w:vAlign w:val="bottom"/>
            <w:tcBorders>
              <w:top w:val="single" w:sz="8" w:color="B3B3B3"/>
            </w:tcBorders>
            <w:shd w:val="clear" w:color="auto" w:fill="B3B3B3"/>
          </w:tcPr>
          <w:p>
            <w:pPr>
              <w:spacing w:after="0"/>
              <w:rPr>
                <w:sz w:val="9"/>
                <w:szCs w:val="9"/>
                <w:color w:val="auto"/>
              </w:rPr>
            </w:pPr>
          </w:p>
        </w:tc>
        <w:tc>
          <w:tcPr>
            <w:tcW w:w="560" w:type="dxa"/>
            <w:vAlign w:val="bottom"/>
            <w:tcBorders>
              <w:top w:val="single" w:sz="8" w:color="auto"/>
            </w:tcBorders>
            <w:shd w:val="clear" w:color="auto" w:fill="B3B3B3"/>
          </w:tcPr>
          <w:p>
            <w:pPr>
              <w:jc w:val="center"/>
              <w:spacing w:after="0" w:line="108" w:lineRule="exact"/>
              <w:rPr>
                <w:sz w:val="20"/>
                <w:szCs w:val="20"/>
                <w:color w:val="auto"/>
              </w:rPr>
            </w:pPr>
            <w:r>
              <w:rPr>
                <w:rFonts w:ascii="Arial" w:cs="Arial" w:eastAsia="Arial" w:hAnsi="Arial"/>
                <w:sz w:val="12"/>
                <w:szCs w:val="12"/>
                <w:color w:val="auto"/>
                <w:w w:val="82"/>
              </w:rPr>
              <w:t>Commitment</w:t>
            </w:r>
          </w:p>
        </w:tc>
        <w:tc>
          <w:tcPr>
            <w:tcW w:w="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20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540" w:type="dxa"/>
            <w:vAlign w:val="bottom"/>
            <w:tcBorders>
              <w:top w:val="single" w:sz="8" w:color="auto"/>
            </w:tcBorders>
            <w:gridSpan w:val="2"/>
            <w:shd w:val="clear" w:color="auto" w:fill="B3B3B3"/>
          </w:tcPr>
          <w:p>
            <w:pPr>
              <w:jc w:val="center"/>
              <w:spacing w:after="0" w:line="108" w:lineRule="exact"/>
              <w:rPr>
                <w:sz w:val="20"/>
                <w:szCs w:val="20"/>
                <w:color w:val="auto"/>
              </w:rPr>
            </w:pPr>
            <w:r>
              <w:rPr>
                <w:rFonts w:ascii="Arial" w:cs="Arial" w:eastAsia="Arial" w:hAnsi="Arial"/>
                <w:sz w:val="12"/>
                <w:szCs w:val="12"/>
                <w:color w:val="auto"/>
                <w:w w:val="79"/>
              </w:rPr>
              <w:t>Commitment</w:t>
            </w:r>
          </w:p>
        </w:tc>
        <w:tc>
          <w:tcPr>
            <w:tcW w:w="20" w:type="dxa"/>
            <w:vAlign w:val="bottom"/>
            <w:tcBorders>
              <w:top w:val="single" w:sz="8" w:color="B3B3B3"/>
            </w:tcBorders>
            <w:shd w:val="clear" w:color="auto" w:fill="B3B3B3"/>
          </w:tcPr>
          <w:p>
            <w:pPr>
              <w:spacing w:after="0"/>
              <w:rPr>
                <w:sz w:val="9"/>
                <w:szCs w:val="9"/>
                <w:color w:val="auto"/>
              </w:rPr>
            </w:pPr>
          </w:p>
        </w:tc>
        <w:tc>
          <w:tcPr>
            <w:tcW w:w="40" w:type="dxa"/>
            <w:vAlign w:val="bottom"/>
            <w:tcBorders>
              <w:top w:val="single" w:sz="8" w:color="B3B3B3"/>
            </w:tcBorders>
            <w:shd w:val="clear" w:color="auto" w:fill="B3B3B3"/>
          </w:tcPr>
          <w:p>
            <w:pPr>
              <w:spacing w:after="0"/>
              <w:rPr>
                <w:sz w:val="9"/>
                <w:szCs w:val="9"/>
                <w:color w:val="auto"/>
              </w:rPr>
            </w:pP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auto"/>
            </w:tcBorders>
            <w:shd w:val="clear" w:color="auto" w:fill="B3B3B3"/>
          </w:tcPr>
          <w:p>
            <w:pPr>
              <w:spacing w:after="0"/>
              <w:rPr>
                <w:sz w:val="9"/>
                <w:szCs w:val="9"/>
                <w:color w:val="auto"/>
              </w:rPr>
            </w:pPr>
          </w:p>
        </w:tc>
        <w:tc>
          <w:tcPr>
            <w:tcW w:w="700" w:type="dxa"/>
            <w:vAlign w:val="bottom"/>
            <w:tcBorders>
              <w:top w:val="single" w:sz="8" w:color="auto"/>
            </w:tcBorders>
            <w:gridSpan w:val="2"/>
            <w:shd w:val="clear" w:color="auto" w:fill="B3B3B3"/>
          </w:tcPr>
          <w:p>
            <w:pPr>
              <w:jc w:val="center"/>
              <w:ind w:right="20"/>
              <w:spacing w:after="0" w:line="108" w:lineRule="exact"/>
              <w:rPr>
                <w:sz w:val="20"/>
                <w:szCs w:val="20"/>
                <w:color w:val="auto"/>
              </w:rPr>
            </w:pPr>
            <w:r>
              <w:rPr>
                <w:rFonts w:ascii="Arial" w:cs="Arial" w:eastAsia="Arial" w:hAnsi="Arial"/>
                <w:sz w:val="12"/>
                <w:szCs w:val="12"/>
                <w:color w:val="auto"/>
              </w:rPr>
              <w:t>ABR Spread</w:t>
            </w: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720" w:type="dxa"/>
            <w:vAlign w:val="bottom"/>
            <w:tcBorders>
              <w:top w:val="single" w:sz="8" w:color="auto"/>
            </w:tcBorders>
            <w:gridSpan w:val="5"/>
            <w:shd w:val="clear" w:color="auto" w:fill="B3B3B3"/>
          </w:tcPr>
          <w:p>
            <w:pPr>
              <w:jc w:val="center"/>
              <w:spacing w:after="0" w:line="108" w:lineRule="exact"/>
              <w:rPr>
                <w:sz w:val="20"/>
                <w:szCs w:val="20"/>
                <w:color w:val="auto"/>
              </w:rPr>
            </w:pPr>
            <w:r>
              <w:rPr>
                <w:rFonts w:ascii="Arial" w:cs="Arial" w:eastAsia="Arial" w:hAnsi="Arial"/>
                <w:sz w:val="12"/>
                <w:szCs w:val="12"/>
                <w:color w:val="auto"/>
              </w:rPr>
              <w:t>Eurodollar</w:t>
            </w: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120" w:type="dxa"/>
            <w:vAlign w:val="bottom"/>
            <w:tcBorders>
              <w:top w:val="single" w:sz="8" w:color="auto"/>
            </w:tcBorders>
            <w:shd w:val="clear" w:color="auto" w:fill="B3B3B3"/>
          </w:tcPr>
          <w:p>
            <w:pPr>
              <w:spacing w:after="0"/>
              <w:rPr>
                <w:sz w:val="9"/>
                <w:szCs w:val="9"/>
                <w:color w:val="auto"/>
              </w:rPr>
            </w:pPr>
          </w:p>
        </w:tc>
        <w:tc>
          <w:tcPr>
            <w:tcW w:w="580" w:type="dxa"/>
            <w:vAlign w:val="bottom"/>
            <w:tcBorders>
              <w:top w:val="single" w:sz="8" w:color="auto"/>
            </w:tcBorders>
            <w:gridSpan w:val="2"/>
            <w:shd w:val="clear" w:color="auto" w:fill="B3B3B3"/>
          </w:tcPr>
          <w:p>
            <w:pPr>
              <w:jc w:val="center"/>
              <w:ind w:right="120"/>
              <w:spacing w:after="0" w:line="108" w:lineRule="exact"/>
              <w:rPr>
                <w:sz w:val="20"/>
                <w:szCs w:val="20"/>
                <w:color w:val="auto"/>
              </w:rPr>
            </w:pPr>
            <w:r>
              <w:rPr>
                <w:rFonts w:ascii="Arial" w:cs="Arial" w:eastAsia="Arial" w:hAnsi="Arial"/>
                <w:sz w:val="12"/>
                <w:szCs w:val="12"/>
                <w:color w:val="auto"/>
                <w:w w:val="93"/>
              </w:rPr>
              <w:t>Fee Rate</w:t>
            </w: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 w:type="dxa"/>
            <w:vAlign w:val="bottom"/>
            <w:tcBorders>
              <w:top w:val="single" w:sz="8" w:color="B3B3B3"/>
              <w:left w:val="single" w:sz="8" w:color="auto"/>
            </w:tcBorders>
            <w:shd w:val="clear" w:color="auto" w:fill="B3B3B3"/>
          </w:tcPr>
          <w:p>
            <w:pPr>
              <w:spacing w:after="0"/>
              <w:rPr>
                <w:sz w:val="9"/>
                <w:szCs w:val="9"/>
                <w:color w:val="auto"/>
              </w:rPr>
            </w:pPr>
          </w:p>
        </w:tc>
        <w:tc>
          <w:tcPr>
            <w:tcW w:w="40" w:type="dxa"/>
            <w:vAlign w:val="bottom"/>
            <w:tcBorders>
              <w:top w:val="single" w:sz="8" w:color="B3B3B3"/>
            </w:tcBorders>
            <w:shd w:val="clear" w:color="auto" w:fill="B3B3B3"/>
          </w:tcPr>
          <w:p>
            <w:pPr>
              <w:spacing w:after="0"/>
              <w:rPr>
                <w:sz w:val="9"/>
                <w:szCs w:val="9"/>
                <w:color w:val="auto"/>
              </w:rPr>
            </w:pPr>
          </w:p>
        </w:tc>
        <w:tc>
          <w:tcPr>
            <w:tcW w:w="500" w:type="dxa"/>
            <w:vAlign w:val="bottom"/>
            <w:tcBorders>
              <w:top w:val="single" w:sz="8" w:color="auto"/>
            </w:tcBorders>
            <w:gridSpan w:val="5"/>
            <w:shd w:val="clear" w:color="auto" w:fill="B3B3B3"/>
          </w:tcPr>
          <w:p>
            <w:pPr>
              <w:jc w:val="center"/>
              <w:spacing w:after="0" w:line="108" w:lineRule="exact"/>
              <w:rPr>
                <w:sz w:val="20"/>
                <w:szCs w:val="20"/>
                <w:color w:val="auto"/>
              </w:rPr>
            </w:pPr>
            <w:r>
              <w:rPr>
                <w:rFonts w:ascii="Arial" w:cs="Arial" w:eastAsia="Arial" w:hAnsi="Arial"/>
                <w:sz w:val="12"/>
                <w:szCs w:val="12"/>
                <w:color w:val="auto"/>
                <w:w w:val="99"/>
              </w:rPr>
              <w:t>Ratio</w:t>
            </w:r>
          </w:p>
        </w:tc>
        <w:tc>
          <w:tcPr>
            <w:tcW w:w="60" w:type="dxa"/>
            <w:vAlign w:val="bottom"/>
            <w:tcBorders>
              <w:top w:val="single" w:sz="8" w:color="B3B3B3"/>
            </w:tcBorders>
            <w:shd w:val="clear" w:color="auto" w:fill="B3B3B3"/>
          </w:tcPr>
          <w:p>
            <w:pPr>
              <w:spacing w:after="0"/>
              <w:rPr>
                <w:sz w:val="9"/>
                <w:szCs w:val="9"/>
                <w:color w:val="auto"/>
              </w:rPr>
            </w:pPr>
          </w:p>
        </w:tc>
        <w:tc>
          <w:tcPr>
            <w:tcW w:w="44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700" w:type="dxa"/>
            <w:vAlign w:val="bottom"/>
            <w:tcBorders>
              <w:top w:val="single" w:sz="8" w:color="auto"/>
            </w:tcBorders>
            <w:gridSpan w:val="3"/>
            <w:shd w:val="clear" w:color="auto" w:fill="B3B3B3"/>
          </w:tcPr>
          <w:p>
            <w:pPr>
              <w:jc w:val="center"/>
              <w:spacing w:after="0" w:line="108" w:lineRule="exact"/>
              <w:rPr>
                <w:sz w:val="20"/>
                <w:szCs w:val="20"/>
                <w:color w:val="auto"/>
              </w:rPr>
            </w:pPr>
            <w:r>
              <w:rPr>
                <w:rFonts w:ascii="Arial" w:cs="Arial" w:eastAsia="Arial" w:hAnsi="Arial"/>
                <w:sz w:val="12"/>
                <w:szCs w:val="12"/>
                <w:color w:val="auto"/>
              </w:rPr>
              <w:t>ABR Spread</w:t>
            </w:r>
          </w:p>
        </w:tc>
        <w:tc>
          <w:tcPr>
            <w:tcW w:w="20" w:type="dxa"/>
            <w:vAlign w:val="bottom"/>
            <w:tcBorders>
              <w:top w:val="single" w:sz="8" w:color="B3B3B3"/>
            </w:tcBorders>
            <w:shd w:val="clear" w:color="auto" w:fill="B3B3B3"/>
          </w:tcPr>
          <w:p>
            <w:pPr>
              <w:spacing w:after="0"/>
              <w:rPr>
                <w:sz w:val="9"/>
                <w:szCs w:val="9"/>
                <w:color w:val="auto"/>
              </w:rPr>
            </w:pPr>
          </w:p>
        </w:tc>
        <w:tc>
          <w:tcPr>
            <w:tcW w:w="20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80" w:type="dxa"/>
            <w:vAlign w:val="bottom"/>
            <w:tcBorders>
              <w:top w:val="single" w:sz="8" w:color="auto"/>
            </w:tcBorders>
            <w:shd w:val="clear" w:color="auto" w:fill="B3B3B3"/>
          </w:tcPr>
          <w:p>
            <w:pPr>
              <w:spacing w:after="0"/>
              <w:rPr>
                <w:sz w:val="9"/>
                <w:szCs w:val="9"/>
                <w:color w:val="auto"/>
              </w:rPr>
            </w:pPr>
          </w:p>
        </w:tc>
        <w:tc>
          <w:tcPr>
            <w:tcW w:w="620" w:type="dxa"/>
            <w:vAlign w:val="bottom"/>
            <w:tcBorders>
              <w:top w:val="single" w:sz="8" w:color="auto"/>
            </w:tcBorders>
            <w:gridSpan w:val="5"/>
            <w:shd w:val="clear" w:color="auto" w:fill="B3B3B3"/>
          </w:tcPr>
          <w:p>
            <w:pPr>
              <w:jc w:val="center"/>
              <w:ind w:right="60"/>
              <w:spacing w:after="0" w:line="108" w:lineRule="exact"/>
              <w:rPr>
                <w:sz w:val="20"/>
                <w:szCs w:val="20"/>
                <w:color w:val="auto"/>
              </w:rPr>
            </w:pPr>
            <w:r>
              <w:rPr>
                <w:rFonts w:ascii="Arial" w:cs="Arial" w:eastAsia="Arial" w:hAnsi="Arial"/>
                <w:sz w:val="12"/>
                <w:szCs w:val="12"/>
                <w:color w:val="auto"/>
              </w:rPr>
              <w:t>Eurodollar</w:t>
            </w: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680" w:type="dxa"/>
            <w:vAlign w:val="bottom"/>
            <w:tcBorders>
              <w:top w:val="single" w:sz="8" w:color="auto"/>
            </w:tcBorders>
            <w:shd w:val="clear" w:color="auto" w:fill="B3B3B3"/>
          </w:tcPr>
          <w:p>
            <w:pPr>
              <w:spacing w:after="0"/>
              <w:rPr>
                <w:sz w:val="9"/>
                <w:szCs w:val="9"/>
                <w:color w:val="auto"/>
              </w:rPr>
            </w:pPr>
          </w:p>
        </w:tc>
        <w:tc>
          <w:tcPr>
            <w:tcW w:w="20" w:type="dxa"/>
            <w:vAlign w:val="bottom"/>
            <w:tcBorders>
              <w:top w:val="single" w:sz="8" w:color="B3B3B3"/>
            </w:tcBorders>
            <w:shd w:val="clear" w:color="auto" w:fill="B3B3B3"/>
          </w:tcPr>
          <w:p>
            <w:pPr>
              <w:spacing w:after="0"/>
              <w:rPr>
                <w:sz w:val="9"/>
                <w:szCs w:val="9"/>
                <w:color w:val="auto"/>
              </w:rPr>
            </w:pP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80" w:type="dxa"/>
            <w:vAlign w:val="bottom"/>
            <w:tcBorders>
              <w:top w:val="single" w:sz="8" w:color="B3B3B3"/>
            </w:tcBorders>
            <w:shd w:val="clear" w:color="auto" w:fill="B3B3B3"/>
          </w:tcPr>
          <w:p>
            <w:pPr>
              <w:spacing w:after="0"/>
              <w:rPr>
                <w:sz w:val="9"/>
                <w:szCs w:val="9"/>
                <w:color w:val="auto"/>
              </w:rPr>
            </w:pPr>
          </w:p>
        </w:tc>
        <w:tc>
          <w:tcPr>
            <w:tcW w:w="100" w:type="dxa"/>
            <w:vAlign w:val="bottom"/>
            <w:tcBorders>
              <w:top w:val="single" w:sz="8" w:color="auto"/>
            </w:tcBorders>
            <w:shd w:val="clear" w:color="auto" w:fill="B3B3B3"/>
          </w:tcPr>
          <w:p>
            <w:pPr>
              <w:spacing w:after="0"/>
              <w:rPr>
                <w:sz w:val="9"/>
                <w:szCs w:val="9"/>
                <w:color w:val="auto"/>
              </w:rPr>
            </w:pPr>
          </w:p>
        </w:tc>
        <w:tc>
          <w:tcPr>
            <w:tcW w:w="460" w:type="dxa"/>
            <w:vAlign w:val="bottom"/>
            <w:tcBorders>
              <w:top w:val="single" w:sz="8" w:color="auto"/>
            </w:tcBorders>
            <w:gridSpan w:val="2"/>
            <w:shd w:val="clear" w:color="auto" w:fill="B3B3B3"/>
          </w:tcPr>
          <w:p>
            <w:pPr>
              <w:jc w:val="center"/>
              <w:ind w:right="100"/>
              <w:spacing w:after="0" w:line="108" w:lineRule="exact"/>
              <w:rPr>
                <w:sz w:val="20"/>
                <w:szCs w:val="20"/>
                <w:color w:val="auto"/>
              </w:rPr>
            </w:pPr>
            <w:r>
              <w:rPr>
                <w:rFonts w:ascii="Arial" w:cs="Arial" w:eastAsia="Arial" w:hAnsi="Arial"/>
                <w:sz w:val="12"/>
                <w:szCs w:val="12"/>
                <w:color w:val="auto"/>
                <w:w w:val="92"/>
              </w:rPr>
              <w:t>Spread</w:t>
            </w:r>
          </w:p>
        </w:tc>
        <w:tc>
          <w:tcPr>
            <w:tcW w:w="300" w:type="dxa"/>
            <w:vAlign w:val="bottom"/>
            <w:tcBorders>
              <w:top w:val="single" w:sz="8" w:color="B3B3B3"/>
              <w:right w:val="single" w:sz="8" w:color="auto"/>
            </w:tcBorders>
            <w:gridSpan w:val="2"/>
            <w:shd w:val="clear" w:color="auto" w:fill="B3B3B3"/>
          </w:tcPr>
          <w:p>
            <w:pPr>
              <w:spacing w:after="0"/>
              <w:rPr>
                <w:sz w:val="9"/>
                <w:szCs w:val="9"/>
                <w:color w:val="auto"/>
              </w:rPr>
            </w:pPr>
          </w:p>
        </w:tc>
        <w:tc>
          <w:tcPr>
            <w:tcW w:w="180" w:type="dxa"/>
            <w:vAlign w:val="bottom"/>
            <w:tcBorders>
              <w:top w:val="single" w:sz="8" w:color="B3B3B3"/>
            </w:tcBorders>
            <w:shd w:val="clear" w:color="auto" w:fill="B3B3B3"/>
          </w:tcPr>
          <w:p>
            <w:pPr>
              <w:spacing w:after="0"/>
              <w:rPr>
                <w:sz w:val="9"/>
                <w:szCs w:val="9"/>
                <w:color w:val="auto"/>
              </w:rPr>
            </w:pPr>
          </w:p>
        </w:tc>
        <w:tc>
          <w:tcPr>
            <w:tcW w:w="120" w:type="dxa"/>
            <w:vAlign w:val="bottom"/>
            <w:tcBorders>
              <w:top w:val="single" w:sz="8" w:color="B3B3B3"/>
            </w:tcBorders>
            <w:shd w:val="clear" w:color="auto" w:fill="B3B3B3"/>
          </w:tcPr>
          <w:p>
            <w:pPr>
              <w:spacing w:after="0"/>
              <w:rPr>
                <w:sz w:val="9"/>
                <w:szCs w:val="9"/>
                <w:color w:val="auto"/>
              </w:rPr>
            </w:pPr>
          </w:p>
        </w:tc>
        <w:tc>
          <w:tcPr>
            <w:tcW w:w="460" w:type="dxa"/>
            <w:vAlign w:val="bottom"/>
            <w:tcBorders>
              <w:top w:val="single" w:sz="8" w:color="auto"/>
            </w:tcBorders>
            <w:shd w:val="clear" w:color="auto" w:fill="B3B3B3"/>
          </w:tcPr>
          <w:p>
            <w:pPr>
              <w:spacing w:after="0"/>
              <w:rPr>
                <w:sz w:val="9"/>
                <w:szCs w:val="9"/>
                <w:color w:val="auto"/>
              </w:rPr>
            </w:pPr>
          </w:p>
        </w:tc>
        <w:tc>
          <w:tcPr>
            <w:tcW w:w="120" w:type="dxa"/>
            <w:vAlign w:val="bottom"/>
            <w:tcBorders>
              <w:top w:val="single" w:sz="8" w:color="B3B3B3"/>
            </w:tcBorders>
            <w:shd w:val="clear" w:color="auto" w:fill="B3B3B3"/>
          </w:tcPr>
          <w:p>
            <w:pPr>
              <w:spacing w:after="0"/>
              <w:rPr>
                <w:sz w:val="9"/>
                <w:szCs w:val="9"/>
                <w:color w:val="auto"/>
              </w:rPr>
            </w:pPr>
          </w:p>
        </w:tc>
        <w:tc>
          <w:tcPr>
            <w:tcW w:w="220" w:type="dxa"/>
            <w:vAlign w:val="bottom"/>
            <w:tcBorders>
              <w:top w:val="single" w:sz="8" w:color="B3B3B3"/>
              <w:right w:val="single" w:sz="8" w:color="auto"/>
            </w:tcBorders>
            <w:shd w:val="clear" w:color="auto" w:fill="B3B3B3"/>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 w:type="dxa"/>
            <w:vAlign w:val="bottom"/>
            <w:tcBorders>
              <w:top w:val="single" w:sz="8" w:color="B3B3B3"/>
              <w:left w:val="single" w:sz="8" w:color="auto"/>
              <w:bottom w:val="single" w:sz="8" w:color="auto"/>
            </w:tcBorders>
            <w:shd w:val="clear" w:color="auto" w:fill="B3B3B3"/>
          </w:tcPr>
          <w:p>
            <w:pPr>
              <w:spacing w:after="0"/>
              <w:rPr>
                <w:sz w:val="9"/>
                <w:szCs w:val="9"/>
                <w:color w:val="auto"/>
              </w:rPr>
            </w:pPr>
          </w:p>
        </w:tc>
        <w:tc>
          <w:tcPr>
            <w:tcW w:w="40" w:type="dxa"/>
            <w:vAlign w:val="bottom"/>
            <w:tcBorders>
              <w:top w:val="single" w:sz="8" w:color="B3B3B3"/>
              <w:bottom w:val="single" w:sz="8" w:color="auto"/>
            </w:tcBorders>
            <w:shd w:val="clear" w:color="auto" w:fill="B3B3B3"/>
          </w:tcPr>
          <w:p>
            <w:pPr>
              <w:spacing w:after="0"/>
              <w:rPr>
                <w:sz w:val="9"/>
                <w:szCs w:val="9"/>
                <w:color w:val="auto"/>
              </w:rPr>
            </w:pPr>
          </w:p>
        </w:tc>
        <w:tc>
          <w:tcPr>
            <w:tcW w:w="120" w:type="dxa"/>
            <w:vAlign w:val="bottom"/>
            <w:tcBorders>
              <w:top w:val="single" w:sz="8" w:color="B3B3B3"/>
              <w:bottom w:val="single" w:sz="8" w:color="auto"/>
            </w:tcBorders>
            <w:shd w:val="clear" w:color="auto" w:fill="B3B3B3"/>
          </w:tcPr>
          <w:p>
            <w:pPr>
              <w:spacing w:after="0"/>
              <w:rPr>
                <w:sz w:val="9"/>
                <w:szCs w:val="9"/>
                <w:color w:val="auto"/>
              </w:rPr>
            </w:pPr>
          </w:p>
        </w:tc>
        <w:tc>
          <w:tcPr>
            <w:tcW w:w="20" w:type="dxa"/>
            <w:vAlign w:val="bottom"/>
            <w:tcBorders>
              <w:top w:val="single" w:sz="8" w:color="auto"/>
              <w:bottom w:val="single" w:sz="8" w:color="auto"/>
            </w:tcBorders>
            <w:shd w:val="clear" w:color="auto" w:fill="B3B3B3"/>
          </w:tcPr>
          <w:p>
            <w:pPr>
              <w:spacing w:after="0"/>
              <w:rPr>
                <w:sz w:val="9"/>
                <w:szCs w:val="9"/>
                <w:color w:val="auto"/>
              </w:rPr>
            </w:pPr>
          </w:p>
        </w:tc>
        <w:tc>
          <w:tcPr>
            <w:tcW w:w="260" w:type="dxa"/>
            <w:vAlign w:val="bottom"/>
            <w:tcBorders>
              <w:top w:val="single" w:sz="8" w:color="auto"/>
              <w:bottom w:val="single" w:sz="8" w:color="auto"/>
            </w:tcBorders>
            <w:shd w:val="clear" w:color="auto" w:fill="B3B3B3"/>
          </w:tcPr>
          <w:p>
            <w:pPr>
              <w:spacing w:after="0"/>
              <w:rPr>
                <w:sz w:val="9"/>
                <w:szCs w:val="9"/>
                <w:color w:val="auto"/>
              </w:rPr>
            </w:pPr>
          </w:p>
        </w:tc>
        <w:tc>
          <w:tcPr>
            <w:tcW w:w="20" w:type="dxa"/>
            <w:vAlign w:val="bottom"/>
            <w:tcBorders>
              <w:top w:val="single" w:sz="8" w:color="auto"/>
              <w:bottom w:val="single" w:sz="8" w:color="auto"/>
            </w:tcBorders>
            <w:shd w:val="clear" w:color="auto" w:fill="B3B3B3"/>
          </w:tcPr>
          <w:p>
            <w:pPr>
              <w:spacing w:after="0"/>
              <w:rPr>
                <w:sz w:val="9"/>
                <w:szCs w:val="9"/>
                <w:color w:val="auto"/>
              </w:rPr>
            </w:pPr>
          </w:p>
        </w:tc>
        <w:tc>
          <w:tcPr>
            <w:tcW w:w="80" w:type="dxa"/>
            <w:vAlign w:val="bottom"/>
            <w:tcBorders>
              <w:top w:val="single" w:sz="8" w:color="B3B3B3"/>
              <w:bottom w:val="single" w:sz="8" w:color="auto"/>
            </w:tcBorders>
            <w:shd w:val="clear" w:color="auto" w:fill="B3B3B3"/>
          </w:tcPr>
          <w:p>
            <w:pPr>
              <w:spacing w:after="0"/>
              <w:rPr>
                <w:sz w:val="9"/>
                <w:szCs w:val="9"/>
                <w:color w:val="auto"/>
              </w:rPr>
            </w:pPr>
          </w:p>
        </w:tc>
        <w:tc>
          <w:tcPr>
            <w:tcW w:w="60" w:type="dxa"/>
            <w:vAlign w:val="bottom"/>
            <w:tcBorders>
              <w:top w:val="single" w:sz="8" w:color="B3B3B3"/>
              <w:bottom w:val="single" w:sz="8" w:color="auto"/>
            </w:tcBorders>
            <w:shd w:val="clear" w:color="auto" w:fill="B3B3B3"/>
          </w:tcPr>
          <w:p>
            <w:pPr>
              <w:spacing w:after="0"/>
              <w:rPr>
                <w:sz w:val="9"/>
                <w:szCs w:val="9"/>
                <w:color w:val="auto"/>
              </w:rPr>
            </w:pPr>
          </w:p>
        </w:tc>
        <w:tc>
          <w:tcPr>
            <w:tcW w:w="440" w:type="dxa"/>
            <w:vAlign w:val="bottom"/>
            <w:tcBorders>
              <w:top w:val="single" w:sz="8" w:color="B3B3B3"/>
              <w:bottom w:val="single" w:sz="8" w:color="auto"/>
              <w:right w:val="single" w:sz="8" w:color="auto"/>
            </w:tcBorders>
            <w:shd w:val="clear" w:color="auto" w:fill="B3B3B3"/>
          </w:tcPr>
          <w:p>
            <w:pPr>
              <w:spacing w:after="0"/>
              <w:rPr>
                <w:sz w:val="9"/>
                <w:szCs w:val="9"/>
                <w:color w:val="auto"/>
              </w:rPr>
            </w:pPr>
          </w:p>
        </w:tc>
        <w:tc>
          <w:tcPr>
            <w:tcW w:w="180" w:type="dxa"/>
            <w:vAlign w:val="bottom"/>
            <w:tcBorders>
              <w:top w:val="single" w:sz="8" w:color="B3B3B3"/>
              <w:bottom w:val="single" w:sz="8" w:color="auto"/>
            </w:tcBorders>
            <w:shd w:val="clear" w:color="auto" w:fill="B3B3B3"/>
          </w:tcPr>
          <w:p>
            <w:pPr>
              <w:spacing w:after="0"/>
              <w:rPr>
                <w:sz w:val="9"/>
                <w:szCs w:val="9"/>
                <w:color w:val="auto"/>
              </w:rPr>
            </w:pPr>
          </w:p>
        </w:tc>
        <w:tc>
          <w:tcPr>
            <w:tcW w:w="20" w:type="dxa"/>
            <w:vAlign w:val="bottom"/>
            <w:tcBorders>
              <w:top w:val="single" w:sz="8" w:color="auto"/>
              <w:bottom w:val="single" w:sz="8" w:color="auto"/>
            </w:tcBorders>
            <w:shd w:val="clear" w:color="auto" w:fill="B3B3B3"/>
          </w:tcPr>
          <w:p>
            <w:pPr>
              <w:spacing w:after="0"/>
              <w:rPr>
                <w:sz w:val="9"/>
                <w:szCs w:val="9"/>
                <w:color w:val="auto"/>
              </w:rPr>
            </w:pPr>
          </w:p>
        </w:tc>
        <w:tc>
          <w:tcPr>
            <w:tcW w:w="60" w:type="dxa"/>
            <w:vAlign w:val="bottom"/>
            <w:tcBorders>
              <w:top w:val="single" w:sz="8" w:color="auto"/>
              <w:bottom w:val="single" w:sz="8" w:color="auto"/>
            </w:tcBorders>
            <w:shd w:val="clear" w:color="auto" w:fill="B3B3B3"/>
          </w:tcPr>
          <w:p>
            <w:pPr>
              <w:spacing w:after="0"/>
              <w:rPr>
                <w:sz w:val="9"/>
                <w:szCs w:val="9"/>
                <w:color w:val="auto"/>
              </w:rPr>
            </w:pPr>
          </w:p>
        </w:tc>
        <w:tc>
          <w:tcPr>
            <w:tcW w:w="560" w:type="dxa"/>
            <w:vAlign w:val="bottom"/>
            <w:tcBorders>
              <w:top w:val="single" w:sz="8" w:color="auto"/>
              <w:bottom w:val="single" w:sz="8" w:color="auto"/>
            </w:tcBorders>
            <w:shd w:val="clear" w:color="auto" w:fill="B3B3B3"/>
          </w:tcPr>
          <w:p>
            <w:pPr>
              <w:spacing w:after="0"/>
              <w:rPr>
                <w:sz w:val="9"/>
                <w:szCs w:val="9"/>
                <w:color w:val="auto"/>
              </w:rPr>
            </w:pPr>
          </w:p>
        </w:tc>
        <w:tc>
          <w:tcPr>
            <w:tcW w:w="80" w:type="dxa"/>
            <w:vAlign w:val="bottom"/>
            <w:tcBorders>
              <w:top w:val="single" w:sz="8" w:color="auto"/>
              <w:bottom w:val="single" w:sz="8" w:color="auto"/>
            </w:tcBorders>
            <w:shd w:val="clear" w:color="auto" w:fill="B3B3B3"/>
          </w:tcPr>
          <w:p>
            <w:pPr>
              <w:spacing w:after="0"/>
              <w:rPr>
                <w:sz w:val="9"/>
                <w:szCs w:val="9"/>
                <w:color w:val="auto"/>
              </w:rPr>
            </w:pPr>
          </w:p>
        </w:tc>
        <w:tc>
          <w:tcPr>
            <w:tcW w:w="20" w:type="dxa"/>
            <w:vAlign w:val="bottom"/>
            <w:tcBorders>
              <w:top w:val="single" w:sz="8" w:color="auto"/>
              <w:bottom w:val="single" w:sz="8" w:color="auto"/>
            </w:tcBorders>
            <w:shd w:val="clear" w:color="auto" w:fill="B3B3B3"/>
          </w:tcPr>
          <w:p>
            <w:pPr>
              <w:spacing w:after="0"/>
              <w:rPr>
                <w:sz w:val="9"/>
                <w:szCs w:val="9"/>
                <w:color w:val="auto"/>
              </w:rPr>
            </w:pPr>
          </w:p>
        </w:tc>
        <w:tc>
          <w:tcPr>
            <w:tcW w:w="200" w:type="dxa"/>
            <w:vAlign w:val="bottom"/>
            <w:tcBorders>
              <w:top w:val="single" w:sz="8" w:color="B3B3B3"/>
              <w:bottom w:val="single" w:sz="8" w:color="auto"/>
              <w:right w:val="single" w:sz="8" w:color="auto"/>
            </w:tcBorders>
            <w:shd w:val="clear" w:color="auto" w:fill="B3B3B3"/>
          </w:tcPr>
          <w:p>
            <w:pPr>
              <w:spacing w:after="0"/>
              <w:rPr>
                <w:sz w:val="9"/>
                <w:szCs w:val="9"/>
                <w:color w:val="auto"/>
              </w:rPr>
            </w:pPr>
          </w:p>
        </w:tc>
        <w:tc>
          <w:tcPr>
            <w:tcW w:w="180" w:type="dxa"/>
            <w:vAlign w:val="bottom"/>
            <w:tcBorders>
              <w:top w:val="single" w:sz="8" w:color="B3B3B3"/>
              <w:bottom w:val="single" w:sz="8" w:color="auto"/>
            </w:tcBorders>
            <w:shd w:val="clear" w:color="auto" w:fill="B3B3B3"/>
          </w:tcPr>
          <w:p>
            <w:pPr>
              <w:spacing w:after="0"/>
              <w:rPr>
                <w:sz w:val="9"/>
                <w:szCs w:val="9"/>
                <w:color w:val="auto"/>
              </w:rPr>
            </w:pPr>
          </w:p>
        </w:tc>
        <w:tc>
          <w:tcPr>
            <w:tcW w:w="80" w:type="dxa"/>
            <w:vAlign w:val="bottom"/>
            <w:tcBorders>
              <w:top w:val="single" w:sz="8" w:color="B3B3B3"/>
              <w:bottom w:val="single" w:sz="8" w:color="auto"/>
            </w:tcBorders>
            <w:shd w:val="clear" w:color="auto" w:fill="B3B3B3"/>
          </w:tcPr>
          <w:p>
            <w:pPr>
              <w:spacing w:after="0"/>
              <w:rPr>
                <w:sz w:val="9"/>
                <w:szCs w:val="9"/>
                <w:color w:val="auto"/>
              </w:rPr>
            </w:pPr>
          </w:p>
        </w:tc>
        <w:tc>
          <w:tcPr>
            <w:tcW w:w="20" w:type="dxa"/>
            <w:vAlign w:val="bottom"/>
            <w:tcBorders>
              <w:top w:val="single" w:sz="8" w:color="auto"/>
              <w:bottom w:val="single" w:sz="8" w:color="auto"/>
            </w:tcBorders>
            <w:shd w:val="clear" w:color="auto" w:fill="B3B3B3"/>
          </w:tcPr>
          <w:p>
            <w:pPr>
              <w:spacing w:after="0"/>
              <w:rPr>
                <w:sz w:val="9"/>
                <w:szCs w:val="9"/>
                <w:color w:val="auto"/>
              </w:rPr>
            </w:pPr>
          </w:p>
        </w:tc>
        <w:tc>
          <w:tcPr>
            <w:tcW w:w="560" w:type="dxa"/>
            <w:vAlign w:val="bottom"/>
            <w:tcBorders>
              <w:top w:val="single" w:sz="8" w:color="auto"/>
              <w:bottom w:val="single" w:sz="8" w:color="auto"/>
            </w:tcBorders>
            <w:gridSpan w:val="3"/>
            <w:shd w:val="clear" w:color="auto" w:fill="B3B3B3"/>
          </w:tcPr>
          <w:p>
            <w:pPr>
              <w:jc w:val="center"/>
              <w:ind w:right="40"/>
              <w:spacing w:after="0" w:line="108" w:lineRule="exact"/>
              <w:rPr>
                <w:sz w:val="20"/>
                <w:szCs w:val="20"/>
                <w:color w:val="auto"/>
              </w:rPr>
            </w:pPr>
            <w:r>
              <w:rPr>
                <w:rFonts w:ascii="Arial" w:cs="Arial" w:eastAsia="Arial" w:hAnsi="Arial"/>
                <w:sz w:val="12"/>
                <w:szCs w:val="12"/>
                <w:color w:val="auto"/>
                <w:w w:val="92"/>
              </w:rPr>
              <w:t>Spread</w:t>
            </w:r>
          </w:p>
        </w:tc>
        <w:tc>
          <w:tcPr>
            <w:tcW w:w="260" w:type="dxa"/>
            <w:vAlign w:val="bottom"/>
            <w:tcBorders>
              <w:top w:val="single" w:sz="8" w:color="B3B3B3"/>
              <w:bottom w:val="single" w:sz="8" w:color="auto"/>
              <w:right w:val="single" w:sz="8" w:color="auto"/>
            </w:tcBorders>
            <w:gridSpan w:val="2"/>
            <w:shd w:val="clear" w:color="auto" w:fill="B3B3B3"/>
          </w:tcPr>
          <w:p>
            <w:pPr>
              <w:spacing w:after="0"/>
              <w:rPr>
                <w:sz w:val="9"/>
                <w:szCs w:val="9"/>
                <w:color w:val="auto"/>
              </w:rPr>
            </w:pPr>
          </w:p>
        </w:tc>
        <w:tc>
          <w:tcPr>
            <w:tcW w:w="180" w:type="dxa"/>
            <w:vAlign w:val="bottom"/>
            <w:tcBorders>
              <w:top w:val="single" w:sz="8" w:color="B3B3B3"/>
              <w:bottom w:val="single" w:sz="8" w:color="auto"/>
            </w:tcBorders>
            <w:shd w:val="clear" w:color="auto" w:fill="B3B3B3"/>
          </w:tcPr>
          <w:p>
            <w:pPr>
              <w:spacing w:after="0"/>
              <w:rPr>
                <w:sz w:val="9"/>
                <w:szCs w:val="9"/>
                <w:color w:val="auto"/>
              </w:rPr>
            </w:pPr>
          </w:p>
        </w:tc>
        <w:tc>
          <w:tcPr>
            <w:tcW w:w="20" w:type="dxa"/>
            <w:vAlign w:val="bottom"/>
            <w:tcBorders>
              <w:top w:val="single" w:sz="8" w:color="B3B3B3"/>
              <w:bottom w:val="single" w:sz="8" w:color="auto"/>
            </w:tcBorders>
            <w:shd w:val="clear" w:color="auto" w:fill="B3B3B3"/>
          </w:tcPr>
          <w:p>
            <w:pPr>
              <w:spacing w:after="0"/>
              <w:rPr>
                <w:sz w:val="9"/>
                <w:szCs w:val="9"/>
                <w:color w:val="auto"/>
              </w:rPr>
            </w:pPr>
          </w:p>
        </w:tc>
        <w:tc>
          <w:tcPr>
            <w:tcW w:w="680" w:type="dxa"/>
            <w:vAlign w:val="bottom"/>
            <w:tcBorders>
              <w:top w:val="single" w:sz="8" w:color="B3B3B3"/>
              <w:bottom w:val="single" w:sz="8" w:color="auto"/>
            </w:tcBorders>
            <w:shd w:val="clear" w:color="auto" w:fill="B3B3B3"/>
          </w:tcPr>
          <w:p>
            <w:pPr>
              <w:spacing w:after="0"/>
              <w:rPr>
                <w:sz w:val="9"/>
                <w:szCs w:val="9"/>
                <w:color w:val="auto"/>
              </w:rPr>
            </w:pPr>
          </w:p>
        </w:tc>
        <w:tc>
          <w:tcPr>
            <w:tcW w:w="20" w:type="dxa"/>
            <w:vAlign w:val="bottom"/>
            <w:tcBorders>
              <w:top w:val="single" w:sz="8" w:color="B3B3B3"/>
              <w:bottom w:val="single" w:sz="8" w:color="auto"/>
            </w:tcBorders>
            <w:shd w:val="clear" w:color="auto" w:fill="B3B3B3"/>
          </w:tcPr>
          <w:p>
            <w:pPr>
              <w:spacing w:after="0"/>
              <w:rPr>
                <w:sz w:val="9"/>
                <w:szCs w:val="9"/>
                <w:color w:val="auto"/>
              </w:rPr>
            </w:pPr>
          </w:p>
        </w:tc>
        <w:tc>
          <w:tcPr>
            <w:tcW w:w="220" w:type="dxa"/>
            <w:vAlign w:val="bottom"/>
            <w:tcBorders>
              <w:top w:val="single" w:sz="8" w:color="B3B3B3"/>
              <w:bottom w:val="single" w:sz="8" w:color="auto"/>
              <w:right w:val="single" w:sz="8" w:color="auto"/>
            </w:tcBorders>
            <w:shd w:val="clear" w:color="auto" w:fill="B3B3B3"/>
          </w:tcPr>
          <w:p>
            <w:pPr>
              <w:spacing w:after="0"/>
              <w:rPr>
                <w:sz w:val="9"/>
                <w:szCs w:val="9"/>
                <w:color w:val="auto"/>
              </w:rPr>
            </w:pPr>
          </w:p>
        </w:tc>
        <w:tc>
          <w:tcPr>
            <w:tcW w:w="180" w:type="dxa"/>
            <w:vAlign w:val="bottom"/>
            <w:tcBorders>
              <w:top w:val="single" w:sz="8" w:color="B3B3B3"/>
              <w:bottom w:val="single" w:sz="8" w:color="auto"/>
            </w:tcBorders>
            <w:shd w:val="clear" w:color="auto" w:fill="B3B3B3"/>
          </w:tcPr>
          <w:p>
            <w:pPr>
              <w:spacing w:after="0"/>
              <w:rPr>
                <w:sz w:val="9"/>
                <w:szCs w:val="9"/>
                <w:color w:val="auto"/>
              </w:rPr>
            </w:pPr>
          </w:p>
        </w:tc>
        <w:tc>
          <w:tcPr>
            <w:tcW w:w="80" w:type="dxa"/>
            <w:vAlign w:val="bottom"/>
            <w:tcBorders>
              <w:top w:val="single" w:sz="8" w:color="B3B3B3"/>
              <w:bottom w:val="single" w:sz="8" w:color="auto"/>
            </w:tcBorders>
            <w:shd w:val="clear" w:color="auto" w:fill="B3B3B3"/>
          </w:tcPr>
          <w:p>
            <w:pPr>
              <w:spacing w:after="0"/>
              <w:rPr>
                <w:sz w:val="9"/>
                <w:szCs w:val="9"/>
                <w:color w:val="auto"/>
              </w:rPr>
            </w:pPr>
          </w:p>
        </w:tc>
        <w:tc>
          <w:tcPr>
            <w:tcW w:w="100" w:type="dxa"/>
            <w:vAlign w:val="bottom"/>
            <w:tcBorders>
              <w:top w:val="single" w:sz="8" w:color="B3B3B3"/>
              <w:bottom w:val="single" w:sz="8" w:color="auto"/>
            </w:tcBorders>
            <w:shd w:val="clear" w:color="auto" w:fill="B3B3B3"/>
          </w:tcPr>
          <w:p>
            <w:pPr>
              <w:spacing w:after="0"/>
              <w:rPr>
                <w:sz w:val="9"/>
                <w:szCs w:val="9"/>
                <w:color w:val="auto"/>
              </w:rPr>
            </w:pPr>
          </w:p>
        </w:tc>
        <w:tc>
          <w:tcPr>
            <w:tcW w:w="360" w:type="dxa"/>
            <w:vAlign w:val="bottom"/>
            <w:tcBorders>
              <w:top w:val="single" w:sz="8" w:color="auto"/>
              <w:bottom w:val="single" w:sz="8" w:color="auto"/>
            </w:tcBorders>
            <w:shd w:val="clear" w:color="auto" w:fill="B3B3B3"/>
          </w:tcPr>
          <w:p>
            <w:pPr>
              <w:spacing w:after="0"/>
              <w:rPr>
                <w:sz w:val="9"/>
                <w:szCs w:val="9"/>
                <w:color w:val="auto"/>
              </w:rPr>
            </w:pPr>
          </w:p>
        </w:tc>
        <w:tc>
          <w:tcPr>
            <w:tcW w:w="100" w:type="dxa"/>
            <w:vAlign w:val="bottom"/>
            <w:tcBorders>
              <w:top w:val="single" w:sz="8" w:color="B3B3B3"/>
              <w:bottom w:val="single" w:sz="8" w:color="auto"/>
            </w:tcBorders>
            <w:shd w:val="clear" w:color="auto" w:fill="B3B3B3"/>
          </w:tcPr>
          <w:p>
            <w:pPr>
              <w:spacing w:after="0"/>
              <w:rPr>
                <w:sz w:val="9"/>
                <w:szCs w:val="9"/>
                <w:color w:val="auto"/>
              </w:rPr>
            </w:pPr>
          </w:p>
        </w:tc>
        <w:tc>
          <w:tcPr>
            <w:tcW w:w="80" w:type="dxa"/>
            <w:vAlign w:val="bottom"/>
            <w:tcBorders>
              <w:top w:val="single" w:sz="8" w:color="B3B3B3"/>
              <w:bottom w:val="single" w:sz="8" w:color="auto"/>
            </w:tcBorders>
            <w:shd w:val="clear" w:color="auto" w:fill="B3B3B3"/>
          </w:tcPr>
          <w:p>
            <w:pPr>
              <w:spacing w:after="0"/>
              <w:rPr>
                <w:sz w:val="9"/>
                <w:szCs w:val="9"/>
                <w:color w:val="auto"/>
              </w:rPr>
            </w:pPr>
          </w:p>
        </w:tc>
        <w:tc>
          <w:tcPr>
            <w:tcW w:w="220" w:type="dxa"/>
            <w:vAlign w:val="bottom"/>
            <w:tcBorders>
              <w:top w:val="single" w:sz="8" w:color="B3B3B3"/>
              <w:bottom w:val="single" w:sz="8" w:color="auto"/>
              <w:right w:val="single" w:sz="8" w:color="auto"/>
            </w:tcBorders>
            <w:shd w:val="clear" w:color="auto" w:fill="B3B3B3"/>
          </w:tcPr>
          <w:p>
            <w:pPr>
              <w:spacing w:after="0"/>
              <w:rPr>
                <w:sz w:val="9"/>
                <w:szCs w:val="9"/>
                <w:color w:val="auto"/>
              </w:rPr>
            </w:pPr>
          </w:p>
        </w:tc>
        <w:tc>
          <w:tcPr>
            <w:tcW w:w="180" w:type="dxa"/>
            <w:vAlign w:val="bottom"/>
            <w:tcBorders>
              <w:top w:val="single" w:sz="8" w:color="B3B3B3"/>
              <w:bottom w:val="single" w:sz="8" w:color="auto"/>
            </w:tcBorders>
            <w:shd w:val="clear" w:color="auto" w:fill="B3B3B3"/>
          </w:tcPr>
          <w:p>
            <w:pPr>
              <w:spacing w:after="0"/>
              <w:rPr>
                <w:sz w:val="9"/>
                <w:szCs w:val="9"/>
                <w:color w:val="auto"/>
              </w:rPr>
            </w:pPr>
          </w:p>
        </w:tc>
        <w:tc>
          <w:tcPr>
            <w:tcW w:w="120" w:type="dxa"/>
            <w:vAlign w:val="bottom"/>
            <w:tcBorders>
              <w:top w:val="single" w:sz="8" w:color="B3B3B3"/>
              <w:bottom w:val="single" w:sz="8" w:color="auto"/>
            </w:tcBorders>
            <w:shd w:val="clear" w:color="auto" w:fill="B3B3B3"/>
          </w:tcPr>
          <w:p>
            <w:pPr>
              <w:spacing w:after="0"/>
              <w:rPr>
                <w:sz w:val="9"/>
                <w:szCs w:val="9"/>
                <w:color w:val="auto"/>
              </w:rPr>
            </w:pPr>
          </w:p>
        </w:tc>
        <w:tc>
          <w:tcPr>
            <w:tcW w:w="460" w:type="dxa"/>
            <w:vAlign w:val="bottom"/>
            <w:tcBorders>
              <w:top w:val="single" w:sz="8" w:color="B3B3B3"/>
              <w:bottom w:val="single" w:sz="8" w:color="auto"/>
            </w:tcBorders>
            <w:shd w:val="clear" w:color="auto" w:fill="B3B3B3"/>
          </w:tcPr>
          <w:p>
            <w:pPr>
              <w:spacing w:after="0"/>
              <w:rPr>
                <w:sz w:val="9"/>
                <w:szCs w:val="9"/>
                <w:color w:val="auto"/>
              </w:rPr>
            </w:pPr>
          </w:p>
        </w:tc>
        <w:tc>
          <w:tcPr>
            <w:tcW w:w="120" w:type="dxa"/>
            <w:vAlign w:val="bottom"/>
            <w:tcBorders>
              <w:top w:val="single" w:sz="8" w:color="B3B3B3"/>
              <w:bottom w:val="single" w:sz="8" w:color="auto"/>
            </w:tcBorders>
            <w:shd w:val="clear" w:color="auto" w:fill="B3B3B3"/>
          </w:tcPr>
          <w:p>
            <w:pPr>
              <w:spacing w:after="0"/>
              <w:rPr>
                <w:sz w:val="9"/>
                <w:szCs w:val="9"/>
                <w:color w:val="auto"/>
              </w:rPr>
            </w:pPr>
          </w:p>
        </w:tc>
        <w:tc>
          <w:tcPr>
            <w:tcW w:w="220" w:type="dxa"/>
            <w:vAlign w:val="bottom"/>
            <w:tcBorders>
              <w:top w:val="single" w:sz="8" w:color="B3B3B3"/>
              <w:bottom w:val="single" w:sz="8" w:color="auto"/>
              <w:right w:val="single" w:sz="8" w:color="auto"/>
            </w:tcBorders>
            <w:shd w:val="clear" w:color="auto" w:fill="B3B3B3"/>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0" w:type="dxa"/>
            <w:vAlign w:val="bottom"/>
            <w:tcBorders>
              <w:left w:val="single" w:sz="8" w:color="auto"/>
            </w:tcBorders>
          </w:tcPr>
          <w:p>
            <w:pPr>
              <w:spacing w:after="0"/>
              <w:rPr>
                <w:sz w:val="10"/>
                <w:szCs w:val="10"/>
                <w:color w:val="auto"/>
              </w:rPr>
            </w:pPr>
          </w:p>
        </w:tc>
        <w:tc>
          <w:tcPr>
            <w:tcW w:w="600" w:type="dxa"/>
            <w:vAlign w:val="bottom"/>
            <w:tcBorders>
              <w:bottom w:val="single" w:sz="8" w:color="auto"/>
            </w:tcBorders>
            <w:gridSpan w:val="7"/>
          </w:tcPr>
          <w:p>
            <w:pPr>
              <w:jc w:val="center"/>
              <w:spacing w:after="0" w:line="117" w:lineRule="exact"/>
              <w:rPr>
                <w:sz w:val="20"/>
                <w:szCs w:val="20"/>
                <w:color w:val="auto"/>
              </w:rPr>
            </w:pPr>
            <w:r>
              <w:rPr>
                <w:rFonts w:ascii="Arial" w:cs="Arial" w:eastAsia="Arial" w:hAnsi="Arial"/>
                <w:sz w:val="13"/>
                <w:szCs w:val="13"/>
                <w:color w:val="auto"/>
                <w:w w:val="94"/>
              </w:rPr>
              <w:t>Category 1</w:t>
            </w:r>
          </w:p>
        </w:tc>
        <w:tc>
          <w:tcPr>
            <w:tcW w:w="4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gridSpan w:val="9"/>
          </w:tcPr>
          <w:p>
            <w:pPr>
              <w:jc w:val="center"/>
              <w:spacing w:after="0"/>
              <w:rPr>
                <w:sz w:val="20"/>
                <w:szCs w:val="20"/>
                <w:color w:val="auto"/>
              </w:rPr>
            </w:pPr>
            <w:r>
              <w:rPr>
                <w:rFonts w:ascii="Arial" w:cs="Arial" w:eastAsia="Arial" w:hAnsi="Arial"/>
                <w:sz w:val="13"/>
                <w:szCs w:val="13"/>
                <w:color w:val="auto"/>
                <w:w w:val="91"/>
              </w:rPr>
              <w:t>&gt; 3.0 to 1.0</w:t>
            </w:r>
          </w:p>
        </w:tc>
        <w:tc>
          <w:tcPr>
            <w:tcW w:w="820" w:type="dxa"/>
            <w:vAlign w:val="bottom"/>
            <w:gridSpan w:val="4"/>
            <w:vMerge w:val="restart"/>
          </w:tcPr>
          <w:p>
            <w:pPr>
              <w:jc w:val="center"/>
              <w:ind w:left="213"/>
              <w:spacing w:after="0"/>
              <w:rPr>
                <w:sz w:val="20"/>
                <w:szCs w:val="20"/>
                <w:color w:val="auto"/>
              </w:rPr>
            </w:pPr>
            <w:r>
              <w:rPr>
                <w:rFonts w:ascii="Arial" w:cs="Arial" w:eastAsia="Arial" w:hAnsi="Arial"/>
                <w:sz w:val="13"/>
                <w:szCs w:val="13"/>
                <w:color w:val="auto"/>
                <w:w w:val="92"/>
              </w:rPr>
              <w:t>3.00%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73"/>
              <w:spacing w:after="0"/>
              <w:rPr>
                <w:sz w:val="20"/>
                <w:szCs w:val="20"/>
                <w:color w:val="auto"/>
              </w:rPr>
            </w:pPr>
            <w:r>
              <w:rPr>
                <w:rFonts w:ascii="Arial" w:cs="Arial" w:eastAsia="Arial" w:hAnsi="Arial"/>
                <w:sz w:val="13"/>
                <w:szCs w:val="13"/>
                <w:color w:val="auto"/>
                <w:w w:val="92"/>
              </w:rPr>
              <w:t>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80" w:type="dxa"/>
            <w:vAlign w:val="bottom"/>
            <w:gridSpan w:val="3"/>
            <w:vMerge w:val="restart"/>
          </w:tcPr>
          <w:p>
            <w:pPr>
              <w:jc w:val="center"/>
              <w:ind w:left="153"/>
              <w:spacing w:after="0"/>
              <w:rPr>
                <w:sz w:val="20"/>
                <w:szCs w:val="20"/>
                <w:color w:val="auto"/>
              </w:rPr>
            </w:pPr>
            <w:r>
              <w:rPr>
                <w:rFonts w:ascii="Arial" w:cs="Arial" w:eastAsia="Arial" w:hAnsi="Arial"/>
                <w:sz w:val="13"/>
                <w:szCs w:val="13"/>
                <w:color w:val="auto"/>
                <w:w w:val="92"/>
              </w:rPr>
              <w:t>3.00%</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93"/>
              <w:spacing w:after="0"/>
              <w:rPr>
                <w:sz w:val="20"/>
                <w:szCs w:val="20"/>
                <w:color w:val="auto"/>
              </w:rPr>
            </w:pPr>
            <w:r>
              <w:rPr>
                <w:rFonts w:ascii="Arial" w:cs="Arial" w:eastAsia="Arial" w:hAnsi="Arial"/>
                <w:sz w:val="13"/>
                <w:szCs w:val="13"/>
                <w:color w:val="auto"/>
                <w:w w:val="97"/>
              </w:rPr>
              <w:t>4.00%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60" w:type="dxa"/>
            <w:vAlign w:val="bottom"/>
            <w:gridSpan w:val="3"/>
            <w:vMerge w:val="restart"/>
          </w:tcPr>
          <w:p>
            <w:pPr>
              <w:jc w:val="center"/>
              <w:ind w:left="233"/>
              <w:spacing w:after="0"/>
              <w:rPr>
                <w:sz w:val="20"/>
                <w:szCs w:val="20"/>
                <w:color w:val="auto"/>
              </w:rPr>
            </w:pPr>
            <w:r>
              <w:rPr>
                <w:rFonts w:ascii="Arial" w:cs="Arial" w:eastAsia="Arial" w:hAnsi="Arial"/>
                <w:sz w:val="13"/>
                <w:szCs w:val="13"/>
                <w:color w:val="auto"/>
                <w:w w:val="92"/>
              </w:rPr>
              <w:t>0.50%</w:t>
            </w:r>
          </w:p>
        </w:tc>
        <w:tc>
          <w:tcPr>
            <w:tcW w:w="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4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600" w:type="dxa"/>
            <w:vAlign w:val="bottom"/>
            <w:tcBorders>
              <w:bottom w:val="single" w:sz="8" w:color="auto"/>
            </w:tcBorders>
            <w:gridSpan w:val="7"/>
          </w:tcPr>
          <w:p>
            <w:pPr>
              <w:jc w:val="center"/>
              <w:spacing w:after="0" w:line="108" w:lineRule="exact"/>
              <w:rPr>
                <w:sz w:val="20"/>
                <w:szCs w:val="20"/>
                <w:color w:val="auto"/>
              </w:rPr>
            </w:pPr>
            <w:r>
              <w:rPr>
                <w:rFonts w:ascii="Arial" w:cs="Arial" w:eastAsia="Arial" w:hAnsi="Arial"/>
                <w:sz w:val="12"/>
                <w:szCs w:val="12"/>
                <w:color w:val="auto"/>
              </w:rPr>
              <w:t>Category 2</w:t>
            </w:r>
          </w:p>
        </w:tc>
        <w:tc>
          <w:tcPr>
            <w:tcW w:w="4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980" w:type="dxa"/>
            <w:vAlign w:val="bottom"/>
            <w:tcBorders>
              <w:left w:val="single" w:sz="8" w:color="auto"/>
            </w:tcBorders>
            <w:gridSpan w:val="7"/>
          </w:tcPr>
          <w:p>
            <w:pPr>
              <w:ind w:left="320"/>
              <w:spacing w:after="0"/>
              <w:rPr>
                <w:sz w:val="20"/>
                <w:szCs w:val="20"/>
                <w:color w:val="auto"/>
              </w:rPr>
            </w:pPr>
            <w:r>
              <w:rPr>
                <w:rFonts w:ascii="Arial" w:cs="Arial" w:eastAsia="Arial" w:hAnsi="Arial"/>
                <w:sz w:val="13"/>
                <w:szCs w:val="13"/>
                <w:color w:val="auto"/>
                <w:w w:val="98"/>
              </w:rPr>
              <w:t>≤ 3.0 to 1.0</w:t>
            </w:r>
          </w:p>
        </w:tc>
        <w:tc>
          <w:tcPr>
            <w:tcW w:w="50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but</w:t>
            </w:r>
          </w:p>
        </w:tc>
        <w:tc>
          <w:tcPr>
            <w:tcW w:w="820" w:type="dxa"/>
            <w:vAlign w:val="bottom"/>
            <w:gridSpan w:val="4"/>
            <w:vMerge w:val="restart"/>
          </w:tcPr>
          <w:p>
            <w:pPr>
              <w:jc w:val="center"/>
              <w:ind w:left="213"/>
              <w:spacing w:after="0"/>
              <w:rPr>
                <w:sz w:val="20"/>
                <w:szCs w:val="20"/>
                <w:color w:val="auto"/>
              </w:rPr>
            </w:pPr>
            <w:r>
              <w:rPr>
                <w:rFonts w:ascii="Arial" w:cs="Arial" w:eastAsia="Arial" w:hAnsi="Arial"/>
                <w:sz w:val="13"/>
                <w:szCs w:val="13"/>
                <w:color w:val="auto"/>
                <w:w w:val="92"/>
              </w:rPr>
              <w:t>2.75%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73"/>
              <w:spacing w:after="0"/>
              <w:rPr>
                <w:sz w:val="20"/>
                <w:szCs w:val="20"/>
                <w:color w:val="auto"/>
              </w:rPr>
            </w:pPr>
            <w:r>
              <w:rPr>
                <w:rFonts w:ascii="Arial" w:cs="Arial" w:eastAsia="Arial" w:hAnsi="Arial"/>
                <w:sz w:val="13"/>
                <w:szCs w:val="13"/>
                <w:color w:val="auto"/>
                <w:w w:val="92"/>
              </w:rPr>
              <w:t>3.75%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80" w:type="dxa"/>
            <w:vAlign w:val="bottom"/>
            <w:gridSpan w:val="3"/>
            <w:vMerge w:val="restart"/>
          </w:tcPr>
          <w:p>
            <w:pPr>
              <w:jc w:val="center"/>
              <w:ind w:left="153"/>
              <w:spacing w:after="0"/>
              <w:rPr>
                <w:sz w:val="20"/>
                <w:szCs w:val="20"/>
                <w:color w:val="auto"/>
              </w:rPr>
            </w:pPr>
            <w:r>
              <w:rPr>
                <w:rFonts w:ascii="Arial" w:cs="Arial" w:eastAsia="Arial" w:hAnsi="Arial"/>
                <w:sz w:val="13"/>
                <w:szCs w:val="13"/>
                <w:color w:val="auto"/>
                <w:w w:val="92"/>
              </w:rPr>
              <w:t>2.75%</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93"/>
              <w:spacing w:after="0"/>
              <w:rPr>
                <w:sz w:val="20"/>
                <w:szCs w:val="20"/>
                <w:color w:val="auto"/>
              </w:rPr>
            </w:pPr>
            <w:r>
              <w:rPr>
                <w:rFonts w:ascii="Arial" w:cs="Arial" w:eastAsia="Arial" w:hAnsi="Arial"/>
                <w:sz w:val="13"/>
                <w:szCs w:val="13"/>
                <w:color w:val="auto"/>
                <w:w w:val="97"/>
              </w:rPr>
              <w:t>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60" w:type="dxa"/>
            <w:vAlign w:val="bottom"/>
            <w:gridSpan w:val="3"/>
            <w:vMerge w:val="restart"/>
          </w:tcPr>
          <w:p>
            <w:pPr>
              <w:jc w:val="center"/>
              <w:ind w:left="233"/>
              <w:spacing w:after="0"/>
              <w:rPr>
                <w:sz w:val="20"/>
                <w:szCs w:val="20"/>
                <w:color w:val="auto"/>
              </w:rPr>
            </w:pPr>
            <w:r>
              <w:rPr>
                <w:rFonts w:ascii="Arial" w:cs="Arial" w:eastAsia="Arial" w:hAnsi="Arial"/>
                <w:sz w:val="13"/>
                <w:szCs w:val="13"/>
                <w:color w:val="auto"/>
                <w:w w:val="92"/>
              </w:rPr>
              <w:t>0.50%</w:t>
            </w:r>
          </w:p>
        </w:tc>
        <w:tc>
          <w:tcPr>
            <w:tcW w:w="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480" w:type="dxa"/>
            <w:vAlign w:val="bottom"/>
            <w:tcBorders>
              <w:left w:val="single" w:sz="8" w:color="auto"/>
              <w:right w:val="single" w:sz="8" w:color="auto"/>
            </w:tcBorders>
            <w:gridSpan w:val="9"/>
            <w:vMerge w:val="restart"/>
          </w:tcPr>
          <w:p>
            <w:pPr>
              <w:jc w:val="center"/>
              <w:spacing w:after="0"/>
              <w:rPr>
                <w:sz w:val="20"/>
                <w:szCs w:val="20"/>
                <w:color w:val="auto"/>
              </w:rPr>
            </w:pPr>
            <w:r>
              <w:rPr>
                <w:rFonts w:ascii="Arial" w:cs="Arial" w:eastAsia="Arial" w:hAnsi="Arial"/>
                <w:sz w:val="13"/>
                <w:szCs w:val="13"/>
                <w:color w:val="auto"/>
                <w:w w:val="91"/>
              </w:rPr>
              <w:t>&gt; 2.0 to 1.0</w:t>
            </w: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auto"/>
              <w:right w:val="single" w:sz="8" w:color="auto"/>
            </w:tcBorders>
            <w:gridSpan w:val="9"/>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600" w:type="dxa"/>
            <w:vAlign w:val="bottom"/>
            <w:tcBorders>
              <w:bottom w:val="single" w:sz="8" w:color="auto"/>
            </w:tcBorders>
            <w:gridSpan w:val="7"/>
          </w:tcPr>
          <w:p>
            <w:pPr>
              <w:jc w:val="center"/>
              <w:spacing w:after="0" w:line="108" w:lineRule="exact"/>
              <w:rPr>
                <w:sz w:val="20"/>
                <w:szCs w:val="20"/>
                <w:color w:val="auto"/>
              </w:rPr>
            </w:pPr>
            <w:r>
              <w:rPr>
                <w:rFonts w:ascii="Arial" w:cs="Arial" w:eastAsia="Arial" w:hAnsi="Arial"/>
                <w:sz w:val="12"/>
                <w:szCs w:val="12"/>
                <w:color w:val="auto"/>
              </w:rPr>
              <w:t>Category 3</w:t>
            </w:r>
          </w:p>
        </w:tc>
        <w:tc>
          <w:tcPr>
            <w:tcW w:w="4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gridSpan w:val="9"/>
          </w:tcPr>
          <w:p>
            <w:pPr>
              <w:jc w:val="center"/>
              <w:ind w:right="20"/>
              <w:spacing w:after="0"/>
              <w:rPr>
                <w:sz w:val="20"/>
                <w:szCs w:val="20"/>
                <w:color w:val="auto"/>
              </w:rPr>
            </w:pPr>
            <w:r>
              <w:rPr>
                <w:rFonts w:ascii="Arial" w:cs="Arial" w:eastAsia="Arial" w:hAnsi="Arial"/>
                <w:sz w:val="13"/>
                <w:szCs w:val="13"/>
                <w:color w:val="auto"/>
                <w:w w:val="94"/>
              </w:rPr>
              <w:t>≤ 2.0 to 1.0 but</w:t>
            </w:r>
          </w:p>
        </w:tc>
        <w:tc>
          <w:tcPr>
            <w:tcW w:w="820" w:type="dxa"/>
            <w:vAlign w:val="bottom"/>
            <w:gridSpan w:val="4"/>
            <w:vMerge w:val="restart"/>
          </w:tcPr>
          <w:p>
            <w:pPr>
              <w:jc w:val="center"/>
              <w:ind w:left="213"/>
              <w:spacing w:after="0"/>
              <w:rPr>
                <w:sz w:val="20"/>
                <w:szCs w:val="20"/>
                <w:color w:val="auto"/>
              </w:rPr>
            </w:pPr>
            <w:r>
              <w:rPr>
                <w:rFonts w:ascii="Arial" w:cs="Arial" w:eastAsia="Arial" w:hAnsi="Arial"/>
                <w:sz w:val="13"/>
                <w:szCs w:val="13"/>
                <w:color w:val="auto"/>
                <w:w w:val="92"/>
              </w:rPr>
              <w:t>2.50%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73"/>
              <w:spacing w:after="0"/>
              <w:rPr>
                <w:sz w:val="20"/>
                <w:szCs w:val="20"/>
                <w:color w:val="auto"/>
              </w:rPr>
            </w:pPr>
            <w:r>
              <w:rPr>
                <w:rFonts w:ascii="Arial" w:cs="Arial" w:eastAsia="Arial" w:hAnsi="Arial"/>
                <w:sz w:val="13"/>
                <w:szCs w:val="13"/>
                <w:color w:val="auto"/>
                <w:w w:val="92"/>
              </w:rPr>
              <w:t>3.50%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80" w:type="dxa"/>
            <w:vAlign w:val="bottom"/>
            <w:gridSpan w:val="3"/>
            <w:vMerge w:val="restart"/>
          </w:tcPr>
          <w:p>
            <w:pPr>
              <w:jc w:val="center"/>
              <w:ind w:left="153"/>
              <w:spacing w:after="0"/>
              <w:rPr>
                <w:sz w:val="20"/>
                <w:szCs w:val="20"/>
                <w:color w:val="auto"/>
              </w:rPr>
            </w:pPr>
            <w:r>
              <w:rPr>
                <w:rFonts w:ascii="Arial" w:cs="Arial" w:eastAsia="Arial" w:hAnsi="Arial"/>
                <w:sz w:val="13"/>
                <w:szCs w:val="13"/>
                <w:color w:val="auto"/>
                <w:w w:val="92"/>
              </w:rPr>
              <w:t>2.50%</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93"/>
              <w:spacing w:after="0"/>
              <w:rPr>
                <w:sz w:val="20"/>
                <w:szCs w:val="20"/>
                <w:color w:val="auto"/>
              </w:rPr>
            </w:pPr>
            <w:r>
              <w:rPr>
                <w:rFonts w:ascii="Arial" w:cs="Arial" w:eastAsia="Arial" w:hAnsi="Arial"/>
                <w:sz w:val="13"/>
                <w:szCs w:val="13"/>
                <w:color w:val="auto"/>
                <w:w w:val="97"/>
              </w:rPr>
              <w:t>3.50%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60" w:type="dxa"/>
            <w:vAlign w:val="bottom"/>
            <w:gridSpan w:val="3"/>
            <w:vMerge w:val="restart"/>
          </w:tcPr>
          <w:p>
            <w:pPr>
              <w:jc w:val="center"/>
              <w:ind w:left="233"/>
              <w:spacing w:after="0"/>
              <w:rPr>
                <w:sz w:val="20"/>
                <w:szCs w:val="20"/>
                <w:color w:val="auto"/>
              </w:rPr>
            </w:pPr>
            <w:r>
              <w:rPr>
                <w:rFonts w:ascii="Arial" w:cs="Arial" w:eastAsia="Arial" w:hAnsi="Arial"/>
                <w:sz w:val="13"/>
                <w:szCs w:val="13"/>
                <w:color w:val="auto"/>
                <w:w w:val="92"/>
              </w:rPr>
              <w:t>0.45%</w:t>
            </w:r>
          </w:p>
        </w:tc>
        <w:tc>
          <w:tcPr>
            <w:tcW w:w="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480" w:type="dxa"/>
            <w:vAlign w:val="bottom"/>
            <w:tcBorders>
              <w:left w:val="single" w:sz="8" w:color="auto"/>
              <w:right w:val="single" w:sz="8" w:color="auto"/>
            </w:tcBorders>
            <w:gridSpan w:val="9"/>
            <w:vMerge w:val="restart"/>
          </w:tcPr>
          <w:p>
            <w:pPr>
              <w:jc w:val="center"/>
              <w:spacing w:after="0"/>
              <w:rPr>
                <w:sz w:val="20"/>
                <w:szCs w:val="20"/>
                <w:color w:val="auto"/>
              </w:rPr>
            </w:pPr>
            <w:r>
              <w:rPr>
                <w:rFonts w:ascii="Arial" w:cs="Arial" w:eastAsia="Arial" w:hAnsi="Arial"/>
                <w:sz w:val="13"/>
                <w:szCs w:val="13"/>
                <w:color w:val="auto"/>
                <w:w w:val="91"/>
              </w:rPr>
              <w:t>&gt; 1.0 to 1.0</w:t>
            </w: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auto"/>
              <w:right w:val="single" w:sz="8" w:color="auto"/>
            </w:tcBorders>
            <w:gridSpan w:val="9"/>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600" w:type="dxa"/>
            <w:vAlign w:val="bottom"/>
            <w:tcBorders>
              <w:bottom w:val="single" w:sz="8" w:color="auto"/>
            </w:tcBorders>
            <w:gridSpan w:val="7"/>
          </w:tcPr>
          <w:p>
            <w:pPr>
              <w:jc w:val="center"/>
              <w:spacing w:after="0" w:line="108" w:lineRule="exact"/>
              <w:rPr>
                <w:sz w:val="20"/>
                <w:szCs w:val="20"/>
                <w:color w:val="auto"/>
              </w:rPr>
            </w:pPr>
            <w:r>
              <w:rPr>
                <w:rFonts w:ascii="Arial" w:cs="Arial" w:eastAsia="Arial" w:hAnsi="Arial"/>
                <w:sz w:val="12"/>
                <w:szCs w:val="12"/>
                <w:color w:val="auto"/>
              </w:rPr>
              <w:t>Category 4</w:t>
            </w:r>
          </w:p>
        </w:tc>
        <w:tc>
          <w:tcPr>
            <w:tcW w:w="4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gridSpan w:val="9"/>
          </w:tcPr>
          <w:p>
            <w:pPr>
              <w:jc w:val="center"/>
              <w:spacing w:after="0"/>
              <w:rPr>
                <w:sz w:val="20"/>
                <w:szCs w:val="20"/>
                <w:color w:val="auto"/>
              </w:rPr>
            </w:pPr>
            <w:r>
              <w:rPr>
                <w:rFonts w:ascii="Arial" w:cs="Arial" w:eastAsia="Arial" w:hAnsi="Arial"/>
                <w:sz w:val="13"/>
                <w:szCs w:val="13"/>
                <w:color w:val="auto"/>
                <w:w w:val="92"/>
              </w:rPr>
              <w:t>≤ 1.0 to 1.0</w:t>
            </w:r>
          </w:p>
        </w:tc>
        <w:tc>
          <w:tcPr>
            <w:tcW w:w="820" w:type="dxa"/>
            <w:vAlign w:val="bottom"/>
            <w:gridSpan w:val="4"/>
            <w:vMerge w:val="restart"/>
          </w:tcPr>
          <w:p>
            <w:pPr>
              <w:jc w:val="center"/>
              <w:ind w:left="213"/>
              <w:spacing w:after="0"/>
              <w:rPr>
                <w:sz w:val="20"/>
                <w:szCs w:val="20"/>
                <w:color w:val="auto"/>
              </w:rPr>
            </w:pPr>
            <w:r>
              <w:rPr>
                <w:rFonts w:ascii="Arial" w:cs="Arial" w:eastAsia="Arial" w:hAnsi="Arial"/>
                <w:sz w:val="13"/>
                <w:szCs w:val="13"/>
                <w:color w:val="auto"/>
                <w:w w:val="92"/>
              </w:rPr>
              <w:t>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73"/>
              <w:spacing w:after="0"/>
              <w:rPr>
                <w:sz w:val="20"/>
                <w:szCs w:val="20"/>
                <w:color w:val="auto"/>
              </w:rPr>
            </w:pPr>
            <w:r>
              <w:rPr>
                <w:rFonts w:ascii="Arial" w:cs="Arial" w:eastAsia="Arial" w:hAnsi="Arial"/>
                <w:sz w:val="13"/>
                <w:szCs w:val="13"/>
                <w:color w:val="auto"/>
                <w:w w:val="92"/>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80" w:type="dxa"/>
            <w:vAlign w:val="bottom"/>
            <w:gridSpan w:val="3"/>
            <w:vMerge w:val="restart"/>
          </w:tcPr>
          <w:p>
            <w:pPr>
              <w:jc w:val="center"/>
              <w:ind w:left="153"/>
              <w:spacing w:after="0"/>
              <w:rPr>
                <w:sz w:val="20"/>
                <w:szCs w:val="20"/>
                <w:color w:val="auto"/>
              </w:rPr>
            </w:pPr>
            <w:r>
              <w:rPr>
                <w:rFonts w:ascii="Arial" w:cs="Arial" w:eastAsia="Arial" w:hAnsi="Arial"/>
                <w:sz w:val="13"/>
                <w:szCs w:val="13"/>
                <w:color w:val="auto"/>
                <w:w w:val="92"/>
              </w:rPr>
              <w:t>2.25%</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20" w:type="dxa"/>
            <w:vAlign w:val="bottom"/>
            <w:gridSpan w:val="4"/>
            <w:vMerge w:val="restart"/>
          </w:tcPr>
          <w:p>
            <w:pPr>
              <w:jc w:val="center"/>
              <w:ind w:left="293"/>
              <w:spacing w:after="0"/>
              <w:rPr>
                <w:sz w:val="20"/>
                <w:szCs w:val="20"/>
                <w:color w:val="auto"/>
              </w:rPr>
            </w:pPr>
            <w:r>
              <w:rPr>
                <w:rFonts w:ascii="Arial" w:cs="Arial" w:eastAsia="Arial" w:hAnsi="Arial"/>
                <w:sz w:val="13"/>
                <w:szCs w:val="13"/>
                <w:color w:val="auto"/>
                <w:w w:val="97"/>
              </w:rPr>
              <w:t>3.25%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60" w:type="dxa"/>
            <w:vAlign w:val="bottom"/>
            <w:gridSpan w:val="3"/>
            <w:vMerge w:val="restart"/>
          </w:tcPr>
          <w:p>
            <w:pPr>
              <w:jc w:val="center"/>
              <w:ind w:left="233"/>
              <w:spacing w:after="0"/>
              <w:rPr>
                <w:sz w:val="20"/>
                <w:szCs w:val="20"/>
                <w:color w:val="auto"/>
              </w:rPr>
            </w:pPr>
            <w:r>
              <w:rPr>
                <w:rFonts w:ascii="Arial" w:cs="Arial" w:eastAsia="Arial" w:hAnsi="Arial"/>
                <w:sz w:val="13"/>
                <w:szCs w:val="13"/>
                <w:color w:val="auto"/>
                <w:w w:val="92"/>
              </w:rPr>
              <w:t>0.40%</w:t>
            </w:r>
          </w:p>
        </w:tc>
        <w:tc>
          <w:tcPr>
            <w:tcW w:w="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4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119"/>
        <w:spacing w:after="0" w:line="227" w:lineRule="auto"/>
        <w:rPr>
          <w:sz w:val="20"/>
          <w:szCs w:val="20"/>
          <w:color w:val="auto"/>
        </w:rPr>
      </w:pPr>
      <w:r>
        <w:rPr>
          <w:rFonts w:ascii="Arial" w:cs="Arial" w:eastAsia="Arial" w:hAnsi="Arial"/>
          <w:sz w:val="13"/>
          <w:szCs w:val="13"/>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Total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option of the Administrative Agent or at the request of the Required Lenders, if the Borrower fails to deliver the annual or quarterly consolidated financial statements required to be delivered by it pursuant to Section 5.01, the Total Leverage Ratio shall be deemed to be in Category 1 during the period from the expiration of the time for delivery thereof until such consolidated financial statements are delivered.</w:t>
      </w:r>
    </w:p>
    <w:p>
      <w:pPr>
        <w:spacing w:after="0" w:line="114" w:lineRule="exact"/>
        <w:rPr>
          <w:sz w:val="20"/>
          <w:szCs w:val="20"/>
          <w:color w:val="auto"/>
        </w:rPr>
      </w:pPr>
    </w:p>
    <w:p>
      <w:pPr>
        <w:jc w:val="both"/>
        <w:ind w:left="120" w:right="119"/>
        <w:spacing w:after="0" w:line="254" w:lineRule="auto"/>
        <w:rPr>
          <w:sz w:val="20"/>
          <w:szCs w:val="20"/>
          <w:color w:val="auto"/>
        </w:rPr>
      </w:pPr>
      <w:r>
        <w:rPr>
          <w:rFonts w:ascii="Arial" w:cs="Arial" w:eastAsia="Arial" w:hAnsi="Arial"/>
          <w:sz w:val="13"/>
          <w:szCs w:val="13"/>
          <w:color w:val="auto"/>
        </w:rPr>
        <w:t>If at any time the Administrative Agent determines that the financial statements upon which the Applicable Rate was determined were incorrect (whether based on a restatement, fraud or otherwise), the Borrower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59" w:name="page60"/>
    <w:bookmarkEnd w:id="59"/>
    <w:p>
      <w:pPr>
        <w:jc w:val="both"/>
        <w:ind w:left="120" w:right="119"/>
        <w:spacing w:after="0" w:line="254" w:lineRule="auto"/>
        <w:rPr>
          <w:sz w:val="20"/>
          <w:szCs w:val="20"/>
          <w:color w:val="auto"/>
        </w:rPr>
      </w:pPr>
      <w:r>
        <w:rPr>
          <w:rFonts w:ascii="Arial" w:cs="Arial" w:eastAsia="Arial" w:hAnsi="Arial"/>
          <w:sz w:val="13"/>
          <w:szCs w:val="13"/>
          <w:color w:val="auto"/>
        </w:rPr>
        <w:t>shall be required to retroactively pay any additional amount that the Borrower would have been required to pay if such financial statements had been accurate at the time they were delivered.</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has the meaning assigned to the term in Section 9.04(b).</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or any other form approved by the Administrative Agent.</w:t>
      </w:r>
    </w:p>
    <w:p>
      <w:pPr>
        <w:spacing w:after="0" w:line="11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w:t>
      </w:r>
      <w:r>
        <w:rPr>
          <w:rFonts w:ascii="Arial" w:cs="Arial" w:eastAsia="Arial" w:hAnsi="Arial"/>
          <w:sz w:val="13"/>
          <w:szCs w:val="13"/>
          <w:color w:val="auto"/>
        </w:rPr>
        <w:t>” means, at any time, an amount equal to (a) the aggregate Revolving Commitments minus (b) the Aggregate Revolving Exposure (calculated, with respect to any Defaulting Lender, as if such Defaulting Lender had funded its Applicable Percentage of all outstanding Borrowings).</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 Period</w:t>
      </w:r>
      <w:r>
        <w:rPr>
          <w:rFonts w:ascii="Arial" w:cs="Arial" w:eastAsia="Arial" w:hAnsi="Arial"/>
          <w:sz w:val="13"/>
          <w:szCs w:val="13"/>
          <w:color w:val="auto"/>
        </w:rPr>
        <w:t>” means the period from and including the Effective Date to but excluding the earlier of the Revolving Credit Maturity Date and the date of termination of the Revolving Commitments.</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EEA Resolution Authority in respect of any liability of an EEA Financial Institution.</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3"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Banking Services</w:t>
      </w:r>
      <w:r>
        <w:rPr>
          <w:rFonts w:ascii="Arial" w:cs="Arial" w:eastAsia="Arial" w:hAnsi="Arial"/>
          <w:sz w:val="12"/>
          <w:szCs w:val="12"/>
          <w:color w:val="auto"/>
        </w:rPr>
        <w:t>” means each and any of the following bank services provided to any Loan Party or any Subsidiary by the Administrative Agent, any Lender or any of their respective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02"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Banking Services Obligations</w:t>
      </w:r>
      <w:r>
        <w:rPr>
          <w:rFonts w:ascii="Arial" w:cs="Arial" w:eastAsia="Arial" w:hAnsi="Arial"/>
          <w:sz w:val="13"/>
          <w:szCs w:val="13"/>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13" w:lineRule="exact"/>
        <w:rPr>
          <w:sz w:val="20"/>
          <w:szCs w:val="20"/>
          <w:color w:val="auto"/>
        </w:rPr>
      </w:pPr>
    </w:p>
    <w:p>
      <w:pPr>
        <w:jc w:val="both"/>
        <w:ind w:left="120" w:right="119" w:firstLine="438"/>
        <w:spacing w:after="0" w:line="22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Event</w:t>
      </w:r>
      <w:r>
        <w:rPr>
          <w:rFonts w:ascii="Arial" w:cs="Arial" w:eastAsia="Arial" w:hAnsi="Arial"/>
          <w:sz w:val="13"/>
          <w:szCs w:val="13"/>
          <w:color w:val="auto"/>
        </w:rPr>
        <w:t>” means, with respect to any Person, when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60" w:name="page61"/>
    <w:bookmarkEnd w:id="60"/>
    <w:p>
      <w:pPr>
        <w:ind w:left="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w:t>
      </w:r>
      <w:r>
        <w:rPr>
          <w:rFonts w:ascii="Arial" w:cs="Arial" w:eastAsia="Arial" w:hAnsi="Arial"/>
          <w:sz w:val="12"/>
          <w:szCs w:val="12"/>
          <w:color w:val="auto"/>
        </w:rPr>
        <w:t>” means, with respect to any U.S. federal withholding Tax, the beneficial owner, for U.S. federal income tax purposes, to whom such Tax</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relates.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Governors of the Federal Reserve System of the U.S.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means USA Technologies, Inc., a Pennsylvania corporation.</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(a) Revolving Loans of the same Type, made, converted or continued on the same date and, in the case of Eurodollar Loans, as to which a single Interest Period is in effect, (b) Term Loans of the same Type made, converted or continued on the same date and, in the case of Eurodollar Loans, as to which a single Interest Period is in effect, and (c) a Swingline Loan.</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 Request</w:t>
      </w:r>
      <w:r>
        <w:rPr>
          <w:rFonts w:ascii="Arial" w:cs="Arial" w:eastAsia="Arial" w:hAnsi="Arial"/>
          <w:sz w:val="13"/>
          <w:szCs w:val="13"/>
          <w:color w:val="auto"/>
        </w:rPr>
        <w:t>” means a request by the Borrower for a Borrowing in accordance with Section 2.03.</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Burdensome Restrictions</w:t>
      </w:r>
      <w:r>
        <w:rPr>
          <w:rFonts w:ascii="Arial" w:cs="Arial" w:eastAsia="Arial" w:hAnsi="Arial"/>
          <w:sz w:val="13"/>
          <w:szCs w:val="13"/>
          <w:color w:val="auto"/>
        </w:rPr>
        <w:t>” means any consensual encumbrance or restriction of the type described in clause (a) or (b) of Section 6.10.</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xml:space="preserve">” means any day that is not a Saturday, Sunday or other day on which commercial banks in New York City are authorized or required by law to remain closed;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when used in connection with a Eurodollar Loan, the term “Business Day” shall also exclude any day on which banks are not open for general business in London.</w:t>
      </w:r>
    </w:p>
    <w:p>
      <w:pPr>
        <w:spacing w:after="0" w:line="11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Cantaloupe Acquisition</w:t>
      </w:r>
      <w:r>
        <w:rPr>
          <w:rFonts w:ascii="Arial" w:cs="Arial" w:eastAsia="Arial" w:hAnsi="Arial"/>
          <w:sz w:val="13"/>
          <w:szCs w:val="13"/>
          <w:color w:val="auto"/>
        </w:rPr>
        <w:t>” means that certain merger of Cantaloupe Merger Sub with and into Cantaloupe Systems on the Effective Date pursuant to the Cantaloupe Acquisition Documents.</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Cantaloupe Acquisition Agreement</w:t>
      </w:r>
      <w:r>
        <w:rPr>
          <w:rFonts w:ascii="Arial" w:cs="Arial" w:eastAsia="Arial" w:hAnsi="Arial"/>
          <w:sz w:val="13"/>
          <w:szCs w:val="13"/>
          <w:color w:val="auto"/>
        </w:rPr>
        <w:t>” means that certain Agreement and Plan of Merger dated as of the Effective Date, by and among Borrower, Cantaloupe Merger Sub, Cantaloupe Systems, and Shareholder Representative Services LLC, providing for the merger of Cantaloupe Merger Sub with and into Cantaloupe Systems, as amended, restated, supplemented or other modified from time to time.</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Cantaloupe Acquisition Documents</w:t>
      </w:r>
      <w:r>
        <w:rPr>
          <w:rFonts w:ascii="Arial" w:cs="Arial" w:eastAsia="Arial" w:hAnsi="Arial"/>
          <w:sz w:val="13"/>
          <w:szCs w:val="13"/>
          <w:color w:val="auto"/>
        </w:rPr>
        <w:t>” means the Cantaloupe Acquisition Agreement and all other material documents, agreements, instruments, and certificates entered into or delivered before or after the Effective Date in connection with or pursuant to the Cantaloupe Acquisition Agreements, together with all schedules, annexes, addenda, exhibits and other attachments thereto, in each case, as the same may be amended, restated, supplemented or otherwise modified from time to time.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Cantaloupe Merger Sub</w:t>
      </w:r>
      <w:r>
        <w:rPr>
          <w:rFonts w:ascii="Arial" w:cs="Arial" w:eastAsia="Arial" w:hAnsi="Arial"/>
          <w:sz w:val="13"/>
          <w:szCs w:val="13"/>
          <w:color w:val="auto"/>
        </w:rPr>
        <w:t>” means USAT, Inc., a Delaware corporation, and a wholly owned Subsidiary of the Borrower.</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Cantaloupe Systems</w:t>
      </w:r>
      <w:r>
        <w:rPr>
          <w:rFonts w:ascii="Arial" w:cs="Arial" w:eastAsia="Arial" w:hAnsi="Arial"/>
          <w:sz w:val="13"/>
          <w:szCs w:val="13"/>
          <w:color w:val="auto"/>
        </w:rPr>
        <w:t>” means Cantaloupe Systems, Inc., a Delaware corporation.</w:t>
      </w:r>
    </w:p>
    <w:p>
      <w:pPr>
        <w:spacing w:after="0" w:line="133" w:lineRule="exact"/>
        <w:rPr>
          <w:sz w:val="20"/>
          <w:szCs w:val="20"/>
          <w:color w:val="auto"/>
        </w:rPr>
      </w:pPr>
    </w:p>
    <w:p>
      <w:pPr>
        <w:jc w:val="both"/>
        <w:ind w:left="120" w:right="119" w:firstLine="43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 Expenditures</w:t>
      </w:r>
      <w:r>
        <w:rPr>
          <w:rFonts w:ascii="Arial" w:cs="Arial" w:eastAsia="Arial" w:hAnsi="Arial"/>
          <w:sz w:val="12"/>
          <w:szCs w:val="12"/>
          <w:color w:val="auto"/>
        </w:rPr>
        <w:t>” means, without duplication, any expenditure or commitment to expend money for any purchase or other acquisition of any asset which would be classified as a fixed or capital asset on a consolidated balance sheet of the Borrower and its Subsidiaries prepared in accordance with GAAP.</w:t>
      </w:r>
    </w:p>
    <w:p>
      <w:pPr>
        <w:spacing w:after="0" w:line="80"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Lease Obligations</w:t>
      </w:r>
      <w:r>
        <w:rPr>
          <w:rFonts w:ascii="Arial" w:cs="Arial" w:eastAsia="Arial" w:hAnsi="Arial"/>
          <w:sz w:val="13"/>
          <w:szCs w:val="13"/>
          <w:color w:val="auto"/>
        </w:rPr>
        <w:t>” of any Person means the obligations of such Person to pay rent or other amounts under any lease of (or other arrangement conveying the right to use) real or personal property, or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1" w:name="page62"/>
    <w:bookmarkEnd w:id="61"/>
    <w:p>
      <w:pPr>
        <w:jc w:val="both"/>
        <w:ind w:left="120" w:right="119"/>
        <w:spacing w:after="0" w:line="254" w:lineRule="auto"/>
        <w:rPr>
          <w:sz w:val="20"/>
          <w:szCs w:val="20"/>
          <w:color w:val="auto"/>
        </w:rPr>
      </w:pPr>
      <w:r>
        <w:rPr>
          <w:rFonts w:ascii="Arial" w:cs="Arial" w:eastAsia="Arial" w:hAnsi="Arial"/>
          <w:sz w:val="13"/>
          <w:szCs w:val="13"/>
          <w:color w:val="auto"/>
        </w:rPr>
        <w:t>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03" w:lineRule="exact"/>
        <w:rPr>
          <w:sz w:val="20"/>
          <w:szCs w:val="20"/>
          <w:color w:val="auto"/>
        </w:rPr>
      </w:pPr>
    </w:p>
    <w:p>
      <w:pPr>
        <w:jc w:val="both"/>
        <w:ind w:left="120" w:right="119" w:firstLine="438"/>
        <w:spacing w:after="0" w:line="2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30% of the aggregate ordinary voting power represented by the issued and outstanding Equity Interests of the Borrower; (b) occupation at any time of a majority of the seats (other than vacant seats) on the board of directors of the Borrower by Persons who were neither (i) directors of the Borrower on the date of this Agreement nor (ii) nominated, ratified, appointed or approved by the board of directors of the Borrower; or (c) the Borrower shall cease to own, free and clear of all Liens or other encumbrances, directly or indirectly, 100% of the outstanding voting Equity Interests of any Subsidiary of the Borrower on a fully diluted basis and all voting rights and equivalent economic interests with respect thereto.</w:t>
      </w:r>
    </w:p>
    <w:p>
      <w:pPr>
        <w:spacing w:after="0" w:line="114" w:lineRule="exact"/>
        <w:rPr>
          <w:sz w:val="20"/>
          <w:szCs w:val="20"/>
          <w:color w:val="auto"/>
        </w:rPr>
      </w:pPr>
    </w:p>
    <w:p>
      <w:pPr>
        <w:jc w:val="both"/>
        <w:ind w:left="120" w:right="119" w:firstLine="438"/>
        <w:spacing w:after="0" w:line="22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means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Charges</w:t>
      </w:r>
      <w:r>
        <w:rPr>
          <w:rFonts w:ascii="Arial" w:cs="Arial" w:eastAsia="Arial" w:hAnsi="Arial"/>
          <w:sz w:val="13"/>
          <w:szCs w:val="13"/>
          <w:color w:val="auto"/>
        </w:rPr>
        <w:t>” has the meaning assigned to such term in Section 9.17.</w:t>
      </w:r>
    </w:p>
    <w:p>
      <w:pPr>
        <w:spacing w:after="0" w:line="133" w:lineRule="exact"/>
        <w:rPr>
          <w:sz w:val="20"/>
          <w:szCs w:val="20"/>
          <w:color w:val="auto"/>
        </w:rPr>
      </w:pPr>
    </w:p>
    <w:p>
      <w:pPr>
        <w:jc w:val="both"/>
        <w:ind w:left="120" w:right="119" w:firstLine="438"/>
        <w:spacing w:after="0" w:line="24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w:t>
      </w:r>
      <w:r>
        <w:rPr>
          <w:rFonts w:ascii="Arial" w:cs="Arial" w:eastAsia="Arial" w:hAnsi="Arial"/>
          <w:sz w:val="12"/>
          <w:szCs w:val="12"/>
          <w:color w:val="auto"/>
        </w:rPr>
        <w:t>”, when used in reference to (a) any Loan or Borrowing, refers to whether such Loan, or the Loans comprising such Borrowing, are Revolving Loans, a Term A Loan, or Swingline Loans, (b) any Commitment, refers to whether such Commitment is a Revolving Commitment or a Term A Commitment, and</w:t>
      </w:r>
    </w:p>
    <w:p>
      <w:pPr>
        <w:ind w:left="300" w:hanging="176"/>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any Lender, refers to whether such Lender has a Loan or Commitment of a particular Class.</w:t>
      </w:r>
    </w:p>
    <w:p>
      <w:pPr>
        <w:spacing w:after="0" w:line="121"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 from time to time.</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means any and all property owned, leased or operated by a Person covered by the Collateral Documents and any and all other property of any Loan Party, now existing or hereafter acquired, that is or required to be, subject to a security interest or Lien in favor of the Administrative Agent, on behalf of itself and the Lenders and other Secured Parties, to secure the Secured Obligations.</w:t>
      </w:r>
    </w:p>
    <w:p>
      <w:pPr>
        <w:spacing w:after="0" w:line="113" w:lineRule="exact"/>
        <w:rPr>
          <w:sz w:val="20"/>
          <w:szCs w:val="20"/>
          <w:color w:val="auto"/>
        </w:rPr>
      </w:pPr>
    </w:p>
    <w:p>
      <w:pPr>
        <w:ind w:left="560" w:right="3159"/>
        <w:spacing w:after="0" w:line="54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Access Agreement</w:t>
      </w:r>
      <w:r>
        <w:rPr>
          <w:rFonts w:ascii="Arial" w:cs="Arial" w:eastAsia="Arial" w:hAnsi="Arial"/>
          <w:sz w:val="12"/>
          <w:szCs w:val="12"/>
          <w:color w:val="auto"/>
        </w:rPr>
        <w:t>” has the meaning assigned to such term in the Security Agreement. “</w:t>
      </w:r>
      <w:r>
        <w:rPr>
          <w:rFonts w:ascii="Arial" w:cs="Arial" w:eastAsia="Arial" w:hAnsi="Arial"/>
          <w:sz w:val="12"/>
          <w:szCs w:val="12"/>
          <w:u w:val="single" w:color="auto"/>
          <w:color w:val="auto"/>
        </w:rPr>
        <w:t>Collateral Documents</w:t>
      </w:r>
      <w:r>
        <w:rPr>
          <w:rFonts w:ascii="Arial" w:cs="Arial" w:eastAsia="Arial" w:hAnsi="Arial"/>
          <w:sz w:val="12"/>
          <w:szCs w:val="12"/>
          <w:color w:val="auto"/>
        </w:rPr>
        <w:t>” means, collectively, the Security Agreement, any Mortgages and any other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62" w:name="page63"/>
    <w:bookmarkEnd w:id="62"/>
    <w:p>
      <w:pPr>
        <w:jc w:val="both"/>
        <w:ind w:left="120" w:right="119"/>
        <w:spacing w:after="0" w:line="237" w:lineRule="auto"/>
        <w:rPr>
          <w:sz w:val="20"/>
          <w:szCs w:val="20"/>
          <w:color w:val="auto"/>
        </w:rPr>
      </w:pPr>
      <w:r>
        <w:rPr>
          <w:rFonts w:ascii="Arial" w:cs="Arial" w:eastAsia="Arial" w:hAnsi="Arial"/>
          <w:sz w:val="13"/>
          <w:szCs w:val="13"/>
          <w:color w:val="auto"/>
        </w:rPr>
        <w:t>agreements, instruments and documents executed in connection with this Agreement that are intended to create, grant, or perfect Liens to secure the Secured Obligations, including, without limitation, all other security agreements, pledge agreements, mortgages, and deeds of trust, now or hereafter executed by any Loan Party and delivered to the Administrative Agent for the benefit of the Secured Parties.</w:t>
      </w:r>
    </w:p>
    <w:p>
      <w:pPr>
        <w:spacing w:after="0" w:line="11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xml:space="preserve">” means, with respect to each Lender, the sum of such Lender’s Revolving Commitment and Term Commitments. The initial amount of each Lender’s Commitment is set forth on the </w:t>
      </w:r>
      <w:r>
        <w:rPr>
          <w:rFonts w:ascii="Arial" w:cs="Arial" w:eastAsia="Arial" w:hAnsi="Arial"/>
          <w:sz w:val="13"/>
          <w:szCs w:val="13"/>
          <w:u w:val="single" w:color="auto"/>
          <w:color w:val="auto"/>
        </w:rPr>
        <w:t>Commitment Schedule</w:t>
      </w:r>
      <w:r>
        <w:rPr>
          <w:rFonts w:ascii="Arial" w:cs="Arial" w:eastAsia="Arial" w:hAnsi="Arial"/>
          <w:sz w:val="13"/>
          <w:szCs w:val="13"/>
          <w:color w:val="auto"/>
        </w:rPr>
        <w:t>, or in the Assignment and Assumption pursuant to which such Lender shall have assumed its Commitment, as applicable.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Schedule</w:t>
      </w:r>
      <w:r>
        <w:rPr>
          <w:rFonts w:ascii="Arial" w:cs="Arial" w:eastAsia="Arial" w:hAnsi="Arial"/>
          <w:sz w:val="13"/>
          <w:szCs w:val="13"/>
          <w:color w:val="auto"/>
        </w:rPr>
        <w:t>” means the Schedule attached hereto identified as such.</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Commodity Exchange Act</w:t>
      </w:r>
      <w:r>
        <w:rPr>
          <w:rFonts w:ascii="Arial" w:cs="Arial" w:eastAsia="Arial" w:hAnsi="Arial"/>
          <w:sz w:val="12"/>
          <w:szCs w:val="12"/>
          <w:color w:val="auto"/>
        </w:rPr>
        <w:t>” means the Commodity Exchange Act (7 U.S.C. § 1 et seq.), as amended from time to time, and any successor statute.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Communications</w:t>
      </w:r>
      <w:r>
        <w:rPr>
          <w:rFonts w:ascii="Arial" w:cs="Arial" w:eastAsia="Arial" w:hAnsi="Arial"/>
          <w:sz w:val="13"/>
          <w:szCs w:val="13"/>
          <w:color w:val="auto"/>
        </w:rPr>
        <w:t>” has the meaning assigned to such term in Section 9.01(d).</w:t>
      </w:r>
    </w:p>
    <w:p>
      <w:pPr>
        <w:spacing w:after="0" w:line="12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Connection Income Taxes</w:t>
      </w:r>
      <w:r>
        <w:rPr>
          <w:rFonts w:ascii="Arial" w:cs="Arial" w:eastAsia="Arial" w:hAnsi="Arial"/>
          <w:sz w:val="13"/>
          <w:szCs w:val="13"/>
          <w:color w:val="auto"/>
        </w:rPr>
        <w:t>” means Other Connection Taxes that are imposed on or measured by net income (however denominated) or that are franchise Taxes or branch profits Taxes.</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Exposure</w:t>
      </w:r>
      <w:r>
        <w:rPr>
          <w:rFonts w:ascii="Arial" w:cs="Arial" w:eastAsia="Arial" w:hAnsi="Arial"/>
          <w:sz w:val="13"/>
          <w:szCs w:val="13"/>
          <w:color w:val="auto"/>
        </w:rPr>
        <w:t xml:space="preserve">” means, as to any Lender at any time, the sum of (a) such Lender’s Revolving Exposure at such time </w:t>
      </w:r>
      <w:r>
        <w:rPr>
          <w:rFonts w:ascii="Arial" w:cs="Arial" w:eastAsia="Arial" w:hAnsi="Arial"/>
          <w:sz w:val="13"/>
          <w:szCs w:val="13"/>
          <w:i w:val="1"/>
          <w:iCs w:val="1"/>
          <w:u w:val="single" w:color="auto"/>
          <w:color w:val="auto"/>
        </w:rPr>
        <w:t>plus</w:t>
      </w:r>
      <w:r>
        <w:rPr>
          <w:rFonts w:ascii="Arial" w:cs="Arial" w:eastAsia="Arial" w:hAnsi="Arial"/>
          <w:sz w:val="13"/>
          <w:szCs w:val="13"/>
          <w:color w:val="auto"/>
        </w:rPr>
        <w:t xml:space="preserve"> (b) an amount equal to the aggregate principal amount of its Term Loans outstanding at such time.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Party</w:t>
      </w:r>
      <w:r>
        <w:rPr>
          <w:rFonts w:ascii="Arial" w:cs="Arial" w:eastAsia="Arial" w:hAnsi="Arial"/>
          <w:sz w:val="13"/>
          <w:szCs w:val="13"/>
          <w:color w:val="auto"/>
        </w:rPr>
        <w:t>” means the Administrative Agent, the Issuing Bank, the Swingline Lender or any other Lender.</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which constitutes an Event of Default or which upon notice, lapse of time or both would, unless cured or waived, become an Event of Default.</w:t>
      </w:r>
    </w:p>
    <w:p>
      <w:pPr>
        <w:spacing w:after="0" w:line="103" w:lineRule="exact"/>
        <w:rPr>
          <w:sz w:val="20"/>
          <w:szCs w:val="20"/>
          <w:color w:val="auto"/>
        </w:rPr>
      </w:pPr>
    </w:p>
    <w:p>
      <w:pPr>
        <w:jc w:val="both"/>
        <w:ind w:left="120" w:right="119" w:firstLine="438"/>
        <w:spacing w:after="0" w:line="22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Lender</w:t>
      </w:r>
      <w:r>
        <w:rPr>
          <w:rFonts w:ascii="Arial" w:cs="Arial" w:eastAsia="Arial" w:hAnsi="Arial"/>
          <w:sz w:val="13"/>
          <w:szCs w:val="13"/>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or the Borrower, acting in good faith, to provide a certification in writing from an authorized officer of such Lender that it will comply with its obligations (and is financially able to meet such obligations) to fund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63" w:name="page64"/>
    <w:bookmarkEnd w:id="63"/>
    <w:p>
      <w:pPr>
        <w:jc w:val="both"/>
        <w:ind w:left="120" w:right="119"/>
        <w:spacing w:after="0" w:line="266" w:lineRule="auto"/>
        <w:rPr>
          <w:sz w:val="20"/>
          <w:szCs w:val="20"/>
          <w:color w:val="auto"/>
        </w:rPr>
      </w:pPr>
      <w:r>
        <w:rPr>
          <w:rFonts w:ascii="Arial" w:cs="Arial" w:eastAsia="Arial" w:hAnsi="Arial"/>
          <w:sz w:val="12"/>
          <w:szCs w:val="12"/>
          <w:color w:val="auto"/>
        </w:rPr>
        <w:t>prospective Loans and participations in then outstanding Letters of Credit and Swingline Loans under this Agreement, provided that such Lender shall cease to be a Defaulting Lender pursuant to this clause (c) upon such Credit Party’s or the Borrower’s receipt of such certification in form and substance satisfactory to it and the Administrative Agent or the Borrower, as the case may be, or (d) has become the subject of (i) a Bankruptcy Event or (ii) a Bail-In Action.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Disclosed Matters</w:t>
      </w:r>
      <w:r>
        <w:rPr>
          <w:rFonts w:ascii="Arial" w:cs="Arial" w:eastAsia="Arial" w:hAnsi="Arial"/>
          <w:sz w:val="13"/>
          <w:szCs w:val="13"/>
          <w:color w:val="auto"/>
        </w:rPr>
        <w:t xml:space="preserve">” means the actions, suits, proceedings and environmental matters disclosed in </w:t>
      </w:r>
      <w:r>
        <w:rPr>
          <w:rFonts w:ascii="Arial" w:cs="Arial" w:eastAsia="Arial" w:hAnsi="Arial"/>
          <w:sz w:val="13"/>
          <w:szCs w:val="13"/>
          <w:u w:val="single" w:color="auto"/>
          <w:color w:val="auto"/>
        </w:rPr>
        <w:t>Schedule 3.06</w:t>
      </w:r>
      <w:r>
        <w:rPr>
          <w:rFonts w:ascii="Arial" w:cs="Arial" w:eastAsia="Arial" w:hAnsi="Arial"/>
          <w:sz w:val="13"/>
          <w:szCs w:val="13"/>
          <w:color w:val="auto"/>
        </w:rPr>
        <w:t>.</w:t>
      </w:r>
    </w:p>
    <w:p>
      <w:pPr>
        <w:spacing w:after="0" w:line="133" w:lineRule="exact"/>
        <w:rPr>
          <w:sz w:val="20"/>
          <w:szCs w:val="20"/>
          <w:color w:val="auto"/>
        </w:rPr>
      </w:pPr>
    </w:p>
    <w:p>
      <w:pPr>
        <w:jc w:val="both"/>
        <w:ind w:left="120" w:right="119" w:firstLine="438"/>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Disqualified Equity Interests</w:t>
      </w:r>
      <w:r>
        <w:rPr>
          <w:rFonts w:ascii="Arial" w:cs="Arial" w:eastAsia="Arial" w:hAnsi="Arial"/>
          <w:sz w:val="12"/>
          <w:szCs w:val="12"/>
          <w:color w:val="auto"/>
        </w:rPr>
        <w:t>” means, with respect to any Person, any Equity Interest that by its terms (or by the terms of any other Equity Interest into which it is convertible or exchangeable) or otherwise (a) matures or is subject to mandatory redemption or repurchase (other than solely for Equity Interests that are not Disqualified Equity Interests) pursuant to a sinking fund obligation or otherwise (except as a result of a change of control or asset sale so long as any rights of the holder thereof upon the occurrence of a change of control or asset sale event shall be subject to the full and final payment and performance of the Obligations and the termination of the Commitments and any and all of Lender’s obligations to extent credit or make final accommodations to Borrower hereunder);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in whole or in part, in each case on or before the date that is one-hundred eighty (180) days after the latest Maturity Date; or (d) provides for scheduled payments of dividends to be made in cash, provided that if such Equity Interests are issued pursuant to a plan for the benefit of future, current or former employees, directors or officers of the Borrower or any other Loan Party or by any such plan to such employees, directors or officers, such Equity Interests shall not constitute Disqualified Equity Interests solely because it may be required to be repurchased by the Borrower or any other Loan Party in order to satisfy applicable statutory or regulatory obligations or as a result of such employee’s, director’s or officer’s termination, death or disability.</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Document</w:t>
      </w:r>
      <w:r>
        <w:rPr>
          <w:rFonts w:ascii="Arial" w:cs="Arial" w:eastAsia="Arial" w:hAnsi="Arial"/>
          <w:sz w:val="13"/>
          <w:szCs w:val="13"/>
          <w:color w:val="auto"/>
        </w:rPr>
        <w:t>” has the meaning assigned to such term in the Security Agreement.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dollars</w:t>
      </w:r>
      <w:r>
        <w:rPr>
          <w:rFonts w:ascii="Arial" w:cs="Arial" w:eastAsia="Arial" w:hAnsi="Arial"/>
          <w:sz w:val="13"/>
          <w:szCs w:val="13"/>
          <w:color w:val="auto"/>
        </w:rPr>
        <w:t>” or “</w:t>
      </w:r>
      <w:r>
        <w:rPr>
          <w:rFonts w:ascii="Arial" w:cs="Arial" w:eastAsia="Arial" w:hAnsi="Arial"/>
          <w:sz w:val="13"/>
          <w:szCs w:val="13"/>
          <w:u w:val="single" w:color="auto"/>
          <w:color w:val="auto"/>
        </w:rPr>
        <w:t>$</w:t>
      </w:r>
      <w:r>
        <w:rPr>
          <w:rFonts w:ascii="Arial" w:cs="Arial" w:eastAsia="Arial" w:hAnsi="Arial"/>
          <w:sz w:val="13"/>
          <w:szCs w:val="13"/>
          <w:color w:val="auto"/>
        </w:rPr>
        <w:t>” refers to lawful money of the U.S.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Subsidiary</w:t>
      </w:r>
      <w:r>
        <w:rPr>
          <w:rFonts w:ascii="Arial" w:cs="Arial" w:eastAsia="Arial" w:hAnsi="Arial"/>
          <w:sz w:val="13"/>
          <w:szCs w:val="13"/>
          <w:color w:val="auto"/>
        </w:rPr>
        <w:t>” means each Subsidiary that is organized under the laws of the United States, any state thereof or the District of Columbia.</w:t>
      </w:r>
    </w:p>
    <w:p>
      <w:pPr>
        <w:spacing w:after="0" w:line="133" w:lineRule="exact"/>
        <w:rPr>
          <w:sz w:val="20"/>
          <w:szCs w:val="20"/>
          <w:color w:val="auto"/>
        </w:rPr>
      </w:pPr>
    </w:p>
    <w:p>
      <w:pPr>
        <w:jc w:val="both"/>
        <w:ind w:left="120" w:right="119" w:firstLine="438"/>
        <w:spacing w:after="0" w:line="24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EBITDA</w:t>
      </w:r>
      <w:r>
        <w:rPr>
          <w:rFonts w:ascii="Arial" w:cs="Arial" w:eastAsia="Arial" w:hAnsi="Arial"/>
          <w:sz w:val="12"/>
          <w:szCs w:val="12"/>
          <w:color w:val="auto"/>
        </w:rPr>
        <w:t xml:space="preserve">” means, for any period, Net Income for such period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(a) without duplication and to the extent deducted in determining Net Income for such period, the sum of (i) Interest Expense for such period, (ii) income tax expense for such period net of income tax refunds in such period, (iii) all amounts attributable to depreciation and amortization expense for such period, (iv) any extraordinary non-cash charges for such period, (v) any other non-cash charges for such period (but excluding any non-cash charge in respect of an item that was included in Net Income in a prior period), and (vi) any non-recurring fees, cash charges and other cash expenses (including severance costs) made or incurred in connection with the Transactions or other Permitted Acquisitions that are paid or otherwise accounted for in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amount thereof added back to EBITDA (x) for any such period that are made or incurred on or before June 30, 2018, shall not exceed $6,000,000 in the aggregate, and (y) that are made or incurred during all periods after June 30, 2018, cumulatively, shall not exceed $2,500,000 in the aggregate;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(b) without duplication and to the extent included in Net Income, (i) any cash payments made during such period in respect of non-cash charges described in clause (a)(v) taken in a prior period and (ii) 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64" w:name="page65"/>
    <w:bookmarkEnd w:id="64"/>
    <w:p>
      <w:pPr>
        <w:jc w:val="both"/>
        <w:ind w:left="120" w:right="119"/>
        <w:spacing w:after="0" w:line="254" w:lineRule="auto"/>
        <w:rPr>
          <w:sz w:val="20"/>
          <w:szCs w:val="20"/>
          <w:color w:val="auto"/>
        </w:rPr>
      </w:pPr>
      <w:r>
        <w:rPr>
          <w:rFonts w:ascii="Arial" w:cs="Arial" w:eastAsia="Arial" w:hAnsi="Arial"/>
          <w:sz w:val="13"/>
          <w:szCs w:val="13"/>
          <w:color w:val="auto"/>
        </w:rPr>
        <w:t>extraordinary gains and any non-cash items of income for such period, all calculated for the Borrower and its Subsidiaries on a consolidated basis in accordance with GAAP.</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ECP</w:t>
      </w:r>
      <w:r>
        <w:rPr>
          <w:rFonts w:ascii="Arial" w:cs="Arial" w:eastAsia="Arial" w:hAnsi="Arial"/>
          <w:sz w:val="13"/>
          <w:szCs w:val="13"/>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0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means the date on which the conditions specified in Section 4.01 are satisfied (or waived in accordance with Section 9.02).</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Signature</w:t>
      </w:r>
      <w:r>
        <w:rPr>
          <w:rFonts w:ascii="Arial" w:cs="Arial" w:eastAsia="Arial" w:hAnsi="Arial"/>
          <w:sz w:val="13"/>
          <w:szCs w:val="13"/>
          <w:color w:val="auto"/>
        </w:rPr>
        <w:t>” means an electronic sound, symbol, or process attached to, or associated with, a contract or other record and adopted by a Person with the intent to sign, authenticate or accept such contract or record.</w:t>
      </w:r>
    </w:p>
    <w:p>
      <w:pPr>
        <w:spacing w:after="0" w:line="94"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System</w:t>
      </w:r>
      <w:r>
        <w:rPr>
          <w:rFonts w:ascii="Arial" w:cs="Arial" w:eastAsia="Arial" w:hAnsi="Arial"/>
          <w:sz w:val="13"/>
          <w:szCs w:val="13"/>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1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1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Liability</w:t>
      </w:r>
      <w:r>
        <w:rPr>
          <w:rFonts w:ascii="Arial" w:cs="Arial" w:eastAsia="Arial" w:hAnsi="Arial"/>
          <w:sz w:val="13"/>
          <w:szCs w:val="13"/>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Equipment</w:t>
      </w:r>
      <w:r>
        <w:rPr>
          <w:rFonts w:ascii="Arial" w:cs="Arial" w:eastAsia="Arial" w:hAnsi="Arial"/>
          <w:sz w:val="13"/>
          <w:szCs w:val="13"/>
          <w:color w:val="auto"/>
        </w:rPr>
        <w:t>” has the meaning assigned to such term in the Security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65" w:name="page66"/>
    <w:bookmarkEnd w:id="65"/>
    <w:p>
      <w:pPr>
        <w:jc w:val="both"/>
        <w:ind w:left="120" w:right="119" w:firstLine="43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Interests</w:t>
      </w:r>
      <w:r>
        <w:rPr>
          <w:rFonts w:ascii="Arial" w:cs="Arial" w:eastAsia="Arial" w:hAnsi="Arial"/>
          <w:sz w:val="12"/>
          <w:szCs w:val="1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 as amended from time to time.</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13" w:lineRule="exact"/>
        <w:rPr>
          <w:sz w:val="20"/>
          <w:szCs w:val="20"/>
          <w:color w:val="auto"/>
        </w:rPr>
      </w:pPr>
    </w:p>
    <w:p>
      <w:pPr>
        <w:jc w:val="both"/>
        <w:ind w:left="120" w:right="119" w:firstLine="438"/>
        <w:spacing w:after="0" w:line="141" w:lineRule="exact"/>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Event</w:t>
      </w:r>
      <w:r>
        <w:rPr>
          <w:rFonts w:ascii="Arial" w:cs="Arial" w:eastAsia="Arial" w:hAnsi="Arial"/>
          <w:sz w:val="13"/>
          <w:szCs w:val="13"/>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3"/>
          <w:szCs w:val="13"/>
          <w:color w:val="auto"/>
        </w:rPr>
        <w:t>‑</w:t>
      </w:r>
      <w:r>
        <w:rPr>
          <w:rFonts w:ascii="Arial" w:cs="Arial" w:eastAsia="Arial" w:hAnsi="Arial"/>
          <w:sz w:val="13"/>
          <w:szCs w:val="13"/>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or in reorganization, within the meaning of Title IV of ERISA.</w:t>
      </w:r>
    </w:p>
    <w:p>
      <w:pPr>
        <w:spacing w:after="0" w:line="112"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w:t>
      </w:r>
      <w:r>
        <w:rPr>
          <w:rFonts w:ascii="Arial" w:cs="Arial" w:eastAsia="Arial" w:hAnsi="Arial"/>
          <w:sz w:val="13"/>
          <w:szCs w:val="13"/>
          <w:color w:val="auto"/>
        </w:rPr>
        <w:t>”, when used in reference to any Loan or Borrowing, refers to whether such Loan, or the Loans comprising such Borrowing, bear interest at a rate determined by reference to the Adjusted LIBO Rate.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has the meaning assigned to such term in Article VII.</w:t>
      </w:r>
    </w:p>
    <w:p>
      <w:pPr>
        <w:spacing w:after="0" w:line="133" w:lineRule="exact"/>
        <w:rPr>
          <w:sz w:val="20"/>
          <w:szCs w:val="20"/>
          <w:color w:val="auto"/>
        </w:rPr>
      </w:pPr>
    </w:p>
    <w:p>
      <w:pPr>
        <w:jc w:val="both"/>
        <w:ind w:left="120" w:right="119" w:firstLine="438"/>
        <w:spacing w:after="0" w:line="2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Swap Obligation</w:t>
      </w:r>
      <w:r>
        <w:rPr>
          <w:rFonts w:ascii="Arial" w:cs="Arial" w:eastAsia="Arial" w:hAnsi="Arial"/>
          <w:sz w:val="13"/>
          <w:szCs w:val="13"/>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6" w:name="page67"/>
    <w:bookmarkEnd w:id="66"/>
    <w:p>
      <w:pPr>
        <w:jc w:val="both"/>
        <w:ind w:left="120" w:right="119" w:firstLine="438"/>
        <w:spacing w:after="0" w:line="24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U.S. federal withholding Taxes imposed under FATCA.</w:t>
      </w:r>
    </w:p>
    <w:p>
      <w:pPr>
        <w:spacing w:after="0" w:line="9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04"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Effective Rate</w:t>
      </w:r>
      <w:r>
        <w:rPr>
          <w:rFonts w:ascii="Arial" w:cs="Arial" w:eastAsia="Arial" w:hAnsi="Arial"/>
          <w:sz w:val="13"/>
          <w:szCs w:val="13"/>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rate shall be less than zero, such rate shall be deemed to be zero for the purposes of this Agreement.</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Officer</w:t>
      </w:r>
      <w:r>
        <w:rPr>
          <w:rFonts w:ascii="Arial" w:cs="Arial" w:eastAsia="Arial" w:hAnsi="Arial"/>
          <w:sz w:val="13"/>
          <w:szCs w:val="13"/>
          <w:color w:val="auto"/>
        </w:rPr>
        <w:t>” means the chief financial officer, principal accounting officer, treasurer or controller of the Borrower.</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has the meaning assigned to such term in Section 5.01.</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Fixed Charge Coverage Ratio</w:t>
      </w:r>
      <w:r>
        <w:rPr>
          <w:rFonts w:ascii="Arial" w:cs="Arial" w:eastAsia="Arial" w:hAnsi="Arial"/>
          <w:sz w:val="13"/>
          <w:szCs w:val="13"/>
          <w:color w:val="auto"/>
        </w:rPr>
        <w:t xml:space="preserve">” means, for any period, the ratio of (a) EBITDA </w:t>
      </w:r>
      <w:r>
        <w:rPr>
          <w:rFonts w:ascii="Arial" w:cs="Arial" w:eastAsia="Arial" w:hAnsi="Arial"/>
          <w:sz w:val="13"/>
          <w:szCs w:val="13"/>
          <w:i w:val="1"/>
          <w:iCs w:val="1"/>
          <w:u w:val="single" w:color="auto"/>
          <w:color w:val="auto"/>
        </w:rPr>
        <w:t>minus</w:t>
      </w:r>
      <w:r>
        <w:rPr>
          <w:rFonts w:ascii="Arial" w:cs="Arial" w:eastAsia="Arial" w:hAnsi="Arial"/>
          <w:sz w:val="13"/>
          <w:szCs w:val="13"/>
          <w:color w:val="auto"/>
        </w:rPr>
        <w:t xml:space="preserve"> Unfinanced Capital Expenditures to (b) Fixed Charges, all calculated for the Borrower and its Subsidiaries on a consolidated basis in accordance with GAAP.</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Fixed Charges</w:t>
      </w:r>
      <w:r>
        <w:rPr>
          <w:rFonts w:ascii="Arial" w:cs="Arial" w:eastAsia="Arial" w:hAnsi="Arial"/>
          <w:sz w:val="13"/>
          <w:szCs w:val="13"/>
          <w:color w:val="auto"/>
        </w:rPr>
        <w:t xml:space="preserve">” means, for any period, without duplication, cash Interest Expense, </w:t>
      </w:r>
      <w:r>
        <w:rPr>
          <w:rFonts w:ascii="Arial" w:cs="Arial" w:eastAsia="Arial" w:hAnsi="Arial"/>
          <w:sz w:val="13"/>
          <w:szCs w:val="13"/>
          <w:i w:val="1"/>
          <w:iCs w:val="1"/>
          <w:u w:val="single" w:color="auto"/>
          <w:color w:val="auto"/>
        </w:rPr>
        <w:t>plus</w:t>
      </w:r>
      <w:r>
        <w:rPr>
          <w:rFonts w:ascii="Arial" w:cs="Arial" w:eastAsia="Arial" w:hAnsi="Arial"/>
          <w:sz w:val="13"/>
          <w:szCs w:val="13"/>
          <w:color w:val="auto"/>
        </w:rPr>
        <w:t xml:space="preserve"> scheduled principal payments on Funded Indebtedness, </w:t>
      </w:r>
      <w:r>
        <w:rPr>
          <w:rFonts w:ascii="Arial" w:cs="Arial" w:eastAsia="Arial" w:hAnsi="Arial"/>
          <w:sz w:val="13"/>
          <w:szCs w:val="13"/>
          <w:i w:val="1"/>
          <w:iCs w:val="1"/>
          <w:u w:val="single" w:color="auto"/>
          <w:color w:val="auto"/>
        </w:rPr>
        <w:t>plus</w:t>
      </w:r>
      <w:r>
        <w:rPr>
          <w:rFonts w:ascii="Arial" w:cs="Arial" w:eastAsia="Arial" w:hAnsi="Arial"/>
          <w:sz w:val="13"/>
          <w:szCs w:val="13"/>
          <w:color w:val="auto"/>
        </w:rPr>
        <w:t xml:space="preserve"> expense for taxes paid in cash, </w:t>
      </w:r>
      <w:r>
        <w:rPr>
          <w:rFonts w:ascii="Arial" w:cs="Arial" w:eastAsia="Arial" w:hAnsi="Arial"/>
          <w:sz w:val="13"/>
          <w:szCs w:val="13"/>
          <w:i w:val="1"/>
          <w:iCs w:val="1"/>
          <w:u w:val="single" w:color="auto"/>
          <w:color w:val="auto"/>
        </w:rPr>
        <w:t>plus</w:t>
      </w:r>
      <w:r>
        <w:rPr>
          <w:rFonts w:ascii="Arial" w:cs="Arial" w:eastAsia="Arial" w:hAnsi="Arial"/>
          <w:sz w:val="13"/>
          <w:szCs w:val="13"/>
          <w:color w:val="auto"/>
        </w:rPr>
        <w:t xml:space="preserve"> Restricted Payments paid in cash (excluding items eliminated in consolidation), all calculated for the Borrower and its Subsidiaries on a consolidated basis in accordance with GAAP.</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Fixtures</w:t>
      </w:r>
      <w:r>
        <w:rPr>
          <w:rFonts w:ascii="Arial" w:cs="Arial" w:eastAsia="Arial" w:hAnsi="Arial"/>
          <w:sz w:val="13"/>
          <w:szCs w:val="13"/>
          <w:color w:val="auto"/>
        </w:rPr>
        <w:t>” has the meaning assigned to such term in the Security Agreement.</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Lender</w:t>
      </w:r>
      <w:r>
        <w:rPr>
          <w:rFonts w:ascii="Arial" w:cs="Arial" w:eastAsia="Arial" w:hAnsi="Arial"/>
          <w:sz w:val="13"/>
          <w:szCs w:val="13"/>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w:t>
      </w:r>
      <w:r>
        <w:rPr>
          <w:rFonts w:ascii="Arial" w:cs="Arial" w:eastAsia="Arial" w:hAnsi="Arial"/>
          <w:sz w:val="13"/>
          <w:szCs w:val="13"/>
          <w:color w:val="auto"/>
        </w:rPr>
        <w:t>” means any Subsidiary of Borrower other than a Domestic Subsidiary.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7" w:name="page68"/>
    <w:bookmarkEnd w:id="67"/>
    <w:p>
      <w:pPr>
        <w:jc w:val="both"/>
        <w:ind w:left="120" w:right="119" w:firstLine="438"/>
        <w:spacing w:after="0" w:line="24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Funded Indebtedness</w:t>
      </w:r>
      <w:r>
        <w:rPr>
          <w:rFonts w:ascii="Arial" w:cs="Arial" w:eastAsia="Arial" w:hAnsi="Arial"/>
          <w:sz w:val="12"/>
          <w:szCs w:val="12"/>
          <w:color w:val="auto"/>
        </w:rPr>
        <w:t>” means with respect to any Person, at any date, the aggregate principal amount of (a) all obligations of such Person for borrowed money or with respect to deposits or advances of any kind, (b) all obligations of evidenced by bonds, debentures, notes or similar instruments, (c) all Capital Lease Obligations, (d) all Indebtedness of others secured by (or for which the holder of such Indebtedness has an existing right, contingent or otherwise, to be secured by) any Lien on property owned or acquired by such Person, whether or not the Indebtedness secured thereby has been assumed, (e) all obligations of an account party in respect of drawn letters of credit and letters of guaranty for which reimbursement payments are owing, (f) any Indebtedness which constitutes Subordinated Debt, and (g) any Guarantee of the foregoing, determined for the Borrower and its Subsidiaries on a consolidated basis at such date, in accordance with GAAP. Notwithstanding the foregoing, Funded Indebtedness shall not include any obligation under any Permitted Receivables Financing Program.</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Funding Account</w:t>
      </w:r>
      <w:r>
        <w:rPr>
          <w:rFonts w:ascii="Arial" w:cs="Arial" w:eastAsia="Arial" w:hAnsi="Arial"/>
          <w:sz w:val="13"/>
          <w:szCs w:val="13"/>
          <w:color w:val="auto"/>
        </w:rPr>
        <w:t>” has the meaning assigned to such term in Section 4.01(h).</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generally accepted accounting principles in the U.S.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13" w:lineRule="exact"/>
        <w:rPr>
          <w:sz w:val="20"/>
          <w:szCs w:val="20"/>
          <w:color w:val="auto"/>
        </w:rPr>
      </w:pPr>
    </w:p>
    <w:p>
      <w:pPr>
        <w:jc w:val="both"/>
        <w:ind w:left="120" w:right="119" w:firstLine="438"/>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Guarantee</w:t>
      </w:r>
      <w:r>
        <w:rPr>
          <w:rFonts w:ascii="Arial" w:cs="Arial" w:eastAsia="Arial" w:hAnsi="Arial"/>
          <w:sz w:val="12"/>
          <w:szCs w:val="12"/>
          <w:color w:val="auto"/>
        </w:rPr>
        <w:t>” of or by any Person (the “</w:t>
      </w:r>
      <w:r>
        <w:rPr>
          <w:rFonts w:ascii="Arial" w:cs="Arial" w:eastAsia="Arial" w:hAnsi="Arial"/>
          <w:sz w:val="12"/>
          <w:szCs w:val="12"/>
          <w:u w:val="single" w:color="auto"/>
          <w:color w:val="auto"/>
        </w:rPr>
        <w:t>guarantor</w:t>
      </w:r>
      <w:r>
        <w:rPr>
          <w:rFonts w:ascii="Arial" w:cs="Arial" w:eastAsia="Arial" w:hAnsi="Arial"/>
          <w:sz w:val="12"/>
          <w:szCs w:val="12"/>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2"/>
          <w:szCs w:val="12"/>
          <w:u w:val="single" w:color="auto"/>
          <w:color w:val="auto"/>
        </w:rPr>
        <w:t>primary obligor</w:t>
      </w:r>
      <w:r>
        <w:rPr>
          <w:rFonts w:ascii="Arial" w:cs="Arial" w:eastAsia="Arial" w:hAnsi="Arial"/>
          <w:sz w:val="12"/>
          <w:szCs w:val="1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term Guarantee shall not include endorsements for collection or deposit in the ordinary course of business. The amount of any Guarantee for all purposes of this Agreement shall be deemed to be an amount equal to the stated or determinable amount of the related Indebtedness or primary obligation, or portion thereof, in respect of which such Guarantee is made or, if not stated or determinable, the maximum reasonably anticipated liability in respect thereof as determined by the guaranteeing Person in good faith (the “</w:t>
      </w:r>
      <w:r>
        <w:rPr>
          <w:rFonts w:ascii="Arial" w:cs="Arial" w:eastAsia="Arial" w:hAnsi="Arial"/>
          <w:sz w:val="12"/>
          <w:szCs w:val="12"/>
          <w:u w:val="single" w:color="auto"/>
          <w:color w:val="auto"/>
        </w:rPr>
        <w:t>Guaranteed Amount</w:t>
      </w:r>
      <w:r>
        <w:rPr>
          <w:rFonts w:ascii="Arial" w:cs="Arial" w:eastAsia="Arial" w:hAnsi="Arial"/>
          <w:sz w:val="12"/>
          <w:szCs w:val="12"/>
          <w:color w:val="auto"/>
        </w:rPr>
        <w:t>”). The term “Guarantee” as a verb has a corresponding meaning.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Guaranteed Obligations</w:t>
      </w:r>
      <w:r>
        <w:rPr>
          <w:rFonts w:ascii="Arial" w:cs="Arial" w:eastAsia="Arial" w:hAnsi="Arial"/>
          <w:sz w:val="13"/>
          <w:szCs w:val="13"/>
          <w:color w:val="auto"/>
        </w:rPr>
        <w:t>” has the meaning assigned to such term in Section 10.01.</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Guarantors</w:t>
      </w:r>
      <w:r>
        <w:rPr>
          <w:rFonts w:ascii="Arial" w:cs="Arial" w:eastAsia="Arial" w:hAnsi="Arial"/>
          <w:sz w:val="13"/>
          <w:szCs w:val="13"/>
          <w:color w:val="auto"/>
        </w:rPr>
        <w:t>” means all Loan Guarantors and all non-Loan Parties who have delivered an Obligation Guaranty, and the term “Guarantor” means each or any one of them individually.</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8" w:name="page69"/>
    <w:bookmarkEnd w:id="68"/>
    <w:p>
      <w:pPr>
        <w:jc w:val="both"/>
        <w:ind w:left="120" w:right="119"/>
        <w:spacing w:after="0" w:line="266" w:lineRule="auto"/>
        <w:rPr>
          <w:sz w:val="20"/>
          <w:szCs w:val="20"/>
          <w:color w:val="auto"/>
        </w:rPr>
      </w:pPr>
      <w:r>
        <w:rPr>
          <w:rFonts w:ascii="Arial" w:cs="Arial" w:eastAsia="Arial" w:hAnsi="Arial"/>
          <w:sz w:val="12"/>
          <w:szCs w:val="12"/>
          <w:color w:val="auto"/>
        </w:rPr>
        <w:t>(49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Impacted Interest Period</w:t>
      </w:r>
      <w:r>
        <w:rPr>
          <w:rFonts w:ascii="Arial" w:cs="Arial" w:eastAsia="Arial" w:hAnsi="Arial"/>
          <w:sz w:val="13"/>
          <w:szCs w:val="13"/>
          <w:color w:val="auto"/>
        </w:rPr>
        <w:t>” has the meaning assigned to such term in the definition of “LIBO Rate”.</w:t>
      </w:r>
    </w:p>
    <w:p>
      <w:pPr>
        <w:spacing w:after="0" w:line="133" w:lineRule="exact"/>
        <w:rPr>
          <w:sz w:val="20"/>
          <w:szCs w:val="20"/>
          <w:color w:val="auto"/>
        </w:rPr>
      </w:pPr>
    </w:p>
    <w:p>
      <w:pPr>
        <w:jc w:val="both"/>
        <w:ind w:left="120" w:right="119" w:firstLine="438"/>
        <w:spacing w:after="0" w:line="26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Indebtedness</w:t>
      </w:r>
      <w:r>
        <w:rPr>
          <w:rFonts w:ascii="Arial" w:cs="Arial" w:eastAsia="Arial" w:hAnsi="Arial"/>
          <w:sz w:val="11"/>
          <w:szCs w:val="11"/>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accounts payable or accrued expenses incurred in the ordinary course of business which are not more than one hundred twenty (120) days past due or past the date such expenses began accruing),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earn-outs in respect of Permitted Acquisitions to the extent reflected as a liability on the consolidated balance sheet of the Borrower and its Subsidiaries, (l) any other Off-Balance Sheet Liability,</w:t>
      </w:r>
    </w:p>
    <w:p>
      <w:pPr>
        <w:spacing w:after="0" w:line="128" w:lineRule="exact"/>
        <w:rPr>
          <w:sz w:val="20"/>
          <w:szCs w:val="20"/>
          <w:color w:val="auto"/>
        </w:rPr>
      </w:pPr>
    </w:p>
    <w:p>
      <w:pPr>
        <w:jc w:val="both"/>
        <w:ind w:left="120" w:right="119" w:firstLine="4"/>
        <w:spacing w:after="0" w:line="225" w:lineRule="auto"/>
        <w:tabs>
          <w:tab w:leader="none" w:pos="362" w:val="left"/>
        </w:tabs>
        <w:numPr>
          <w:ilvl w:val="0"/>
          <w:numId w:val="45"/>
        </w:numPr>
        <w:rPr>
          <w:rFonts w:ascii="Arial" w:cs="Arial" w:eastAsia="Arial" w:hAnsi="Arial"/>
          <w:sz w:val="13"/>
          <w:szCs w:val="13"/>
          <w:color w:val="auto"/>
        </w:rPr>
      </w:pPr>
      <w:r>
        <w:rPr>
          <w:rFonts w:ascii="Arial" w:cs="Arial" w:eastAsia="Arial" w:hAnsi="Arial"/>
          <w:sz w:val="13"/>
          <w:szCs w:val="13"/>
          <w:color w:val="auto"/>
        </w:rPr>
        <w:t>obligations, whether absolute or contingent and howsoever and whensoever created, arising, evidenced or acquired (including all renewals, extensions and modifications thereof and substitutions therefor), under any and all Swap Agreements, and (n) obligations in respect of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any obligations under any Permitted Receivables Financing Program.</w:t>
      </w:r>
    </w:p>
    <w:p>
      <w:pPr>
        <w:spacing w:after="0" w:line="114" w:lineRule="exact"/>
        <w:rPr>
          <w:sz w:val="20"/>
          <w:szCs w:val="20"/>
          <w:color w:val="auto"/>
        </w:rPr>
      </w:pPr>
    </w:p>
    <w:p>
      <w:pPr>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Taxes</w:t>
      </w:r>
      <w:r>
        <w:rPr>
          <w:rFonts w:ascii="Arial" w:cs="Arial" w:eastAsia="Arial" w:hAnsi="Arial"/>
          <w:sz w:val="13"/>
          <w:szCs w:val="13"/>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w:t>
      </w:r>
      <w:r>
        <w:rPr>
          <w:rFonts w:ascii="Arial" w:cs="Arial" w:eastAsia="Arial" w:hAnsi="Arial"/>
          <w:sz w:val="13"/>
          <w:szCs w:val="13"/>
          <w:color w:val="auto"/>
        </w:rPr>
        <w:t>” has the meaning assigned to such term in Section 9.03(b).</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Ineligible Institution</w:t>
      </w:r>
      <w:r>
        <w:rPr>
          <w:rFonts w:ascii="Arial" w:cs="Arial" w:eastAsia="Arial" w:hAnsi="Arial"/>
          <w:sz w:val="13"/>
          <w:szCs w:val="13"/>
          <w:color w:val="auto"/>
        </w:rPr>
        <w:t>” has the meaning assigned to such term in Section 9.04(b).</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w:t>
      </w:r>
      <w:r>
        <w:rPr>
          <w:rFonts w:ascii="Arial" w:cs="Arial" w:eastAsia="Arial" w:hAnsi="Arial"/>
          <w:sz w:val="13"/>
          <w:szCs w:val="13"/>
          <w:color w:val="auto"/>
        </w:rPr>
        <w:t>” has the meaning assigned to such term in Section 9.12.</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Election Request</w:t>
      </w:r>
      <w:r>
        <w:rPr>
          <w:rFonts w:ascii="Arial" w:cs="Arial" w:eastAsia="Arial" w:hAnsi="Arial"/>
          <w:sz w:val="13"/>
          <w:szCs w:val="13"/>
          <w:color w:val="auto"/>
        </w:rPr>
        <w:t>” means a request by the Borrower to convert or continue a Borrowing in accordance with Section 2.08.</w:t>
      </w:r>
    </w:p>
    <w:p>
      <w:pPr>
        <w:spacing w:after="0" w:line="133" w:lineRule="exact"/>
        <w:rPr>
          <w:sz w:val="20"/>
          <w:szCs w:val="20"/>
          <w:color w:val="auto"/>
        </w:rPr>
      </w:pPr>
    </w:p>
    <w:p>
      <w:pPr>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Expense</w:t>
      </w:r>
      <w:r>
        <w:rPr>
          <w:rFonts w:ascii="Arial" w:cs="Arial" w:eastAsia="Arial" w:hAnsi="Arial"/>
          <w:sz w:val="13"/>
          <w:szCs w:val="13"/>
          <w:color w:val="auto"/>
        </w:rPr>
        <w:t>” means, with reference to any period, total interest expense (including that attributable to Capital Lease Obligations) of the Borrower and its Subsidiaries for such period with respect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69" w:name="page70"/>
    <w:bookmarkEnd w:id="69"/>
    <w:p>
      <w:pPr>
        <w:jc w:val="both"/>
        <w:ind w:left="120" w:right="119"/>
        <w:spacing w:after="0" w:line="266" w:lineRule="auto"/>
        <w:rPr>
          <w:sz w:val="20"/>
          <w:szCs w:val="20"/>
          <w:color w:val="auto"/>
        </w:rPr>
      </w:pPr>
      <w:r>
        <w:rPr>
          <w:rFonts w:ascii="Arial" w:cs="Arial" w:eastAsia="Arial" w:hAnsi="Arial"/>
          <w:sz w:val="12"/>
          <w:szCs w:val="12"/>
          <w:color w:val="auto"/>
        </w:rPr>
        <w:t>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98" w:lineRule="exact"/>
        <w:rPr>
          <w:sz w:val="20"/>
          <w:szCs w:val="20"/>
          <w:color w:val="auto"/>
        </w:rPr>
      </w:pPr>
    </w:p>
    <w:p>
      <w:pPr>
        <w:jc w:val="both"/>
        <w:ind w:left="120" w:right="119" w:firstLine="438"/>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Payment Date</w:t>
      </w:r>
      <w:r>
        <w:rPr>
          <w:rFonts w:ascii="Arial" w:cs="Arial" w:eastAsia="Arial" w:hAnsi="Arial"/>
          <w:sz w:val="13"/>
          <w:szCs w:val="13"/>
          <w:color w:val="auto"/>
        </w:rPr>
        <w:t>” means (a) with respect to any ABR Loan (other than a Swingline Loan), the last day of each calendar quarter and the Revolving Credit Maturity Date or the Term A Maturity Date, as applicable,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Revolving Credit Maturity Date or the Term A Maturity Date, as applicable, and (c) with respect to any Swingline Loan, the day that such Loan is required to be repaid and the Revolving Credit Maturity Date.</w:t>
      </w:r>
    </w:p>
    <w:p>
      <w:pPr>
        <w:spacing w:after="0" w:line="115" w:lineRule="exact"/>
        <w:rPr>
          <w:sz w:val="20"/>
          <w:szCs w:val="20"/>
          <w:color w:val="auto"/>
        </w:rPr>
      </w:pPr>
    </w:p>
    <w:p>
      <w:pPr>
        <w:jc w:val="both"/>
        <w:ind w:left="120" w:right="119" w:firstLine="438"/>
        <w:spacing w:after="0" w:line="24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Period</w:t>
      </w:r>
      <w:r>
        <w:rPr>
          <w:rFonts w:ascii="Arial" w:cs="Arial" w:eastAsia="Arial" w:hAnsi="Arial"/>
          <w:sz w:val="12"/>
          <w:szCs w:val="12"/>
          <w:color w:val="auto"/>
        </w:rPr>
        <w:t xml:space="preserve">” means with respect to any Eurodollar Borrowing, the period commencing on the date of such Eurodollar Borrowing and ending on the numerically corresponding day in the calendar month that is one, three or six months thereafter, as the Borrower may elect;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09"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Interpolated Rate</w:t>
      </w:r>
      <w:r>
        <w:rPr>
          <w:rFonts w:ascii="Arial" w:cs="Arial" w:eastAsia="Arial" w:hAnsi="Arial"/>
          <w:sz w:val="13"/>
          <w:szCs w:val="13"/>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Inventory</w:t>
      </w:r>
      <w:r>
        <w:rPr>
          <w:rFonts w:ascii="Arial" w:cs="Arial" w:eastAsia="Arial" w:hAnsi="Arial"/>
          <w:sz w:val="13"/>
          <w:szCs w:val="13"/>
          <w:color w:val="auto"/>
        </w:rPr>
        <w:t>” has the meaning assigned to such term in the Security Agreement.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13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w:t>
      </w:r>
      <w:r>
        <w:rPr>
          <w:rFonts w:ascii="Arial" w:cs="Arial" w:eastAsia="Arial" w:hAnsi="Arial"/>
          <w:sz w:val="13"/>
          <w:szCs w:val="13"/>
          <w:color w:val="auto"/>
        </w:rPr>
        <w:t>” means, individually and collectively, each of JPM, in its capacity as the issuer of Letters of Credit hereunder and its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 Sublimit</w:t>
      </w:r>
      <w:r>
        <w:rPr>
          <w:rFonts w:ascii="Arial" w:cs="Arial" w:eastAsia="Arial" w:hAnsi="Arial"/>
          <w:sz w:val="13"/>
          <w:szCs w:val="13"/>
          <w:color w:val="auto"/>
        </w:rPr>
        <w:t>” means, as of the Effective Date, $2,500,000.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70" w:name="page71"/>
    <w:bookmarkEnd w:id="70"/>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Joinder Agreement</w:t>
      </w:r>
      <w:r>
        <w:rPr>
          <w:rFonts w:ascii="Arial" w:cs="Arial" w:eastAsia="Arial" w:hAnsi="Arial"/>
          <w:sz w:val="13"/>
          <w:szCs w:val="13"/>
          <w:color w:val="auto"/>
        </w:rPr>
        <w:t xml:space="preserve">” means a Joinder Agreement in substantially the form of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JPM</w:t>
      </w:r>
      <w:r>
        <w:rPr>
          <w:rFonts w:ascii="Arial" w:cs="Arial" w:eastAsia="Arial" w:hAnsi="Arial"/>
          <w:sz w:val="13"/>
          <w:szCs w:val="13"/>
          <w:color w:val="auto"/>
        </w:rPr>
        <w:t>” means JPMorgan Chase Bank, N.A., a national banking association, in its individual capacity, and its successors.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Collateral Account</w:t>
      </w:r>
      <w:r>
        <w:rPr>
          <w:rFonts w:ascii="Arial" w:cs="Arial" w:eastAsia="Arial" w:hAnsi="Arial"/>
          <w:sz w:val="13"/>
          <w:szCs w:val="13"/>
          <w:color w:val="auto"/>
        </w:rPr>
        <w:t>” has the meaning assigned to such term in Section 2.06(j).</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Disbursement</w:t>
      </w:r>
      <w:r>
        <w:rPr>
          <w:rFonts w:ascii="Arial" w:cs="Arial" w:eastAsia="Arial" w:hAnsi="Arial"/>
          <w:sz w:val="13"/>
          <w:szCs w:val="13"/>
          <w:color w:val="auto"/>
        </w:rPr>
        <w:t>” means any payment made by an Issuing Bank pursuant to a Letter of Credit.</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Exposure</w:t>
      </w:r>
      <w:r>
        <w:rPr>
          <w:rFonts w:ascii="Arial" w:cs="Arial" w:eastAsia="Arial" w:hAnsi="Arial"/>
          <w:sz w:val="13"/>
          <w:szCs w:val="13"/>
          <w:color w:val="auto"/>
        </w:rPr>
        <w:t>” means, at any time, the Standby LC Exposure at such time. The LC Exposure of any Revolving Lender at any time shall be its Applicable Percentage of the aggregate LC Exposure at such time.</w:t>
      </w:r>
    </w:p>
    <w:p>
      <w:pPr>
        <w:spacing w:after="0" w:line="85"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xml:space="preserve">” means the Persons listed on the </w:t>
      </w:r>
      <w:r>
        <w:rPr>
          <w:rFonts w:ascii="Arial" w:cs="Arial" w:eastAsia="Arial" w:hAnsi="Arial"/>
          <w:sz w:val="13"/>
          <w:szCs w:val="13"/>
          <w:u w:val="single" w:color="auto"/>
          <w:color w:val="auto"/>
        </w:rPr>
        <w:t>Commitment Schedule</w:t>
      </w:r>
      <w:r>
        <w:rPr>
          <w:rFonts w:ascii="Arial" w:cs="Arial" w:eastAsia="Arial" w:hAnsi="Arial"/>
          <w:sz w:val="13"/>
          <w:szCs w:val="13"/>
          <w:color w:val="auto"/>
        </w:rPr>
        <w:t xml:space="preserve"> and any other Person that shall have become a Lender hereunder pursuant to Section 2.19 or an Assignment and Assumption, other than any such Person that ceases to be a Lender hereunder pursuant to an Assignment and Assumption. Unless the context otherwise requires, the term “Lenders” includes the Swingline Lender and the Issuing Bank.</w:t>
      </w:r>
    </w:p>
    <w:p>
      <w:pPr>
        <w:spacing w:after="0" w:line="11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Letters of Credit</w:t>
      </w:r>
      <w:r>
        <w:rPr>
          <w:rFonts w:ascii="Arial" w:cs="Arial" w:eastAsia="Arial" w:hAnsi="Arial"/>
          <w:sz w:val="13"/>
          <w:szCs w:val="13"/>
          <w:color w:val="auto"/>
        </w:rPr>
        <w:t>” means the letters of credit issued pursuant to this Agreement, and the term “</w:t>
      </w:r>
      <w:r>
        <w:rPr>
          <w:rFonts w:ascii="Arial" w:cs="Arial" w:eastAsia="Arial" w:hAnsi="Arial"/>
          <w:sz w:val="13"/>
          <w:szCs w:val="13"/>
          <w:u w:val="single" w:color="auto"/>
          <w:color w:val="auto"/>
        </w:rPr>
        <w:t>Letter of Credit</w:t>
      </w:r>
      <w:r>
        <w:rPr>
          <w:rFonts w:ascii="Arial" w:cs="Arial" w:eastAsia="Arial" w:hAnsi="Arial"/>
          <w:sz w:val="13"/>
          <w:szCs w:val="13"/>
          <w:color w:val="auto"/>
        </w:rPr>
        <w:t>” means any one of them or each of them singularly, as the context may require.</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 Rate</w:t>
      </w:r>
      <w:r>
        <w:rPr>
          <w:rFonts w:ascii="Arial" w:cs="Arial" w:eastAsia="Arial" w:hAnsi="Arial"/>
          <w:sz w:val="13"/>
          <w:szCs w:val="13"/>
          <w:color w:val="auto"/>
        </w:rPr>
        <w:t xml:space="preserve">” means, with respect to any Eurodollar Borrowing for any Interest Period, the LIBO Screen Rate at approximately 11:00 a.m., London time, two Business Days prior to the commencement of such Interest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LIBO Screen Rate shall not be available at such time for such Interest Period (an “</w:t>
      </w:r>
      <w:r>
        <w:rPr>
          <w:rFonts w:ascii="Arial" w:cs="Arial" w:eastAsia="Arial" w:hAnsi="Arial"/>
          <w:sz w:val="13"/>
          <w:szCs w:val="13"/>
          <w:b w:val="1"/>
          <w:bCs w:val="1"/>
          <w:color w:val="auto"/>
        </w:rPr>
        <w:t>Impacted Interest Period</w:t>
      </w:r>
      <w:r>
        <w:rPr>
          <w:rFonts w:ascii="Arial" w:cs="Arial" w:eastAsia="Arial" w:hAnsi="Arial"/>
          <w:sz w:val="13"/>
          <w:szCs w:val="13"/>
          <w:color w:val="auto"/>
        </w:rPr>
        <w:t>”) then the LIBO Rate shall be the Interpolated Rate.</w:t>
      </w:r>
    </w:p>
    <w:p>
      <w:pPr>
        <w:spacing w:after="0" w:line="113" w:lineRule="exact"/>
        <w:rPr>
          <w:sz w:val="20"/>
          <w:szCs w:val="20"/>
          <w:color w:val="auto"/>
        </w:rPr>
      </w:pPr>
    </w:p>
    <w:p>
      <w:pPr>
        <w:jc w:val="both"/>
        <w:ind w:left="120" w:right="119" w:firstLine="438"/>
        <w:spacing w:after="0" w:line="24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LIBO Screen Rate</w:t>
      </w:r>
      <w:r>
        <w:rPr>
          <w:rFonts w:ascii="Arial" w:cs="Arial" w:eastAsia="Arial" w:hAnsi="Arial"/>
          <w:sz w:val="12"/>
          <w:szCs w:val="12"/>
          <w:color w:val="auto"/>
        </w:rPr>
        <w:t xml:space="preserve">” means, for any day and time, with respect to any Eurodollar Borrowing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LIBO Screen Rate shall be less than zero, such rate shall be deemed to zero for the purposes of this Agreement.</w:t>
      </w:r>
    </w:p>
    <w:p>
      <w:pPr>
        <w:spacing w:after="0" w:line="108"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means, collectively, this Agreement, each promissory note issued pursuant to this Agreement, any Letter of Credit applications, each Collateral Document, the Loan Guaranty, any Obligation Guaranty, each subordination agreement, each intercreditor agreement, and each other agreement, instrument, document and certificate executed in connection herewith or therewith and delivered to, or in favor of, the Administrative Agent, any Lender, or Issuing Bank. Any reference in this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1" w:name="page72"/>
    <w:bookmarkEnd w:id="71"/>
    <w:p>
      <w:pPr>
        <w:jc w:val="both"/>
        <w:ind w:left="120" w:right="119"/>
        <w:spacing w:after="0" w:line="237" w:lineRule="auto"/>
        <w:rPr>
          <w:sz w:val="20"/>
          <w:szCs w:val="20"/>
          <w:color w:val="auto"/>
        </w:rPr>
      </w:pPr>
      <w:r>
        <w:rPr>
          <w:rFonts w:ascii="Arial" w:cs="Arial" w:eastAsia="Arial" w:hAnsi="Arial"/>
          <w:sz w:val="13"/>
          <w:szCs w:val="13"/>
          <w:color w:val="auto"/>
        </w:rPr>
        <w:t>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Guarantor</w:t>
      </w:r>
      <w:r>
        <w:rPr>
          <w:rFonts w:ascii="Arial" w:cs="Arial" w:eastAsia="Arial" w:hAnsi="Arial"/>
          <w:sz w:val="13"/>
          <w:szCs w:val="13"/>
          <w:color w:val="auto"/>
        </w:rPr>
        <w:t>” means each Loan Party other than the Borrower’s Foreign Subsidiaries.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Guaranty</w:t>
      </w:r>
      <w:r>
        <w:rPr>
          <w:rFonts w:ascii="Arial" w:cs="Arial" w:eastAsia="Arial" w:hAnsi="Arial"/>
          <w:sz w:val="13"/>
          <w:szCs w:val="13"/>
          <w:color w:val="auto"/>
        </w:rPr>
        <w:t xml:space="preserve">” means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of this Agreement.</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Parties</w:t>
      </w:r>
      <w:r>
        <w:rPr>
          <w:rFonts w:ascii="Arial" w:cs="Arial" w:eastAsia="Arial" w:hAnsi="Arial"/>
          <w:sz w:val="13"/>
          <w:szCs w:val="13"/>
          <w:color w:val="auto"/>
        </w:rPr>
        <w:t>” means, collectively, the Borrower, the Borrower’s Domestic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Loans</w:t>
      </w:r>
      <w:r>
        <w:rPr>
          <w:rFonts w:ascii="Arial" w:cs="Arial" w:eastAsia="Arial" w:hAnsi="Arial"/>
          <w:sz w:val="13"/>
          <w:szCs w:val="13"/>
          <w:color w:val="auto"/>
        </w:rPr>
        <w:t>” means the loans and advances made by the Lenders pursuant to this Agreement, including Swingline Loans.</w:t>
      </w:r>
    </w:p>
    <w:p>
      <w:pPr>
        <w:spacing w:after="0" w:line="133"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a material adverse effect on (a) the business, assets, operations, or condition, financial or otherwise, of the Borrower and its Subsidiaries taken as a whole, (b) the ability of the Loan Parties, taken as a whole, to perform their obligations under the Loan Documents to which they are a party,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02"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Indebtedness</w:t>
      </w:r>
      <w:r>
        <w:rPr>
          <w:rFonts w:ascii="Arial" w:cs="Arial" w:eastAsia="Arial" w:hAnsi="Arial"/>
          <w:sz w:val="12"/>
          <w:szCs w:val="12"/>
          <w:color w:val="auto"/>
        </w:rPr>
        <w:t>” means Indebtedness (other than the Loans and Letters of Credit), or obligations in respect of one or more Swap Agreements, of any one or more of the Borrower and its Subsidiaries in an aggregate principal amount exceeding $1,500,000.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02"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Real Property</w:t>
      </w:r>
      <w:r>
        <w:rPr>
          <w:rFonts w:ascii="Arial" w:cs="Arial" w:eastAsia="Arial" w:hAnsi="Arial"/>
          <w:sz w:val="13"/>
          <w:szCs w:val="13"/>
          <w:color w:val="auto"/>
        </w:rPr>
        <w:t>” means each parcel or related parcels of real property owned by any Loan Party which has a fair market value in excess of $1,000,000.</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Rate</w:t>
      </w:r>
      <w:r>
        <w:rPr>
          <w:rFonts w:ascii="Arial" w:cs="Arial" w:eastAsia="Arial" w:hAnsi="Arial"/>
          <w:sz w:val="13"/>
          <w:szCs w:val="13"/>
          <w:color w:val="auto"/>
        </w:rPr>
        <w:t>” has the meaning assigned to such term in Section 9.17.</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w:t>
      </w:r>
      <w:r>
        <w:rPr>
          <w:rFonts w:ascii="Arial" w:cs="Arial" w:eastAsia="Arial" w:hAnsi="Arial"/>
          <w:sz w:val="13"/>
          <w:szCs w:val="13"/>
          <w:color w:val="auto"/>
        </w:rPr>
        <w:t>” means any mortgage, deed of trust or other agreement which conveys or evidences a Lien in favor of the Administrative Agent, for the benefit of the Administrative Agent and the other Secured Parties, on real property of a Loan Party, including any amendment, restatement, modification or supplement thereto.</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 multiemployer plan as defined in Section 4001(a)(3) of ERISA.</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Income</w:t>
      </w:r>
      <w:r>
        <w:rPr>
          <w:rFonts w:ascii="Arial" w:cs="Arial" w:eastAsia="Arial" w:hAnsi="Arial"/>
          <w:sz w:val="13"/>
          <w:szCs w:val="13"/>
          <w:color w:val="auto"/>
        </w:rPr>
        <w:t xml:space="preserve">” means, for any period, the consolidated net income (or loss) determined for the Borrower and its Subsidiaries, on a consolidated basis in accordance with GAAP;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there shall</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72" w:name="page73"/>
    <w:bookmarkEnd w:id="72"/>
    <w:p>
      <w:pPr>
        <w:jc w:val="both"/>
        <w:ind w:left="120" w:right="119"/>
        <w:spacing w:after="0" w:line="228" w:lineRule="auto"/>
        <w:rPr>
          <w:sz w:val="20"/>
          <w:szCs w:val="20"/>
          <w:color w:val="auto"/>
        </w:rPr>
      </w:pPr>
      <w:r>
        <w:rPr>
          <w:rFonts w:ascii="Arial" w:cs="Arial" w:eastAsia="Arial" w:hAnsi="Arial"/>
          <w:sz w:val="13"/>
          <w:szCs w:val="13"/>
          <w:color w:val="auto"/>
        </w:rPr>
        <w:t>be excluded (a) except as provided in Section 1.05, the income (or deficit) of any Person accrued prior to the date it becomes a Subsidiary or is merged into or consolidated with the Borrower or any Subsidiary, and (b) the income (or deficit) of any Person (other than a Subsidiary) in which the Borrower or any Subsidiary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15" w:lineRule="exact"/>
        <w:rPr>
          <w:sz w:val="20"/>
          <w:szCs w:val="20"/>
          <w:color w:val="auto"/>
        </w:rPr>
      </w:pPr>
    </w:p>
    <w:p>
      <w:pPr>
        <w:jc w:val="both"/>
        <w:ind w:left="120" w:right="119" w:firstLine="438"/>
        <w:spacing w:after="0" w:line="24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Net Proceeds</w:t>
      </w:r>
      <w:r>
        <w:rPr>
          <w:rFonts w:ascii="Arial" w:cs="Arial" w:eastAsia="Arial" w:hAnsi="Arial"/>
          <w:sz w:val="12"/>
          <w:szCs w:val="12"/>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w:t>
      </w:r>
    </w:p>
    <w:p>
      <w:pPr>
        <w:spacing w:after="0" w:line="2" w:lineRule="exact"/>
        <w:rPr>
          <w:sz w:val="20"/>
          <w:szCs w:val="20"/>
          <w:color w:val="auto"/>
        </w:rPr>
      </w:pPr>
    </w:p>
    <w:p>
      <w:pPr>
        <w:jc w:val="both"/>
        <w:ind w:left="120" w:right="119" w:firstLine="4"/>
        <w:spacing w:after="0" w:line="243" w:lineRule="auto"/>
        <w:tabs>
          <w:tab w:leader="none" w:pos="367"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in the case of a condemnation or similar event, condemnation awards and similar payments, minus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net cash proceeds shall constitute Net Proceeds in any fiscal year until the aggregate amount of all such net proceeds in such fiscal year shall exceed $500,000 (and thereafter only net proceeds in excess of such amount shall constitute Net Proceeds).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has the meaning assigned to such term in Section 9.02(d).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w:t>
      </w:r>
      <w:r>
        <w:rPr>
          <w:rFonts w:ascii="Arial" w:cs="Arial" w:eastAsia="Arial" w:hAnsi="Arial"/>
          <w:sz w:val="13"/>
          <w:szCs w:val="13"/>
          <w:color w:val="auto"/>
        </w:rPr>
        <w:t>” means the Federal Reserve Bank of New York.</w:t>
      </w:r>
    </w:p>
    <w:p>
      <w:pPr>
        <w:spacing w:after="0" w:line="13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 Rate</w:t>
      </w:r>
      <w:r>
        <w:rPr>
          <w:rFonts w:ascii="Arial" w:cs="Arial" w:eastAsia="Arial" w:hAnsi="Arial"/>
          <w:sz w:val="13"/>
          <w:szCs w:val="13"/>
          <w:color w:val="auto"/>
        </w:rPr>
        <w:t>” means, for any day, the greater of (a) the Federal Funds Effective Rate in effect on such day and (b) the Overnight Bank Funding Rate in effect on such day(or for any day that is not a Banking Day, for the immediately preceding Banking Day); provided that if none of such rates are published for any day that is a Business Day, the term “NYFRB Rate” means the rate for a federal funds transaction quoted at 11:00 a.m. on such day received to the Administrative Agent from a Federal funds broker of recognized standing selected by it; provided, further, that if any of the aforesaid rates shall be less than zero, such rate shall be deemed to be zero for purposes of this Agreement.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Obligated Party</w:t>
      </w:r>
      <w:r>
        <w:rPr>
          <w:rFonts w:ascii="Arial" w:cs="Arial" w:eastAsia="Arial" w:hAnsi="Arial"/>
          <w:sz w:val="13"/>
          <w:szCs w:val="13"/>
          <w:color w:val="auto"/>
        </w:rPr>
        <w:t>” has the meaning assigned to such term in Section 10.02.</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Obligation Guaranty</w:t>
      </w:r>
      <w:r>
        <w:rPr>
          <w:rFonts w:ascii="Arial" w:cs="Arial" w:eastAsia="Arial" w:hAnsi="Arial"/>
          <w:sz w:val="13"/>
          <w:szCs w:val="13"/>
          <w:color w:val="auto"/>
        </w:rPr>
        <w:t>” means any Guarantee of all or any portion of the Secured Obligations executed and delivered to the Administrative Agent for the benefit of the Secured Parties by a guarantor who is not a Loan Party.</w:t>
      </w:r>
    </w:p>
    <w:p>
      <w:pPr>
        <w:spacing w:after="0" w:line="103" w:lineRule="exact"/>
        <w:rPr>
          <w:sz w:val="20"/>
          <w:szCs w:val="20"/>
          <w:color w:val="auto"/>
        </w:rPr>
      </w:pPr>
    </w:p>
    <w:p>
      <w:pPr>
        <w:jc w:val="both"/>
        <w:ind w:left="120" w:right="119" w:firstLine="438"/>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73" w:name="page74"/>
    <w:bookmarkEnd w:id="73"/>
    <w:p>
      <w:pPr>
        <w:jc w:val="both"/>
        <w:ind w:left="120" w:right="119"/>
        <w:spacing w:after="0" w:line="252" w:lineRule="auto"/>
        <w:rPr>
          <w:sz w:val="20"/>
          <w:szCs w:val="20"/>
          <w:color w:val="auto"/>
        </w:rPr>
      </w:pPr>
      <w:r>
        <w:rPr>
          <w:rFonts w:ascii="Arial" w:cs="Arial" w:eastAsia="Arial" w:hAnsi="Arial"/>
          <w:sz w:val="12"/>
          <w:szCs w:val="12"/>
          <w:color w:val="auto"/>
        </w:rPr>
        <w:t>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OFAC</w:t>
      </w:r>
      <w:r>
        <w:rPr>
          <w:rFonts w:ascii="Arial" w:cs="Arial" w:eastAsia="Arial" w:hAnsi="Arial"/>
          <w:sz w:val="13"/>
          <w:szCs w:val="13"/>
          <w:color w:val="auto"/>
        </w:rPr>
        <w:t>” means the Office of Foreign Assets Control of the United States Department of the Treasury.</w:t>
      </w:r>
    </w:p>
    <w:p>
      <w:pPr>
        <w:spacing w:after="0" w:line="124"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Off-Balance Sheet Liability</w:t>
      </w:r>
      <w:r>
        <w:rPr>
          <w:rFonts w:ascii="Arial" w:cs="Arial" w:eastAsia="Arial" w:hAnsi="Arial"/>
          <w:sz w:val="13"/>
          <w:szCs w:val="13"/>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Overnight Bank Funding Rate</w:t>
      </w:r>
      <w:r>
        <w:rPr>
          <w:rFonts w:ascii="Arial" w:cs="Arial" w:eastAsia="Arial" w:hAnsi="Arial"/>
          <w:sz w:val="13"/>
          <w:szCs w:val="13"/>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13" w:lineRule="exact"/>
        <w:rPr>
          <w:sz w:val="20"/>
          <w:szCs w:val="20"/>
          <w:color w:val="auto"/>
        </w:rPr>
      </w:pPr>
    </w:p>
    <w:p>
      <w:pPr>
        <w:jc w:val="both"/>
        <w:ind w:left="120" w:right="119" w:firstLine="438"/>
        <w:spacing w:after="0" w:line="2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Paid in Full</w:t>
      </w:r>
      <w:r>
        <w:rPr>
          <w:rFonts w:ascii="Arial" w:cs="Arial" w:eastAsia="Arial" w:hAnsi="Arial"/>
          <w:sz w:val="13"/>
          <w:szCs w:val="13"/>
          <w:color w:val="auto"/>
        </w:rPr>
        <w:t>” or “</w:t>
      </w:r>
      <w:r>
        <w:rPr>
          <w:rFonts w:ascii="Arial" w:cs="Arial" w:eastAsia="Arial" w:hAnsi="Arial"/>
          <w:sz w:val="13"/>
          <w:szCs w:val="13"/>
          <w:u w:val="single" w:color="auto"/>
          <w:color w:val="auto"/>
        </w:rPr>
        <w:t>Payment in Full</w:t>
      </w:r>
      <w:r>
        <w:rPr>
          <w:rFonts w:ascii="Arial" w:cs="Arial" w:eastAsia="Arial" w:hAnsi="Arial"/>
          <w:sz w:val="13"/>
          <w:szCs w:val="13"/>
          <w:color w:val="auto"/>
        </w:rPr>
        <w:t>” means, (i) the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one-hundred and three percent (103%) of the LC Exposure as of the date of such payment), (iii) the payment in full in cash of the accrued and unpaid fees, (iv)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74" w:name="page75"/>
    <w:bookmarkEnd w:id="74"/>
    <w:p>
      <w:pPr>
        <w:ind w:left="120" w:right="119"/>
        <w:spacing w:after="0" w:line="254" w:lineRule="auto"/>
        <w:rPr>
          <w:sz w:val="20"/>
          <w:szCs w:val="20"/>
          <w:color w:val="auto"/>
        </w:rPr>
      </w:pPr>
      <w:r>
        <w:rPr>
          <w:rFonts w:ascii="Arial" w:cs="Arial" w:eastAsia="Arial" w:hAnsi="Arial"/>
          <w:sz w:val="13"/>
          <w:szCs w:val="13"/>
          <w:color w:val="auto"/>
        </w:rPr>
        <w:t>termination of all Commitments, and (vi) the termination of the Swap Agreement Obligations and the Banking Services Obligations or entering into other arrangements satisfactory to the Secured Parties counterparties thereto.</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with respect to any Lender, any Person as to which such Lender is, directly or indirectly, a subsidiary.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has the meaning assigned to such term in Section 9.04(c).</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has the meaning assigned to such term in Section 9.04(c).</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PBGC</w:t>
      </w:r>
      <w:r>
        <w:rPr>
          <w:rFonts w:ascii="Arial" w:cs="Arial" w:eastAsia="Arial" w:hAnsi="Arial"/>
          <w:sz w:val="12"/>
          <w:szCs w:val="12"/>
          <w:color w:val="auto"/>
        </w:rPr>
        <w:t>” means the Pension Benefit Guaranty Corporation referred to and defined in ERISA and any successor entity performing similar functions.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Acquisition</w:t>
      </w:r>
      <w:r>
        <w:rPr>
          <w:rFonts w:ascii="Arial" w:cs="Arial" w:eastAsia="Arial" w:hAnsi="Arial"/>
          <w:sz w:val="13"/>
          <w:szCs w:val="13"/>
          <w:color w:val="auto"/>
        </w:rPr>
        <w:t>” means any Acquisition by any Loan Party in a transaction that satisfies each of the following requirements:</w:t>
      </w:r>
    </w:p>
    <w:p>
      <w:pPr>
        <w:spacing w:after="0" w:line="316" w:lineRule="exact"/>
        <w:rPr>
          <w:sz w:val="20"/>
          <w:szCs w:val="20"/>
          <w:color w:val="auto"/>
        </w:rPr>
      </w:pPr>
    </w:p>
    <w:p>
      <w:pPr>
        <w:ind w:left="2340" w:hanging="903"/>
        <w:spacing w:after="0"/>
        <w:tabs>
          <w:tab w:leader="none" w:pos="2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such Acquisition is not a hostile or contested acquisition;</w:t>
      </w:r>
    </w:p>
    <w:p>
      <w:pPr>
        <w:spacing w:after="0" w:line="51" w:lineRule="exact"/>
        <w:rPr>
          <w:sz w:val="20"/>
          <w:szCs w:val="20"/>
          <w:color w:val="auto"/>
        </w:rPr>
      </w:pPr>
    </w:p>
    <w:p>
      <w:pPr>
        <w:jc w:val="both"/>
        <w:ind w:left="560" w:right="119" w:firstLine="877"/>
        <w:spacing w:after="0" w:line="228" w:lineRule="auto"/>
        <w:tabs>
          <w:tab w:leader="none" w:pos="2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29" w:lineRule="exact"/>
        <w:rPr>
          <w:rFonts w:ascii="Arial" w:cs="Arial" w:eastAsia="Arial" w:hAnsi="Arial"/>
          <w:sz w:val="13"/>
          <w:szCs w:val="13"/>
          <w:color w:val="auto"/>
        </w:rPr>
      </w:pPr>
    </w:p>
    <w:p>
      <w:pPr>
        <w:jc w:val="both"/>
        <w:ind w:left="560" w:right="119" w:firstLine="877"/>
        <w:spacing w:after="0" w:line="218" w:lineRule="auto"/>
        <w:tabs>
          <w:tab w:leader="none" w:pos="2339" w:val="left"/>
        </w:tabs>
        <w:numPr>
          <w:ilvl w:val="0"/>
          <w:numId w:val="48"/>
        </w:numPr>
        <w:rPr>
          <w:rFonts w:ascii="Arial" w:cs="Arial" w:eastAsia="Arial" w:hAnsi="Arial"/>
          <w:sz w:val="13"/>
          <w:szCs w:val="13"/>
          <w:color w:val="auto"/>
        </w:rPr>
      </w:pPr>
      <w:r>
        <w:rPr>
          <w:rFonts w:ascii="Arial" w:cs="Arial" w:eastAsia="Arial" w:hAnsi="Arial"/>
          <w:sz w:val="13"/>
          <w:szCs w:val="13"/>
          <w:color w:val="auto"/>
        </w:rPr>
        <w:t>both before and after giving effect to such Acquisition and the Loans (if any) requested to be made in connection therewith, each of the representations and warranties in the Loan Documents is true and correct (except (i) any such representation or warranty which relates to a specified prior date and (ii) to the extent the Lenders have been notified in writing by the Loan Parties that any representation or warranty is not correct and the Lenders have explicitly waived in writing compliance with such representation or warranty) and no Default exists, will exist, or would result therefrom;</w:t>
      </w:r>
    </w:p>
    <w:p>
      <w:pPr>
        <w:spacing w:after="0" w:line="32" w:lineRule="exact"/>
        <w:rPr>
          <w:rFonts w:ascii="Arial" w:cs="Arial" w:eastAsia="Arial" w:hAnsi="Arial"/>
          <w:sz w:val="13"/>
          <w:szCs w:val="13"/>
          <w:color w:val="auto"/>
        </w:rPr>
      </w:pPr>
    </w:p>
    <w:p>
      <w:pPr>
        <w:jc w:val="both"/>
        <w:ind w:left="560" w:right="119" w:firstLine="877"/>
        <w:spacing w:after="0" w:line="228" w:lineRule="auto"/>
        <w:tabs>
          <w:tab w:leader="none" w:pos="2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 soon as available, but not less than fifteen (15) days prior to such Acquisition, the Borrower has provided the Administrative Agent (i) notice of such Acquisition and (ii) a copy of all business and financial information reasonably requested by the Administrative Agent including pro forma financial statements, and statements of cash flow;</w:t>
      </w:r>
    </w:p>
    <w:p>
      <w:pPr>
        <w:spacing w:after="0" w:line="29" w:lineRule="exact"/>
        <w:rPr>
          <w:rFonts w:ascii="Arial" w:cs="Arial" w:eastAsia="Arial" w:hAnsi="Arial"/>
          <w:sz w:val="13"/>
          <w:szCs w:val="13"/>
          <w:color w:val="auto"/>
        </w:rPr>
      </w:pPr>
    </w:p>
    <w:p>
      <w:pPr>
        <w:ind w:left="560" w:right="119" w:firstLine="877"/>
        <w:spacing w:after="0" w:line="239" w:lineRule="auto"/>
        <w:tabs>
          <w:tab w:leader="none" w:pos="2339"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purchase price of such Acquisition does not exceed $15,000,000 and any cash consideration paid for all Acquisitions made during any fiscal year of the Borrower shall not exceed $15,000,000;</w:t>
      </w:r>
    </w:p>
    <w:p>
      <w:pPr>
        <w:spacing w:after="0" w:line="30" w:lineRule="exact"/>
        <w:rPr>
          <w:rFonts w:ascii="Arial" w:cs="Arial" w:eastAsia="Arial" w:hAnsi="Arial"/>
          <w:sz w:val="13"/>
          <w:szCs w:val="13"/>
          <w:color w:val="auto"/>
        </w:rPr>
      </w:pPr>
    </w:p>
    <w:p>
      <w:pPr>
        <w:ind w:left="560" w:right="119" w:firstLine="877"/>
        <w:spacing w:after="0" w:line="239" w:lineRule="auto"/>
        <w:tabs>
          <w:tab w:leader="none" w:pos="2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such Acquisition is an acquisition of the Equity Interests of a Person, such Acquisition is structured so that the acquired Person shall become a wholly-owned Domestic Subsidiary of the Borrower and a Loan Party pursuant to the terms of this Agreement;</w:t>
      </w:r>
    </w:p>
    <w:p>
      <w:pPr>
        <w:spacing w:after="0" w:line="30" w:lineRule="exact"/>
        <w:rPr>
          <w:rFonts w:ascii="Arial" w:cs="Arial" w:eastAsia="Arial" w:hAnsi="Arial"/>
          <w:sz w:val="13"/>
          <w:szCs w:val="13"/>
          <w:color w:val="auto"/>
        </w:rPr>
      </w:pPr>
    </w:p>
    <w:p>
      <w:pPr>
        <w:ind w:left="2320" w:hanging="883"/>
        <w:spacing w:after="0"/>
        <w:tabs>
          <w:tab w:leader="none" w:pos="23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such Acquisition is an acquisition of assets, such Acquisition is structured so that the Borrower or another Loan Party</w:t>
      </w:r>
    </w:p>
    <w:p>
      <w:pPr>
        <w:spacing w:after="0" w:line="1" w:lineRule="exact"/>
        <w:rPr>
          <w:rFonts w:ascii="Arial" w:cs="Arial" w:eastAsia="Arial" w:hAnsi="Arial"/>
          <w:sz w:val="12"/>
          <w:szCs w:val="12"/>
          <w:color w:val="auto"/>
        </w:rPr>
      </w:pPr>
    </w:p>
    <w:p>
      <w:pPr>
        <w:ind w:left="560"/>
        <w:spacing w:after="0"/>
        <w:rPr>
          <w:rFonts w:ascii="Arial" w:cs="Arial" w:eastAsia="Arial" w:hAnsi="Arial"/>
          <w:sz w:val="12"/>
          <w:szCs w:val="12"/>
          <w:color w:val="auto"/>
        </w:rPr>
      </w:pPr>
      <w:r>
        <w:rPr>
          <w:rFonts w:ascii="Arial" w:cs="Arial" w:eastAsia="Arial" w:hAnsi="Arial"/>
          <w:sz w:val="13"/>
          <w:szCs w:val="13"/>
          <w:color w:val="auto"/>
        </w:rPr>
        <w:t>shall acquire such assets;</w:t>
      </w:r>
    </w:p>
    <w:p>
      <w:pPr>
        <w:spacing w:after="0" w:line="39" w:lineRule="exact"/>
        <w:rPr>
          <w:rFonts w:ascii="Arial" w:cs="Arial" w:eastAsia="Arial" w:hAnsi="Arial"/>
          <w:sz w:val="12"/>
          <w:szCs w:val="12"/>
          <w:color w:val="auto"/>
        </w:rPr>
      </w:pPr>
    </w:p>
    <w:p>
      <w:pPr>
        <w:ind w:left="2340" w:hanging="903"/>
        <w:spacing w:after="0"/>
        <w:tabs>
          <w:tab w:leader="none" w:pos="2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such Acquisition is an acquisition of Equity Interests, such Acquisition will not result in any violation of Regulation U;</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75" w:name="page76"/>
    <w:bookmarkEnd w:id="75"/>
    <w:p>
      <w:pPr>
        <w:jc w:val="both"/>
        <w:ind w:left="560" w:right="119" w:firstLine="877"/>
        <w:spacing w:after="0" w:line="228" w:lineRule="auto"/>
        <w:tabs>
          <w:tab w:leader="none" w:pos="2339" w:val="left"/>
        </w:tabs>
        <w:numPr>
          <w:ilvl w:val="0"/>
          <w:numId w:val="49"/>
        </w:numPr>
        <w:rPr>
          <w:rFonts w:ascii="Arial" w:cs="Arial" w:eastAsia="Arial" w:hAnsi="Arial"/>
          <w:sz w:val="13"/>
          <w:szCs w:val="13"/>
          <w:color w:val="auto"/>
        </w:rPr>
      </w:pPr>
      <w:r>
        <w:rPr>
          <w:rFonts w:ascii="Arial" w:cs="Arial" w:eastAsia="Arial" w:hAnsi="Arial"/>
          <w:sz w:val="13"/>
          <w:szCs w:val="13"/>
          <w:color w:val="auto"/>
        </w:rPr>
        <w:t>if such Acquisition involves a merger or a consolidation involving (i) the Borrower, the Borrower shall be the surviving entity or (ii) any other Loan Party, such Loan Party shall be the surviving entity unless the other Person will become a wholly-owned Subsidiary of the Borrower and a Loan Party pursuant to Section 5.14;</w:t>
      </w:r>
    </w:p>
    <w:p>
      <w:pPr>
        <w:spacing w:after="0" w:line="102" w:lineRule="exact"/>
        <w:rPr>
          <w:rFonts w:ascii="Arial" w:cs="Arial" w:eastAsia="Arial" w:hAnsi="Arial"/>
          <w:sz w:val="13"/>
          <w:szCs w:val="13"/>
          <w:color w:val="auto"/>
        </w:rPr>
      </w:pPr>
    </w:p>
    <w:p>
      <w:pPr>
        <w:ind w:left="560" w:right="119" w:firstLine="877"/>
        <w:spacing w:after="0" w:line="239" w:lineRule="auto"/>
        <w:tabs>
          <w:tab w:leader="none" w:pos="231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30" w:lineRule="exact"/>
        <w:rPr>
          <w:rFonts w:ascii="Arial" w:cs="Arial" w:eastAsia="Arial" w:hAnsi="Arial"/>
          <w:sz w:val="13"/>
          <w:szCs w:val="13"/>
          <w:color w:val="auto"/>
        </w:rPr>
      </w:pPr>
    </w:p>
    <w:p>
      <w:pPr>
        <w:jc w:val="both"/>
        <w:ind w:left="560" w:right="119" w:firstLine="877"/>
        <w:spacing w:after="0" w:line="228" w:lineRule="auto"/>
        <w:tabs>
          <w:tab w:leader="none" w:pos="231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Borrower shall certify to the Administrative Agent and the Lenders (and provide the Administrative Agent and the Lenders with a pro forma calculation in form and substance reasonably satisfactory to the Administrative Agent) that, after giving effect to the completion of such Acquisition, on a pro forma basis the Borrower will be in compliance with the covenant contained in Section 6.12(b);</w:t>
      </w:r>
    </w:p>
    <w:p>
      <w:pPr>
        <w:spacing w:after="0" w:line="29" w:lineRule="exact"/>
        <w:rPr>
          <w:rFonts w:ascii="Arial" w:cs="Arial" w:eastAsia="Arial" w:hAnsi="Arial"/>
          <w:sz w:val="13"/>
          <w:szCs w:val="13"/>
          <w:color w:val="auto"/>
        </w:rPr>
      </w:pPr>
    </w:p>
    <w:p>
      <w:pPr>
        <w:ind w:left="560" w:right="119" w:firstLine="877"/>
        <w:spacing w:after="0" w:line="239" w:lineRule="auto"/>
        <w:tabs>
          <w:tab w:leader="none" w:pos="2339" w:val="left"/>
        </w:tabs>
        <w:numPr>
          <w:ilvl w:val="0"/>
          <w:numId w:val="49"/>
        </w:numPr>
        <w:rPr>
          <w:rFonts w:ascii="Arial" w:cs="Arial" w:eastAsia="Arial" w:hAnsi="Arial"/>
          <w:sz w:val="13"/>
          <w:szCs w:val="13"/>
          <w:color w:val="auto"/>
        </w:rPr>
      </w:pPr>
      <w:r>
        <w:rPr>
          <w:rFonts w:ascii="Arial" w:cs="Arial" w:eastAsia="Arial" w:hAnsi="Arial"/>
          <w:sz w:val="13"/>
          <w:szCs w:val="13"/>
          <w:color w:val="auto"/>
        </w:rPr>
        <w:t>all actions required to be taken with respect to any newly acquired or formed wholly-owned Subsidiary of the Borrower or a Loan Party, as applicable, required under Section 5.14 shall have been taken; and</w:t>
      </w:r>
    </w:p>
    <w:p>
      <w:pPr>
        <w:spacing w:after="0" w:line="103" w:lineRule="exact"/>
        <w:rPr>
          <w:rFonts w:ascii="Arial" w:cs="Arial" w:eastAsia="Arial" w:hAnsi="Arial"/>
          <w:sz w:val="13"/>
          <w:szCs w:val="13"/>
          <w:color w:val="auto"/>
        </w:rPr>
      </w:pPr>
    </w:p>
    <w:p>
      <w:pPr>
        <w:ind w:left="560" w:right="119" w:firstLine="877"/>
        <w:spacing w:after="0" w:line="239" w:lineRule="auto"/>
        <w:tabs>
          <w:tab w:leader="none" w:pos="231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Borrower shall have delivered to the Administrative Agent the final executed documentation relating to such Acquisition within five (5) days following the consummation thereof.</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Encumbrances</w:t>
      </w:r>
      <w:r>
        <w:rPr>
          <w:rFonts w:ascii="Arial" w:cs="Arial" w:eastAsia="Arial" w:hAnsi="Arial"/>
          <w:sz w:val="13"/>
          <w:szCs w:val="13"/>
          <w:color w:val="auto"/>
        </w:rPr>
        <w:t>” means:</w:t>
      </w:r>
    </w:p>
    <w:p>
      <w:pPr>
        <w:spacing w:after="0" w:line="133" w:lineRule="exact"/>
        <w:rPr>
          <w:sz w:val="20"/>
          <w:szCs w:val="20"/>
          <w:color w:val="auto"/>
        </w:rPr>
      </w:pPr>
    </w:p>
    <w:p>
      <w:pPr>
        <w:ind w:left="1200" w:hanging="201"/>
        <w:spacing w:after="0"/>
        <w:tabs>
          <w:tab w:leader="none" w:pos="1200"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Liens imposed by law for Taxes that are not yet due or are being contested in compliance with Section 5.04;</w:t>
      </w:r>
    </w:p>
    <w:p>
      <w:pPr>
        <w:spacing w:after="0" w:line="124"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pledges and deposits made in the ordinary course of business in compliance with workers’ compensation, unemployment insurance and other social security laws or regulations;</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judgment Liens in respect of judgments that do not constitute an Event of Default under clause (k) of Article VII; and</w:t>
      </w:r>
    </w:p>
    <w:p>
      <w:pPr>
        <w:spacing w:after="0" w:line="124" w:lineRule="exact"/>
        <w:rPr>
          <w:rFonts w:ascii="Arial" w:cs="Arial" w:eastAsia="Arial" w:hAnsi="Arial"/>
          <w:sz w:val="13"/>
          <w:szCs w:val="13"/>
          <w:color w:val="010000"/>
        </w:rPr>
      </w:pPr>
    </w:p>
    <w:p>
      <w:pPr>
        <w:jc w:val="both"/>
        <w:ind w:left="120" w:right="119" w:firstLine="879"/>
        <w:spacing w:after="0" w:line="228" w:lineRule="auto"/>
        <w:tabs>
          <w:tab w:leader="none" w:pos="1175" w:val="left"/>
        </w:tabs>
        <w:numPr>
          <w:ilvl w:val="0"/>
          <w:numId w:val="50"/>
        </w:numPr>
        <w:rPr>
          <w:rFonts w:ascii="Arial" w:cs="Arial" w:eastAsia="Arial" w:hAnsi="Arial"/>
          <w:sz w:val="13"/>
          <w:szCs w:val="13"/>
          <w:color w:val="010000"/>
        </w:rPr>
      </w:pPr>
      <w:r>
        <w:rPr>
          <w:rFonts w:ascii="Arial" w:cs="Arial" w:eastAsia="Arial" w:hAnsi="Arial"/>
          <w:sz w:val="13"/>
          <w:szCs w:val="13"/>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provided that the term “Permitted Encumbrances” shall not include any Lien securing Indebtedness, except with respect to clause (e) above.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Investments</w:t>
      </w:r>
      <w:r>
        <w:rPr>
          <w:rFonts w:ascii="Arial" w:cs="Arial" w:eastAsia="Arial" w:hAnsi="Arial"/>
          <w:sz w:val="13"/>
          <w:szCs w:val="13"/>
          <w:color w:val="auto"/>
        </w:rPr>
        <w:t>” means: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6" w:name="page77"/>
    <w:bookmarkEnd w:id="76"/>
    <w:p>
      <w:pPr>
        <w:ind w:left="120" w:right="119" w:firstLine="879"/>
        <w:spacing w:after="0" w:line="279" w:lineRule="auto"/>
        <w:tabs>
          <w:tab w:leader="none" w:pos="1189" w:val="left"/>
        </w:tabs>
        <w:numPr>
          <w:ilvl w:val="0"/>
          <w:numId w:val="51"/>
        </w:numPr>
        <w:rPr>
          <w:rFonts w:ascii="Arial" w:cs="Arial" w:eastAsia="Arial" w:hAnsi="Arial"/>
          <w:sz w:val="12"/>
          <w:szCs w:val="12"/>
          <w:color w:val="010000"/>
        </w:rPr>
      </w:pPr>
      <w:r>
        <w:rPr>
          <w:rFonts w:ascii="Arial" w:cs="Arial" w:eastAsia="Arial" w:hAnsi="Arial"/>
          <w:sz w:val="12"/>
          <w:szCs w:val="12"/>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80" w:lineRule="exact"/>
        <w:rPr>
          <w:rFonts w:ascii="Arial" w:cs="Arial" w:eastAsia="Arial" w:hAnsi="Arial"/>
          <w:sz w:val="12"/>
          <w:szCs w:val="12"/>
          <w:color w:val="010000"/>
        </w:rPr>
      </w:pPr>
    </w:p>
    <w:p>
      <w:pPr>
        <w:ind w:left="120" w:right="119" w:firstLine="879"/>
        <w:spacing w:after="0" w:line="239" w:lineRule="auto"/>
        <w:tabs>
          <w:tab w:leader="none" w:pos="1197" w:val="left"/>
        </w:tabs>
        <w:numPr>
          <w:ilvl w:val="0"/>
          <w:numId w:val="51"/>
        </w:numPr>
        <w:rPr>
          <w:rFonts w:ascii="Arial" w:cs="Arial" w:eastAsia="Arial" w:hAnsi="Arial"/>
          <w:sz w:val="13"/>
          <w:szCs w:val="13"/>
          <w:color w:val="010000"/>
        </w:rPr>
      </w:pPr>
      <w:r>
        <w:rPr>
          <w:rFonts w:ascii="Arial" w:cs="Arial" w:eastAsia="Arial" w:hAnsi="Arial"/>
          <w:sz w:val="13"/>
          <w:szCs w:val="13"/>
          <w:color w:val="auto"/>
        </w:rPr>
        <w:t>investments in commercial paper maturing within 270 days from the date of acquisition thereof and having, at such date of acquisition, the highest credit rating obtainable from S&amp;P or from Moody’s;</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89" w:val="left"/>
        </w:tabs>
        <w:numPr>
          <w:ilvl w:val="0"/>
          <w:numId w:val="51"/>
        </w:numPr>
        <w:rPr>
          <w:rFonts w:ascii="Arial" w:cs="Arial" w:eastAsia="Arial" w:hAnsi="Arial"/>
          <w:sz w:val="13"/>
          <w:szCs w:val="13"/>
          <w:color w:val="010000"/>
        </w:rPr>
      </w:pPr>
      <w:r>
        <w:rPr>
          <w:rFonts w:ascii="Arial" w:cs="Arial" w:eastAsia="Arial" w:hAnsi="Arial"/>
          <w:sz w:val="13"/>
          <w:szCs w:val="13"/>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51"/>
        </w:numPr>
        <w:rPr>
          <w:rFonts w:ascii="Arial" w:cs="Arial" w:eastAsia="Arial" w:hAnsi="Arial"/>
          <w:sz w:val="13"/>
          <w:szCs w:val="13"/>
          <w:color w:val="010000"/>
        </w:rPr>
      </w:pPr>
      <w:r>
        <w:rPr>
          <w:rFonts w:ascii="Arial" w:cs="Arial" w:eastAsia="Arial" w:hAnsi="Arial"/>
          <w:sz w:val="13"/>
          <w:szCs w:val="13"/>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51"/>
        </w:numPr>
        <w:rPr>
          <w:rFonts w:ascii="Arial" w:cs="Arial" w:eastAsia="Arial" w:hAnsi="Arial"/>
          <w:sz w:val="13"/>
          <w:szCs w:val="13"/>
          <w:color w:val="010000"/>
        </w:rPr>
      </w:pPr>
      <w:r>
        <w:rPr>
          <w:rFonts w:ascii="Arial" w:cs="Arial" w:eastAsia="Arial" w:hAnsi="Arial"/>
          <w:sz w:val="13"/>
          <w:szCs w:val="13"/>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04" w:lineRule="exact"/>
        <w:rPr>
          <w:sz w:val="20"/>
          <w:szCs w:val="20"/>
          <w:color w:val="auto"/>
        </w:rPr>
      </w:pPr>
    </w:p>
    <w:p>
      <w:pPr>
        <w:jc w:val="both"/>
        <w:ind w:left="120" w:right="119" w:firstLine="438"/>
        <w:spacing w:after="0" w:line="22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Receivables Financing Program</w:t>
      </w:r>
      <w:r>
        <w:rPr>
          <w:rFonts w:ascii="Arial" w:cs="Arial" w:eastAsia="Arial" w:hAnsi="Arial"/>
          <w:sz w:val="13"/>
          <w:szCs w:val="13"/>
          <w:color w:val="auto"/>
        </w:rPr>
        <w:t>” means a purchase-sale arrangement entered in the ordinary course of business by a Loan Party and fully disclosed to Administrative Agent, pursuant to which such Loan Party agrees to sell and assign from time to time to a Qualified Factor its right, title and interest in certain of such Loan Party’s “finance receivables” (as such terms is used in the Borrower’s books and records as of the date hereof), provided, that in connection therewith, all of the following conditions are satisfied as determined by Administrative Agent in its reasonable discretion: (a) such Loan Party does not grant (and the Qualified Factor does not otherwise obtain) any Liens on any Collateral other than Qualified Factor Accounts; (b) the applicable agreements and other documentation entered into with respect to such arrangement are in form and substance reasonably satisfactory to Administrative Agent; and (c) the purchase price with respect to any Qualified Factor Account is concurrently paid in cash, without offset or deduction, to a deposit account under the “control” (as such term is used in Article 9 of the UCC) of the Administrative Agent.</w:t>
      </w:r>
    </w:p>
    <w:p>
      <w:pPr>
        <w:spacing w:after="0" w:line="11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Platform</w:t>
      </w:r>
      <w:r>
        <w:rPr>
          <w:rFonts w:ascii="Arial" w:cs="Arial" w:eastAsia="Arial" w:hAnsi="Arial"/>
          <w:sz w:val="13"/>
          <w:szCs w:val="13"/>
          <w:color w:val="auto"/>
        </w:rPr>
        <w:t>” means Debt Domain, Intralinks, Syndtrak or a substantially similar electronic transmission system.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7" w:name="page78"/>
    <w:bookmarkEnd w:id="77"/>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Prepayment Event</w:t>
      </w:r>
      <w:r>
        <w:rPr>
          <w:rFonts w:ascii="Arial" w:cs="Arial" w:eastAsia="Arial" w:hAnsi="Arial"/>
          <w:sz w:val="13"/>
          <w:szCs w:val="13"/>
          <w:color w:val="auto"/>
        </w:rPr>
        <w:t>” means:</w:t>
      </w:r>
    </w:p>
    <w:p>
      <w:pPr>
        <w:spacing w:after="0" w:line="133" w:lineRule="exact"/>
        <w:rPr>
          <w:sz w:val="20"/>
          <w:szCs w:val="20"/>
          <w:color w:val="auto"/>
        </w:rPr>
      </w:pPr>
    </w:p>
    <w:p>
      <w:pPr>
        <w:ind w:left="120" w:right="119" w:firstLine="879"/>
        <w:spacing w:after="0" w:line="239" w:lineRule="auto"/>
        <w:tabs>
          <w:tab w:leader="none" w:pos="1189" w:val="left"/>
        </w:tabs>
        <w:numPr>
          <w:ilvl w:val="0"/>
          <w:numId w:val="52"/>
        </w:numPr>
        <w:rPr>
          <w:rFonts w:ascii="Arial" w:cs="Arial" w:eastAsia="Arial" w:hAnsi="Arial"/>
          <w:sz w:val="13"/>
          <w:szCs w:val="13"/>
          <w:color w:val="010000"/>
        </w:rPr>
      </w:pPr>
      <w:r>
        <w:rPr>
          <w:rFonts w:ascii="Arial" w:cs="Arial" w:eastAsia="Arial" w:hAnsi="Arial"/>
          <w:sz w:val="13"/>
          <w:szCs w:val="13"/>
          <w:color w:val="auto"/>
        </w:rPr>
        <w:t>any sale, transfer or other disposition (including pursuant to a sale and leaseback transaction) of any property or asset of any Loan Party or any Subsidiary, other than dispositions described in Section 6.05(a) – (g); or</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52"/>
        </w:numPr>
        <w:rPr>
          <w:rFonts w:ascii="Arial" w:cs="Arial" w:eastAsia="Arial" w:hAnsi="Arial"/>
          <w:sz w:val="13"/>
          <w:szCs w:val="13"/>
          <w:color w:val="010000"/>
        </w:rPr>
      </w:pPr>
      <w:r>
        <w:rPr>
          <w:rFonts w:ascii="Arial" w:cs="Arial" w:eastAsia="Arial" w:hAnsi="Arial"/>
          <w:sz w:val="13"/>
          <w:szCs w:val="13"/>
          <w:color w:val="auto"/>
        </w:rPr>
        <w:t>any casualty or other insured damage to, or any taking under power of eminent domain or by condemnation or similar proceeding of, any property or asset of any Loan Party or any Subsidiary with a fair value immediately prior to such event equal to or greater than $500,000; or</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52"/>
        </w:numPr>
        <w:rPr>
          <w:rFonts w:ascii="Arial" w:cs="Arial" w:eastAsia="Arial" w:hAnsi="Arial"/>
          <w:sz w:val="13"/>
          <w:szCs w:val="13"/>
          <w:color w:val="010000"/>
        </w:rPr>
      </w:pPr>
      <w:r>
        <w:rPr>
          <w:rFonts w:ascii="Arial" w:cs="Arial" w:eastAsia="Arial" w:hAnsi="Arial"/>
          <w:sz w:val="13"/>
          <w:szCs w:val="13"/>
          <w:color w:val="auto"/>
        </w:rPr>
        <w:t>[intentionally omitted]; or</w:t>
      </w:r>
    </w:p>
    <w:p>
      <w:pPr>
        <w:spacing w:after="0" w:line="124"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52"/>
        </w:numPr>
        <w:rPr>
          <w:rFonts w:ascii="Arial" w:cs="Arial" w:eastAsia="Arial" w:hAnsi="Arial"/>
          <w:sz w:val="13"/>
          <w:szCs w:val="13"/>
          <w:color w:val="010000"/>
        </w:rPr>
      </w:pPr>
      <w:r>
        <w:rPr>
          <w:rFonts w:ascii="Arial" w:cs="Arial" w:eastAsia="Arial" w:hAnsi="Arial"/>
          <w:sz w:val="13"/>
          <w:szCs w:val="13"/>
          <w:color w:val="auto"/>
        </w:rPr>
        <w:t>the incurrence by any Loan Party or any Subsidiary of any Indebtedness, other than Indebtedness permitted under Section 6.01 or permitted by the Required Lenders pursuant to Section 9.02.</w:t>
      </w:r>
    </w:p>
    <w:p>
      <w:pPr>
        <w:spacing w:after="0" w:line="10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the rate of interest per annum publicly announced from time to time by JPM as its prime rate in effect at its principal offices in New York City. Each change in the Prime Rate shall be effective from and including the date such change is publicly announced as being effective.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Projections</w:t>
      </w:r>
      <w:r>
        <w:rPr>
          <w:rFonts w:ascii="Arial" w:cs="Arial" w:eastAsia="Arial" w:hAnsi="Arial"/>
          <w:sz w:val="13"/>
          <w:szCs w:val="13"/>
          <w:color w:val="auto"/>
        </w:rPr>
        <w:t>” has the meaning assigned to such term in Section 5.01(e).</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Public-Sider</w:t>
      </w:r>
      <w:r>
        <w:rPr>
          <w:rFonts w:ascii="Arial" w:cs="Arial" w:eastAsia="Arial" w:hAnsi="Arial"/>
          <w:sz w:val="13"/>
          <w:szCs w:val="13"/>
          <w:color w:val="auto"/>
        </w:rPr>
        <w:t>” means a Lender whose representatives may trade in securities of the Borrower or its controlling person or any of its Subsidiaries while in possession of the financial statements provided by the Borrower under the terms of this Agreement.</w:t>
      </w:r>
    </w:p>
    <w:p>
      <w:pPr>
        <w:spacing w:after="0" w:line="85"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ECP Guarantor</w:t>
      </w:r>
      <w:r>
        <w:rPr>
          <w:rFonts w:ascii="Arial" w:cs="Arial" w:eastAsia="Arial" w:hAnsi="Arial"/>
          <w:sz w:val="12"/>
          <w:szCs w:val="12"/>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Factor</w:t>
      </w:r>
      <w:r>
        <w:rPr>
          <w:rFonts w:ascii="Arial" w:cs="Arial" w:eastAsia="Arial" w:hAnsi="Arial"/>
          <w:sz w:val="13"/>
          <w:szCs w:val="13"/>
          <w:color w:val="auto"/>
        </w:rPr>
        <w:t>” means any bank or other financial institution engaged in the purchase of accounts receivable in the ordinary course business.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Factor Accounts</w:t>
      </w:r>
      <w:r>
        <w:rPr>
          <w:rFonts w:ascii="Arial" w:cs="Arial" w:eastAsia="Arial" w:hAnsi="Arial"/>
          <w:sz w:val="13"/>
          <w:szCs w:val="13"/>
          <w:color w:val="auto"/>
        </w:rPr>
        <w:t>” means, in connection with any Permitted Receivables Financing Program, “finance receivables” (as such term is used in the books and records of the Borrower as of the date of this Agreement) owing by the applicable Account Debtor, together with all proceeds thereof (including “proceeds” as defined in the UCC) and all rights of the seller of such accounts receivable to enforce such accounts receivable.</w:t>
      </w:r>
    </w:p>
    <w:p>
      <w:pPr>
        <w:spacing w:after="0" w:line="113" w:lineRule="exact"/>
        <w:rPr>
          <w:sz w:val="20"/>
          <w:szCs w:val="20"/>
          <w:color w:val="auto"/>
        </w:rPr>
      </w:pPr>
    </w:p>
    <w:p>
      <w:pPr>
        <w:jc w:val="both"/>
        <w:ind w:left="120" w:right="119" w:firstLine="471"/>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w:t>
      </w:r>
      <w:r>
        <w:rPr>
          <w:rFonts w:ascii="Arial" w:cs="Arial" w:eastAsia="Arial" w:hAnsi="Arial"/>
          <w:sz w:val="13"/>
          <w:szCs w:val="13"/>
          <w:color w:val="auto"/>
        </w:rPr>
        <w:t>” means all real property that was, is now or may hereafter be owned, occupied or otherwise controlled by any Loan Party pursuant to any contract of sale, lease or other conveyance of any legal interest in any real property to any Loan Party.</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Recipient</w:t>
      </w:r>
      <w:r>
        <w:rPr>
          <w:rFonts w:ascii="Arial" w:cs="Arial" w:eastAsia="Arial" w:hAnsi="Arial"/>
          <w:sz w:val="13"/>
          <w:szCs w:val="13"/>
          <w:color w:val="auto"/>
        </w:rPr>
        <w:t>” means, as applicable, (a) the Administrative Agent, (b) any Lender and (c) any Issuing Bank, or any combination thereof (as the context requires).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Refinance Indebtedness</w:t>
      </w:r>
      <w:r>
        <w:rPr>
          <w:rFonts w:ascii="Arial" w:cs="Arial" w:eastAsia="Arial" w:hAnsi="Arial"/>
          <w:sz w:val="13"/>
          <w:szCs w:val="13"/>
          <w:color w:val="auto"/>
        </w:rPr>
        <w:t>” has the meaning assigned to such term in Section 6.01(f).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8" w:name="page79"/>
    <w:bookmarkEnd w:id="78"/>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has the meaning assigned to such term in Section 9.04(b).</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Parties</w:t>
      </w:r>
      <w:r>
        <w:rPr>
          <w:rFonts w:ascii="Arial" w:cs="Arial" w:eastAsia="Arial" w:hAnsi="Arial"/>
          <w:sz w:val="13"/>
          <w:szCs w:val="13"/>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Release</w:t>
      </w:r>
      <w:r>
        <w:rPr>
          <w:rFonts w:ascii="Arial" w:cs="Arial" w:eastAsia="Arial" w:hAnsi="Arial"/>
          <w:sz w:val="13"/>
          <w:szCs w:val="13"/>
          <w:color w:val="auto"/>
        </w:rPr>
        <w:t>” means any releasing, spilling, leaking, pumping, pouring, emitting, emptying, discharging, injecting, escaping, leaching, migrating, disposing, or dumping of any substance into the environment.</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w:t>
      </w:r>
      <w:r>
        <w:rPr>
          <w:rFonts w:ascii="Arial" w:cs="Arial" w:eastAsia="Arial" w:hAnsi="Arial"/>
          <w:sz w:val="13"/>
          <w:szCs w:val="13"/>
          <w:color w:val="auto"/>
        </w:rPr>
        <w:t>” means reports prepared by the Administrative Agent or another Person showing the results of appraisals, field examinations or audits pertaining to any Loan Party’s assets from information furnished by or on behalf of such Loan Party, after the Administrative Agent has exercised its rights of inspection pursuant to this Agreement, which Reports may be distributed to the Lenders by the Administrative Agent.</w:t>
      </w:r>
    </w:p>
    <w:p>
      <w:pPr>
        <w:spacing w:after="0" w:line="113" w:lineRule="exact"/>
        <w:rPr>
          <w:sz w:val="20"/>
          <w:szCs w:val="20"/>
          <w:color w:val="auto"/>
        </w:rPr>
      </w:pPr>
    </w:p>
    <w:p>
      <w:pPr>
        <w:jc w:val="both"/>
        <w:ind w:left="120" w:right="119" w:firstLine="438"/>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xml:space="preserve">” means, at any time, Lenders (other than Defaulting Lenders) having Credit Exposure and unused Commitments representing more than 50% of the sum of the Aggregate Credit Exposure and unused Commitments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as long as there are only two Lenders, Required Lenders shall mean both Lenders;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for purposes of declaring the Loans to be due and payable pursuant to Article VII, and for all purposes after the Loans become due and payable pursuant to Article VII or the Commitments expire or terminate, then, as to each Lender, clause (a) of the definition of Swingline Exposure shall only be applicable for purposes of determining its Revolving Exposure to the extent such Lender shall have funded its participation in the outstanding Swingline Loans.</w:t>
      </w:r>
    </w:p>
    <w:p>
      <w:pPr>
        <w:spacing w:after="0" w:line="115"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Requirement of Law</w:t>
      </w:r>
      <w:r>
        <w:rPr>
          <w:rFonts w:ascii="Arial" w:cs="Arial" w:eastAsia="Arial" w:hAnsi="Arial"/>
          <w:sz w:val="12"/>
          <w:szCs w:val="12"/>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02"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Payment</w:t>
      </w:r>
      <w:r>
        <w:rPr>
          <w:rFonts w:ascii="Arial" w:cs="Arial" w:eastAsia="Arial" w:hAnsi="Arial"/>
          <w:sz w:val="13"/>
          <w:szCs w:val="13"/>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13" w:lineRule="exact"/>
        <w:rPr>
          <w:sz w:val="20"/>
          <w:szCs w:val="20"/>
          <w:color w:val="auto"/>
        </w:rPr>
      </w:pPr>
    </w:p>
    <w:p>
      <w:pPr>
        <w:jc w:val="both"/>
        <w:ind w:left="120" w:right="119" w:firstLine="438"/>
        <w:spacing w:after="0" w:line="2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w:t>
      </w:r>
      <w:r>
        <w:rPr>
          <w:rFonts w:ascii="Arial" w:cs="Arial" w:eastAsia="Arial" w:hAnsi="Arial"/>
          <w:sz w:val="13"/>
          <w:szCs w:val="13"/>
          <w:color w:val="auto"/>
        </w:rPr>
        <w:t xml:space="preserve">” means, with respect to each Lender, the commitment, if any, of such Lender to make Revolving Loans and to acquire participations in Letters of Credit and Swingline Loans hereunder, expressed as an amount representing the maximum aggregate permitted amount of such Lender’s Revolving Exposure hereunder, as such commitment may be reduced or increased from time to time pursuant to (a) Section 2.09 and (b) assignments by or to such Lender pursuant to Section 9.04. The initial amount of each Lender’s Revolving Commitment is set forth on the </w:t>
      </w:r>
      <w:r>
        <w:rPr>
          <w:rFonts w:ascii="Arial" w:cs="Arial" w:eastAsia="Arial" w:hAnsi="Arial"/>
          <w:sz w:val="13"/>
          <w:szCs w:val="13"/>
          <w:u w:val="single" w:color="auto"/>
          <w:color w:val="auto"/>
        </w:rPr>
        <w:t>Commitment Schedule</w:t>
      </w:r>
      <w:r>
        <w:rPr>
          <w:rFonts w:ascii="Arial" w:cs="Arial" w:eastAsia="Arial" w:hAnsi="Arial"/>
          <w:sz w:val="13"/>
          <w:szCs w:val="13"/>
          <w:color w:val="auto"/>
        </w:rPr>
        <w:t>, or in the Assignment and Assumption pursuant to which such Lender shall have assumed its Revolving Commitment, as applicable. The initial aggregate amount of the Lenders’ Revolving Commitments is $12,500,000.00.</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9" w:name="page80"/>
    <w:bookmarkEnd w:id="79"/>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Credit Maturity Date</w:t>
      </w:r>
      <w:r>
        <w:rPr>
          <w:rFonts w:ascii="Arial" w:cs="Arial" w:eastAsia="Arial" w:hAnsi="Arial"/>
          <w:sz w:val="13"/>
          <w:szCs w:val="13"/>
          <w:color w:val="auto"/>
        </w:rPr>
        <w:t>” means November 9, 2022 (if the same is a Business Day, or if not then the immediately next succeeding Business Day), or any earlier date on which the Revolving Commitments are reduced to zero or otherwise terminated pursuant to the terms hereof.</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Exposure</w:t>
      </w:r>
      <w:r>
        <w:rPr>
          <w:rFonts w:ascii="Arial" w:cs="Arial" w:eastAsia="Arial" w:hAnsi="Arial"/>
          <w:sz w:val="13"/>
          <w:szCs w:val="13"/>
          <w:color w:val="auto"/>
        </w:rPr>
        <w:t>” means, with respect to any Lender, at any time, the sum of the aggregate outstanding principal amount of such Lender’s Revolving Loans and its LC Exposure and its Swingline Exposure at such time.</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Lender</w:t>
      </w:r>
      <w:r>
        <w:rPr>
          <w:rFonts w:ascii="Arial" w:cs="Arial" w:eastAsia="Arial" w:hAnsi="Arial"/>
          <w:sz w:val="13"/>
          <w:szCs w:val="13"/>
          <w:color w:val="auto"/>
        </w:rPr>
        <w:t>” means, as of any date of determination, a Lender with a Revolving Commitment or, if the Revolving Commitments have terminated or expired, a Lender with Revolving Exposure.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Loan</w:t>
      </w:r>
      <w:r>
        <w:rPr>
          <w:rFonts w:ascii="Arial" w:cs="Arial" w:eastAsia="Arial" w:hAnsi="Arial"/>
          <w:sz w:val="13"/>
          <w:szCs w:val="13"/>
          <w:color w:val="auto"/>
        </w:rPr>
        <w:t>” means a Loan made pursuant to Section 2.01(a).</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Ratings Services, a Standard &amp; Poor’s Financial Services LLC business.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Sale and Leaseback Transaction</w:t>
      </w:r>
      <w:r>
        <w:rPr>
          <w:rFonts w:ascii="Arial" w:cs="Arial" w:eastAsia="Arial" w:hAnsi="Arial"/>
          <w:sz w:val="13"/>
          <w:szCs w:val="13"/>
          <w:color w:val="auto"/>
        </w:rPr>
        <w:t>” has the meaning assigned to such term in Section 6.06.</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Country</w:t>
      </w:r>
      <w:r>
        <w:rPr>
          <w:rFonts w:ascii="Arial" w:cs="Arial" w:eastAsia="Arial" w:hAnsi="Arial"/>
          <w:sz w:val="13"/>
          <w:szCs w:val="13"/>
          <w:color w:val="auto"/>
        </w:rPr>
        <w:t>” means, at any time, a country, region or territory which is itself the subject or target of any Sanctions (at the time of this Agreement, Crimea, Cuba, Iran, North Korea, Sudan and Syria).</w:t>
      </w:r>
    </w:p>
    <w:p>
      <w:pPr>
        <w:spacing w:after="0" w:line="103"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Sanctioned Person</w:t>
      </w:r>
      <w:r>
        <w:rPr>
          <w:rFonts w:ascii="Arial" w:cs="Arial" w:eastAsia="Arial" w:hAnsi="Arial"/>
          <w:sz w:val="12"/>
          <w:szCs w:val="12"/>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02" w:lineRule="exact"/>
        <w:rPr>
          <w:sz w:val="20"/>
          <w:szCs w:val="20"/>
          <w:color w:val="auto"/>
        </w:rPr>
      </w:pPr>
    </w:p>
    <w:p>
      <w:pPr>
        <w:jc w:val="both"/>
        <w:ind w:left="120" w:right="119" w:firstLine="438"/>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Sanctions</w:t>
      </w:r>
      <w:r>
        <w:rPr>
          <w:rFonts w:ascii="Arial" w:cs="Arial" w:eastAsia="Arial" w:hAnsi="Arial"/>
          <w:sz w:val="12"/>
          <w:szCs w:val="12"/>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 of the U.S.</w:t>
      </w:r>
    </w:p>
    <w:p>
      <w:pPr>
        <w:spacing w:after="0" w:line="13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Obligations</w:t>
      </w:r>
      <w:r>
        <w:rPr>
          <w:rFonts w:ascii="Arial" w:cs="Arial" w:eastAsia="Arial" w:hAnsi="Arial"/>
          <w:sz w:val="13"/>
          <w:szCs w:val="13"/>
          <w:color w:val="auto"/>
        </w:rPr>
        <w:t xml:space="preserve">” means all Obligations, together with all (a) Banking Services Obligations and (b) Swap Agreement Obligations owing to the Administrative Agent or one or more Lenders or their respective Affiliates or a Person that was a Lender (or an Affiliate of a Lender) at the time the Swap Agreement Obligation was incurred;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1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means (a) the Lenders, (b) the Administrative Agent, (c) each Issuing Bank, (d) each provider of Banking Services, to the extent the Banking Services Obligations in respect thereof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0" w:name="page81"/>
    <w:bookmarkEnd w:id="80"/>
    <w:p>
      <w:pPr>
        <w:jc w:val="both"/>
        <w:ind w:left="120" w:right="119"/>
        <w:spacing w:after="0" w:line="237" w:lineRule="auto"/>
        <w:rPr>
          <w:sz w:val="20"/>
          <w:szCs w:val="20"/>
          <w:color w:val="auto"/>
        </w:rPr>
      </w:pPr>
      <w:r>
        <w:rPr>
          <w:rFonts w:ascii="Arial" w:cs="Arial" w:eastAsia="Arial" w:hAnsi="Arial"/>
          <w:sz w:val="13"/>
          <w:szCs w:val="13"/>
          <w:color w:val="auto"/>
        </w:rPr>
        <w:t>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1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Agreement</w:t>
      </w:r>
      <w:r>
        <w:rPr>
          <w:rFonts w:ascii="Arial" w:cs="Arial" w:eastAsia="Arial" w:hAnsi="Arial"/>
          <w:sz w:val="13"/>
          <w:szCs w:val="13"/>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14"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Subordinated Debt</w:t>
      </w:r>
      <w:r>
        <w:rPr>
          <w:rFonts w:ascii="Arial" w:cs="Arial" w:eastAsia="Arial" w:hAnsi="Arial"/>
          <w:sz w:val="13"/>
          <w:szCs w:val="13"/>
          <w:color w:val="auto"/>
        </w:rPr>
        <w:t>” means that Subordination Indebtedness assumed by the Borrower in connection with the Cantaloupe Acquisition in an amount not to exceed $1,800,000.</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Subordinated Debt Documents</w:t>
      </w:r>
      <w:r>
        <w:rPr>
          <w:rFonts w:ascii="Arial" w:cs="Arial" w:eastAsia="Arial" w:hAnsi="Arial"/>
          <w:sz w:val="13"/>
          <w:szCs w:val="13"/>
          <w:color w:val="auto"/>
        </w:rPr>
        <w:t>” means the agreements governing the Specified Subordinated Debt.</w:t>
      </w:r>
    </w:p>
    <w:p>
      <w:pPr>
        <w:spacing w:after="0" w:line="133" w:lineRule="exact"/>
        <w:rPr>
          <w:sz w:val="20"/>
          <w:szCs w:val="20"/>
          <w:color w:val="auto"/>
        </w:rPr>
      </w:pPr>
    </w:p>
    <w:p>
      <w:pPr>
        <w:jc w:val="both"/>
        <w:ind w:left="120" w:right="119" w:firstLine="438"/>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Standby LC Exposure</w:t>
      </w:r>
      <w:r>
        <w:rPr>
          <w:rFonts w:ascii="Arial" w:cs="Arial" w:eastAsia="Arial" w:hAnsi="Arial"/>
          <w:sz w:val="12"/>
          <w:szCs w:val="12"/>
          <w:color w:val="auto"/>
        </w:rPr>
        <w:t xml:space="preserve">” means, at any time, the sum of (a) the aggregate undrawn amount of all standby Letters of Credit outstanding at such time </w:t>
      </w:r>
      <w:r>
        <w:rPr>
          <w:rFonts w:ascii="Arial" w:cs="Arial" w:eastAsia="Arial" w:hAnsi="Arial"/>
          <w:sz w:val="12"/>
          <w:szCs w:val="12"/>
          <w:i w:val="1"/>
          <w:iCs w:val="1"/>
          <w:u w:val="single" w:color="auto"/>
          <w:color w:val="auto"/>
        </w:rPr>
        <w:t>plus</w:t>
      </w:r>
      <w:r>
        <w:rPr>
          <w:rFonts w:ascii="Arial" w:cs="Arial" w:eastAsia="Arial" w:hAnsi="Arial"/>
          <w:sz w:val="12"/>
          <w:szCs w:val="12"/>
          <w:color w:val="auto"/>
        </w:rPr>
        <w:t xml:space="preserve"> (b) the aggregate amount of all LC Disbursements relating to standby Letters of Credit that have not yet been reimbursed by or on behalf of the Borrower at such time. The Standby LC Exposure of any Revolving Lender at any time shall be its Applicable Percentage of the aggregate Standby LC Exposure at such time.</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Statement</w:t>
      </w:r>
      <w:r>
        <w:rPr>
          <w:rFonts w:ascii="Arial" w:cs="Arial" w:eastAsia="Arial" w:hAnsi="Arial"/>
          <w:sz w:val="13"/>
          <w:szCs w:val="13"/>
          <w:color w:val="auto"/>
        </w:rPr>
        <w:t>” has the meaning assigned to such term in Section 2.18(g).</w:t>
      </w:r>
    </w:p>
    <w:p>
      <w:pPr>
        <w:spacing w:after="0" w:line="133" w:lineRule="exact"/>
        <w:rPr>
          <w:sz w:val="20"/>
          <w:szCs w:val="20"/>
          <w:color w:val="auto"/>
        </w:rPr>
      </w:pPr>
    </w:p>
    <w:p>
      <w:pPr>
        <w:jc w:val="both"/>
        <w:ind w:left="120" w:right="119" w:firstLine="438"/>
        <w:spacing w:after="0" w:line="24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Statutory Reserve Rate</w:t>
      </w:r>
      <w:r>
        <w:rPr>
          <w:rFonts w:ascii="Arial" w:cs="Arial" w:eastAsia="Arial" w:hAnsi="Arial"/>
          <w:sz w:val="12"/>
          <w:szCs w:val="12"/>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09"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Subordinated Indebtedness</w:t>
      </w:r>
      <w:r>
        <w:rPr>
          <w:rFonts w:ascii="Arial" w:cs="Arial" w:eastAsia="Arial" w:hAnsi="Arial"/>
          <w:sz w:val="13"/>
          <w:szCs w:val="13"/>
          <w:color w:val="auto"/>
        </w:rPr>
        <w:t>” of a Person means any Indebtedness of such Person, the payment of which is subordinated to payment of the Secured Obligations to the written satisfaction of the Administrative Agent.</w:t>
      </w:r>
    </w:p>
    <w:p>
      <w:pPr>
        <w:spacing w:after="0" w:line="103"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with respect to any Person (the “</w:t>
      </w:r>
      <w:r>
        <w:rPr>
          <w:rFonts w:ascii="Arial" w:cs="Arial" w:eastAsia="Arial" w:hAnsi="Arial"/>
          <w:sz w:val="12"/>
          <w:szCs w:val="12"/>
          <w:u w:val="single" w:color="auto"/>
          <w:color w:val="auto"/>
        </w:rPr>
        <w:t>parent</w:t>
      </w:r>
      <w:r>
        <w:rPr>
          <w:rFonts w:ascii="Arial" w:cs="Arial" w:eastAsia="Arial" w:hAnsi="Arial"/>
          <w:sz w:val="12"/>
          <w:szCs w:val="1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81" w:name="page82"/>
    <w:bookmarkEnd w:id="81"/>
    <w:p>
      <w:pPr>
        <w:jc w:val="both"/>
        <w:ind w:left="120" w:right="119"/>
        <w:spacing w:after="0" w:line="254" w:lineRule="auto"/>
        <w:rPr>
          <w:sz w:val="20"/>
          <w:szCs w:val="20"/>
          <w:color w:val="auto"/>
        </w:rPr>
      </w:pPr>
      <w:r>
        <w:rPr>
          <w:rFonts w:ascii="Arial" w:cs="Arial" w:eastAsia="Arial" w:hAnsi="Arial"/>
          <w:sz w:val="13"/>
          <w:szCs w:val="13"/>
          <w:color w:val="auto"/>
        </w:rPr>
        <w:t>a partnership, more than 50% of the general partnership interests are, as of such date, owned, controlled or held , or (b) that is, as of such date, otherwise Controlled, by the parent or one or more subsidiaries of the parent or by the parent and one or more subsidiaries of the parent.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any direct or indirect subsidiary of the Borrower or of any other Loan Party, as applicable.</w:t>
      </w:r>
    </w:p>
    <w:p>
      <w:pPr>
        <w:spacing w:after="0" w:line="13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Agreement</w:t>
      </w:r>
      <w:r>
        <w:rPr>
          <w:rFonts w:ascii="Arial" w:cs="Arial" w:eastAsia="Arial" w:hAnsi="Arial"/>
          <w:sz w:val="13"/>
          <w:szCs w:val="13"/>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14"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Agreement Obligations</w:t>
      </w:r>
      <w:r>
        <w:rPr>
          <w:rFonts w:ascii="Arial" w:cs="Arial" w:eastAsia="Arial" w:hAnsi="Arial"/>
          <w:sz w:val="12"/>
          <w:szCs w:val="12"/>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the Administrative Agent, a Lender or an Affiliate of the Administrative Agent or a Lender, and (b) any cancellations, buy backs, reversals, terminations or assignments of any Swap Agreement transaction permitted hereunder with a Lender or an Affiliate of a Lender.</w:t>
      </w:r>
    </w:p>
    <w:p>
      <w:pPr>
        <w:spacing w:after="0" w:line="102"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Obligation</w:t>
      </w:r>
      <w:r>
        <w:rPr>
          <w:rFonts w:ascii="Arial" w:cs="Arial" w:eastAsia="Arial" w:hAnsi="Arial"/>
          <w:sz w:val="13"/>
          <w:szCs w:val="13"/>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Commitment</w:t>
      </w:r>
      <w:r>
        <w:rPr>
          <w:rFonts w:ascii="Arial" w:cs="Arial" w:eastAsia="Arial" w:hAnsi="Arial"/>
          <w:sz w:val="13"/>
          <w:szCs w:val="13"/>
          <w:color w:val="auto"/>
        </w:rPr>
        <w:t>” means the amount set forth opposite JPM’s name on the Commitment Schedule as Swingline Commitment. As of the Effective Date, the Swingline Commitment is $0.</w:t>
      </w:r>
    </w:p>
    <w:p>
      <w:pPr>
        <w:spacing w:after="0" w:line="10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Exposure</w:t>
      </w:r>
      <w:r>
        <w:rPr>
          <w:rFonts w:ascii="Arial" w:cs="Arial" w:eastAsia="Arial" w:hAnsi="Arial"/>
          <w:sz w:val="13"/>
          <w:szCs w:val="13"/>
          <w:color w:val="auto"/>
        </w:rPr>
        <w:t>” means, at any time, the aggregate principal amount of all Swingline Loans outstanding at such time. The Swingline Exposure of (a) any Revolving Lender (other than a Revolving Lender in its capacity as the Swingline Lender) at any time shall be its Applicable Percentage of the total Swingline Exposure at such time and (b) the Revolving Lender in its capacity as the Swingline Lender shall be the principal amount of all Swingline Loans made by such Revolving Lender in its capacity as the Swingline Lender outstanding at such time (less the amount of participations funded by the other Revolving Lenders in such Swingline Loans).</w:t>
      </w:r>
    </w:p>
    <w:p>
      <w:pPr>
        <w:spacing w:after="0" w:line="114"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Lender</w:t>
      </w:r>
      <w:r>
        <w:rPr>
          <w:rFonts w:ascii="Arial" w:cs="Arial" w:eastAsia="Arial" w:hAnsi="Arial"/>
          <w:sz w:val="13"/>
          <w:szCs w:val="13"/>
          <w:color w:val="auto"/>
        </w:rPr>
        <w:t>” means JPM, in its capacity as lender of Swingline Loans hereunder. Any consent required of the Administrative Agent or the Issuing Bank shall be deemed to be required of the Swingline Lender and any consent given by JPM in its capacity as Administrative Agent or Issuing Bank shall be deemed given by JPM in its capacity as Swingline Lender as well.</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Loan</w:t>
      </w:r>
      <w:r>
        <w:rPr>
          <w:rFonts w:ascii="Arial" w:cs="Arial" w:eastAsia="Arial" w:hAnsi="Arial"/>
          <w:sz w:val="13"/>
          <w:szCs w:val="13"/>
          <w:color w:val="auto"/>
        </w:rPr>
        <w:t>” means a Loan made pursuant to Section 2.05.</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means any and all present or future taxes, levies, imposts, duties, deductions, withholdings (including backup withholding), value added taxes, or any other goods and services, use or sales taxes,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82" w:name="page83"/>
    <w:bookmarkEnd w:id="82"/>
    <w:p>
      <w:pPr>
        <w:ind w:left="120"/>
        <w:spacing w:after="0"/>
        <w:rPr>
          <w:sz w:val="20"/>
          <w:szCs w:val="20"/>
          <w:color w:val="auto"/>
        </w:rPr>
      </w:pPr>
      <w:r>
        <w:rPr>
          <w:rFonts w:ascii="Arial" w:cs="Arial" w:eastAsia="Arial" w:hAnsi="Arial"/>
          <w:sz w:val="13"/>
          <w:szCs w:val="13"/>
          <w:color w:val="auto"/>
        </w:rPr>
        <w:t>assessments, fees or other charges imposed by any Governmental Authority, including any interest, additions to tax or penalties applicable thereto.</w:t>
      </w:r>
    </w:p>
    <w:p>
      <w:pPr>
        <w:spacing w:after="0" w:line="13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A Commitment</w:t>
      </w:r>
      <w:r>
        <w:rPr>
          <w:rFonts w:ascii="Arial" w:cs="Arial" w:eastAsia="Arial" w:hAnsi="Arial"/>
          <w:sz w:val="13"/>
          <w:szCs w:val="13"/>
          <w:color w:val="auto"/>
        </w:rPr>
        <w:t xml:space="preserve">” means, with respect to each Lender, the commitment, if any, of such Lender to make Term A Loan, expressed as an amount representing the maximum principal amount of the Term A Loan to be made by such Lender, as such commitment may be reduced or increased from time to time pursuant to (a) Section 2.09 and (b) assignments by or to such Lenders pursuant to Section 9.04. The initial amount of each Lender’s Term A Commitment is set forth on the </w:t>
      </w:r>
      <w:r>
        <w:rPr>
          <w:rFonts w:ascii="Arial" w:cs="Arial" w:eastAsia="Arial" w:hAnsi="Arial"/>
          <w:sz w:val="13"/>
          <w:szCs w:val="13"/>
          <w:u w:val="single" w:color="auto"/>
          <w:color w:val="auto"/>
        </w:rPr>
        <w:t>Commitment Schedule</w:t>
      </w:r>
      <w:r>
        <w:rPr>
          <w:rFonts w:ascii="Arial" w:cs="Arial" w:eastAsia="Arial" w:hAnsi="Arial"/>
          <w:sz w:val="13"/>
          <w:szCs w:val="13"/>
          <w:color w:val="auto"/>
        </w:rPr>
        <w:t xml:space="preserve"> or in the Assignment and Assumption pursuant to which such Lender shall have assumed its Term A Commitment, as applicable. The aggregate amount of the Lenders’ Term A Commitment on the Effective Date is $25,000,000.00.</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A Lender</w:t>
      </w:r>
      <w:r>
        <w:rPr>
          <w:rFonts w:ascii="Arial" w:cs="Arial" w:eastAsia="Arial" w:hAnsi="Arial"/>
          <w:sz w:val="13"/>
          <w:szCs w:val="13"/>
          <w:color w:val="auto"/>
        </w:rPr>
        <w:t>” means a Lender having a Term A Commitment or an outstanding Term A Loan.</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A Loan</w:t>
      </w:r>
      <w:r>
        <w:rPr>
          <w:rFonts w:ascii="Arial" w:cs="Arial" w:eastAsia="Arial" w:hAnsi="Arial"/>
          <w:sz w:val="13"/>
          <w:szCs w:val="13"/>
          <w:color w:val="auto"/>
        </w:rPr>
        <w:t xml:space="preserve">” means a Loan made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A Maturity Date</w:t>
      </w:r>
      <w:r>
        <w:rPr>
          <w:rFonts w:ascii="Arial" w:cs="Arial" w:eastAsia="Arial" w:hAnsi="Arial"/>
          <w:sz w:val="13"/>
          <w:szCs w:val="13"/>
          <w:color w:val="auto"/>
        </w:rPr>
        <w:t>” means November 9, 2022.</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Commitments</w:t>
      </w:r>
      <w:r>
        <w:rPr>
          <w:rFonts w:ascii="Arial" w:cs="Arial" w:eastAsia="Arial" w:hAnsi="Arial"/>
          <w:sz w:val="13"/>
          <w:szCs w:val="13"/>
          <w:color w:val="auto"/>
        </w:rPr>
        <w:t>” means the Term A Commitments.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Lenders</w:t>
      </w:r>
      <w:r>
        <w:rPr>
          <w:rFonts w:ascii="Arial" w:cs="Arial" w:eastAsia="Arial" w:hAnsi="Arial"/>
          <w:sz w:val="13"/>
          <w:szCs w:val="13"/>
          <w:color w:val="auto"/>
        </w:rPr>
        <w:t>” means the Term A Lenders.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Loans</w:t>
      </w:r>
      <w:r>
        <w:rPr>
          <w:rFonts w:ascii="Arial" w:cs="Arial" w:eastAsia="Arial" w:hAnsi="Arial"/>
          <w:sz w:val="13"/>
          <w:szCs w:val="13"/>
          <w:color w:val="auto"/>
        </w:rPr>
        <w:t>” means the Term A Loans.</w:t>
      </w:r>
    </w:p>
    <w:p>
      <w:pPr>
        <w:spacing w:after="0" w:line="13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Leverage Ratio</w:t>
      </w:r>
      <w:r>
        <w:rPr>
          <w:rFonts w:ascii="Arial" w:cs="Arial" w:eastAsia="Arial" w:hAnsi="Arial"/>
          <w:sz w:val="13"/>
          <w:szCs w:val="13"/>
          <w:color w:val="auto"/>
        </w:rPr>
        <w:t>” means, on any date, the ratio of (a) Funded Indebtedness on such date to (b) EBITDA for the period of four consecutive fiscal quarters ended on or most recently prior to such date.</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Transactions</w:t>
      </w:r>
      <w:r>
        <w:rPr>
          <w:rFonts w:ascii="Arial" w:cs="Arial" w:eastAsia="Arial" w:hAnsi="Arial"/>
          <w:sz w:val="13"/>
          <w:szCs w:val="13"/>
          <w:color w:val="auto"/>
        </w:rPr>
        <w:t>” means the execution, delivery and performance by the Borrower of this Agreement and the other Loan Documents, the borrowing of Loans and other credit extensions, the use of the proceeds thereof, the issuance of Letters of Credit hereunder, and the Cantaloupe Acquisition.</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03"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UCC</w:t>
      </w:r>
      <w:r>
        <w:rPr>
          <w:rFonts w:ascii="Arial" w:cs="Arial" w:eastAsia="Arial" w:hAnsi="Arial"/>
          <w:sz w:val="13"/>
          <w:szCs w:val="13"/>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Unfinanced Capital Expenditures</w:t>
      </w:r>
      <w:r>
        <w:rPr>
          <w:rFonts w:ascii="Arial" w:cs="Arial" w:eastAsia="Arial" w:hAnsi="Arial"/>
          <w:sz w:val="13"/>
          <w:szCs w:val="13"/>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Unliquidated Obligations</w:t>
      </w:r>
      <w:r>
        <w:rPr>
          <w:rFonts w:ascii="Arial" w:cs="Arial" w:eastAsia="Arial" w:hAnsi="Arial"/>
          <w:sz w:val="13"/>
          <w:szCs w:val="13"/>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83" w:name="page84"/>
    <w:bookmarkEnd w:id="83"/>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w:t>
      </w:r>
      <w:r>
        <w:rPr>
          <w:rFonts w:ascii="Arial" w:cs="Arial" w:eastAsia="Arial" w:hAnsi="Arial"/>
          <w:sz w:val="13"/>
          <w:szCs w:val="13"/>
          <w:color w:val="auto"/>
        </w:rPr>
        <w:t>” means the United States of America.</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Person</w:t>
      </w:r>
      <w:r>
        <w:rPr>
          <w:rFonts w:ascii="Arial" w:cs="Arial" w:eastAsia="Arial" w:hAnsi="Arial"/>
          <w:sz w:val="13"/>
          <w:szCs w:val="13"/>
          <w:color w:val="auto"/>
        </w:rPr>
        <w:t>” means a “United States person” within the meaning of Section 7701(a)(30) of the Code.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Tax Compliance Certificate</w:t>
      </w:r>
      <w:r>
        <w:rPr>
          <w:rFonts w:ascii="Arial" w:cs="Arial" w:eastAsia="Arial" w:hAnsi="Arial"/>
          <w:sz w:val="13"/>
          <w:szCs w:val="13"/>
          <w:color w:val="auto"/>
        </w:rPr>
        <w:t>” has the meaning assigned to such term in Section 2.17(f)(ii)(B)(3).</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USA PATRIOT Act</w:t>
      </w:r>
      <w:r>
        <w:rPr>
          <w:rFonts w:ascii="Arial" w:cs="Arial" w:eastAsia="Arial" w:hAnsi="Arial"/>
          <w:sz w:val="12"/>
          <w:szCs w:val="12"/>
          <w:color w:val="auto"/>
        </w:rPr>
        <w:t>” means the Uniting and Strengthening America by Providing Appropriate Tools Required to Intercept and Obstruct Terrorism Act of</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2001.</w:t>
      </w:r>
    </w:p>
    <w:p>
      <w:pPr>
        <w:spacing w:after="0" w:line="112"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Withdrawal Liability</w:t>
      </w:r>
      <w:r>
        <w:rPr>
          <w:rFonts w:ascii="Arial" w:cs="Arial" w:eastAsia="Arial" w:hAnsi="Arial"/>
          <w:sz w:val="13"/>
          <w:szCs w:val="13"/>
          <w:color w:val="auto"/>
        </w:rPr>
        <w:t>” means liability to a Multiemployer Plan as a result of a complete or partial withdrawal from such Multiemployer Plan, as such terms are defined in Part I of Subtitle E of Title IV of ERISA.</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Write-Down and Conversion Powers</w:t>
      </w:r>
      <w:r>
        <w:rPr>
          <w:rFonts w:ascii="Arial" w:cs="Arial" w:eastAsia="Arial" w:hAnsi="Arial"/>
          <w:sz w:val="13"/>
          <w:szCs w:val="13"/>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3" w:lineRule="exact"/>
        <w:rPr>
          <w:sz w:val="20"/>
          <w:szCs w:val="20"/>
          <w:color w:val="auto"/>
        </w:rPr>
      </w:pPr>
    </w:p>
    <w:p>
      <w:pPr>
        <w:ind w:left="120" w:right="399" w:firstLine="438"/>
        <w:spacing w:after="0" w:line="233" w:lineRule="auto"/>
        <w:rPr>
          <w:sz w:val="20"/>
          <w:szCs w:val="20"/>
          <w:color w:val="auto"/>
        </w:rPr>
      </w:pPr>
      <w:r>
        <w:rPr>
          <w:rFonts w:ascii="Arial" w:cs="Arial" w:eastAsia="Arial" w:hAnsi="Arial"/>
          <w:sz w:val="13"/>
          <w:szCs w:val="13"/>
          <w:color w:val="010000"/>
        </w:rPr>
        <w:t xml:space="preserve">SECTION 1.02 </w:t>
      </w:r>
      <w:r>
        <w:rPr>
          <w:rFonts w:ascii="Arial" w:cs="Arial" w:eastAsia="Arial" w:hAnsi="Arial"/>
          <w:sz w:val="13"/>
          <w:szCs w:val="13"/>
          <w:u w:val="single" w:color="auto"/>
          <w:color w:val="000000"/>
        </w:rPr>
        <w:t>Classification of Loans and Borrowings</w:t>
      </w:r>
      <w:r>
        <w:rPr>
          <w:rFonts w:ascii="Arial" w:cs="Arial" w:eastAsia="Arial" w:hAnsi="Arial"/>
          <w:sz w:val="13"/>
          <w:szCs w:val="13"/>
          <w:color w:val="000000"/>
        </w:rPr>
        <w:t>. For purposes of this Agreement, Loans may be classified and referred to by Class (</w:t>
      </w:r>
      <w:r>
        <w:rPr>
          <w:rFonts w:ascii="Arial" w:cs="Arial" w:eastAsia="Arial" w:hAnsi="Arial"/>
          <w:sz w:val="13"/>
          <w:szCs w:val="13"/>
          <w:u w:val="single" w:color="auto"/>
          <w:color w:val="000000"/>
        </w:rPr>
        <w:t>e.g.</w:t>
      </w:r>
      <w:r>
        <w:rPr>
          <w:rFonts w:ascii="Arial" w:cs="Arial" w:eastAsia="Arial" w:hAnsi="Arial"/>
          <w:sz w:val="13"/>
          <w:szCs w:val="13"/>
          <w:color w:val="000000"/>
        </w:rPr>
        <w:t>, a</w:t>
      </w:r>
      <w:r>
        <w:rPr>
          <w:rFonts w:ascii="Arial" w:cs="Arial" w:eastAsia="Arial" w:hAnsi="Arial"/>
          <w:sz w:val="13"/>
          <w:szCs w:val="13"/>
          <w:color w:val="010000"/>
        </w:rPr>
        <w:t xml:space="preserve"> </w:t>
      </w:r>
      <w:r>
        <w:rPr>
          <w:rFonts w:ascii="Arial" w:cs="Arial" w:eastAsia="Arial" w:hAnsi="Arial"/>
          <w:sz w:val="13"/>
          <w:szCs w:val="13"/>
          <w:color w:val="000000"/>
        </w:rPr>
        <w:t>“Revolving Loan”) or by Type (</w:t>
      </w:r>
      <w:r>
        <w:rPr>
          <w:rFonts w:ascii="Arial" w:cs="Arial" w:eastAsia="Arial" w:hAnsi="Arial"/>
          <w:sz w:val="13"/>
          <w:szCs w:val="13"/>
          <w:u w:val="single" w:color="auto"/>
          <w:color w:val="000000"/>
        </w:rPr>
        <w:t>e.g.</w:t>
      </w:r>
      <w:r>
        <w:rPr>
          <w:rFonts w:ascii="Arial" w:cs="Arial" w:eastAsia="Arial" w:hAnsi="Arial"/>
          <w:sz w:val="13"/>
          <w:szCs w:val="13"/>
          <w:color w:val="000000"/>
        </w:rPr>
        <w:t>, a “Eurodollar Loan”) or by Class and Type (</w:t>
      </w:r>
      <w:r>
        <w:rPr>
          <w:rFonts w:ascii="Arial" w:cs="Arial" w:eastAsia="Arial" w:hAnsi="Arial"/>
          <w:sz w:val="13"/>
          <w:szCs w:val="13"/>
          <w:u w:val="single" w:color="auto"/>
          <w:color w:val="000000"/>
        </w:rPr>
        <w:t>e.g.</w:t>
      </w:r>
      <w:r>
        <w:rPr>
          <w:rFonts w:ascii="Arial" w:cs="Arial" w:eastAsia="Arial" w:hAnsi="Arial"/>
          <w:sz w:val="13"/>
          <w:szCs w:val="13"/>
          <w:color w:val="000000"/>
        </w:rPr>
        <w:t>, a “Eurodollar Revolving Loan”). Borrowings also may be classified and referred to by Class (</w:t>
      </w:r>
      <w:r>
        <w:rPr>
          <w:rFonts w:ascii="Arial" w:cs="Arial" w:eastAsia="Arial" w:hAnsi="Arial"/>
          <w:sz w:val="13"/>
          <w:szCs w:val="13"/>
          <w:u w:val="single" w:color="auto"/>
          <w:color w:val="000000"/>
        </w:rPr>
        <w:t>e.g.</w:t>
      </w:r>
      <w:r>
        <w:rPr>
          <w:rFonts w:ascii="Arial" w:cs="Arial" w:eastAsia="Arial" w:hAnsi="Arial"/>
          <w:sz w:val="13"/>
          <w:szCs w:val="13"/>
          <w:color w:val="000000"/>
        </w:rPr>
        <w:t>, a “Revolving Borrowing”) or by Type (</w:t>
      </w:r>
      <w:r>
        <w:rPr>
          <w:rFonts w:ascii="Arial" w:cs="Arial" w:eastAsia="Arial" w:hAnsi="Arial"/>
          <w:sz w:val="13"/>
          <w:szCs w:val="13"/>
          <w:u w:val="single" w:color="auto"/>
          <w:color w:val="000000"/>
        </w:rPr>
        <w:t>e.g.</w:t>
      </w:r>
      <w:r>
        <w:rPr>
          <w:rFonts w:ascii="Arial" w:cs="Arial" w:eastAsia="Arial" w:hAnsi="Arial"/>
          <w:sz w:val="13"/>
          <w:szCs w:val="13"/>
          <w:color w:val="000000"/>
        </w:rPr>
        <w:t>, a “Eurodollar Borrowing”) or by Class and Type (</w:t>
      </w:r>
      <w:r>
        <w:rPr>
          <w:rFonts w:ascii="Arial" w:cs="Arial" w:eastAsia="Arial" w:hAnsi="Arial"/>
          <w:sz w:val="13"/>
          <w:szCs w:val="13"/>
          <w:u w:val="single" w:color="auto"/>
          <w:color w:val="000000"/>
        </w:rPr>
        <w:t>e.g.</w:t>
      </w:r>
      <w:r>
        <w:rPr>
          <w:rFonts w:ascii="Arial" w:cs="Arial" w:eastAsia="Arial" w:hAnsi="Arial"/>
          <w:sz w:val="13"/>
          <w:szCs w:val="13"/>
          <w:color w:val="000000"/>
        </w:rPr>
        <w:t>, a “Eurodollar Revolving Borrowing”).</w:t>
      </w:r>
    </w:p>
    <w:p>
      <w:pPr>
        <w:spacing w:after="0" w:line="295" w:lineRule="exact"/>
        <w:rPr>
          <w:sz w:val="20"/>
          <w:szCs w:val="20"/>
          <w:color w:val="auto"/>
        </w:rPr>
      </w:pPr>
    </w:p>
    <w:p>
      <w:pPr>
        <w:ind w:left="120" w:right="119" w:firstLine="438"/>
        <w:spacing w:after="0" w:line="241" w:lineRule="auto"/>
        <w:rPr>
          <w:sz w:val="20"/>
          <w:szCs w:val="20"/>
          <w:color w:val="auto"/>
        </w:rPr>
      </w:pPr>
      <w:r>
        <w:rPr>
          <w:rFonts w:ascii="Arial" w:cs="Arial" w:eastAsia="Arial" w:hAnsi="Arial"/>
          <w:sz w:val="12"/>
          <w:szCs w:val="12"/>
          <w:color w:val="010000"/>
        </w:rPr>
        <w:t xml:space="preserve">SECTION 1.03 </w:t>
      </w:r>
      <w:r>
        <w:rPr>
          <w:rFonts w:ascii="Arial" w:cs="Arial" w:eastAsia="Arial" w:hAnsi="Arial"/>
          <w:sz w:val="12"/>
          <w:szCs w:val="12"/>
          <w:u w:val="single" w:color="auto"/>
          <w:color w:val="000000"/>
        </w:rPr>
        <w:t>Terms Generally</w:t>
      </w:r>
      <w:r>
        <w:rPr>
          <w:rFonts w:ascii="Arial" w:cs="Arial" w:eastAsia="Arial" w:hAnsi="Arial"/>
          <w:sz w:val="12"/>
          <w:szCs w:val="12"/>
          <w:color w:val="000000"/>
        </w:rPr>
        <w:t>. The definitions of terms herein shall apply equally to the singular and plural forms of the terms defined. Whenever the</w:t>
      </w:r>
      <w:r>
        <w:rPr>
          <w:rFonts w:ascii="Arial" w:cs="Arial" w:eastAsia="Arial" w:hAnsi="Arial"/>
          <w:sz w:val="12"/>
          <w:szCs w:val="12"/>
          <w:color w:val="010000"/>
        </w:rPr>
        <w:t xml:space="preserve"> </w:t>
      </w:r>
      <w:r>
        <w:rPr>
          <w:rFonts w:ascii="Arial" w:cs="Arial" w:eastAsia="Arial" w:hAnsi="Arial"/>
          <w:sz w:val="12"/>
          <w:szCs w:val="12"/>
          <w:color w:val="000000"/>
        </w:rPr>
        <w:t>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4" w:name="page85"/>
    <w:bookmarkEnd w:id="84"/>
    <w:p>
      <w:pPr>
        <w:ind w:left="120" w:right="139" w:firstLine="438"/>
        <w:spacing w:after="0" w:line="242" w:lineRule="auto"/>
        <w:rPr>
          <w:sz w:val="20"/>
          <w:szCs w:val="20"/>
          <w:color w:val="auto"/>
        </w:rPr>
      </w:pPr>
      <w:r>
        <w:rPr>
          <w:rFonts w:ascii="Arial" w:cs="Arial" w:eastAsia="Arial" w:hAnsi="Arial"/>
          <w:sz w:val="12"/>
          <w:szCs w:val="12"/>
          <w:color w:val="010000"/>
        </w:rPr>
        <w:t xml:space="preserve">SECTION 1.04 </w:t>
      </w:r>
      <w:r>
        <w:rPr>
          <w:rFonts w:ascii="Arial" w:cs="Arial" w:eastAsia="Arial" w:hAnsi="Arial"/>
          <w:sz w:val="12"/>
          <w:szCs w:val="12"/>
          <w:u w:val="single" w:color="auto"/>
          <w:color w:val="000000"/>
        </w:rPr>
        <w:t>Accounting Terms; GAAP</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Except as otherwise expressly provided herein, all terms of an accounting or financial nature shall be</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construed in accordance with GAAP, as in effect from time to time; provided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the Borrower or any Subsidiary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96" w:lineRule="exact"/>
        <w:rPr>
          <w:sz w:val="20"/>
          <w:szCs w:val="20"/>
          <w:color w:val="auto"/>
        </w:rPr>
      </w:pPr>
    </w:p>
    <w:p>
      <w:pPr>
        <w:ind w:left="120" w:right="139" w:firstLine="438"/>
        <w:spacing w:after="0" w:line="227" w:lineRule="auto"/>
        <w:rPr>
          <w:sz w:val="20"/>
          <w:szCs w:val="20"/>
          <w:color w:val="auto"/>
        </w:rPr>
      </w:pPr>
      <w:r>
        <w:rPr>
          <w:rFonts w:ascii="Arial" w:cs="Arial" w:eastAsia="Arial" w:hAnsi="Arial"/>
          <w:sz w:val="13"/>
          <w:szCs w:val="13"/>
          <w:color w:val="010000"/>
        </w:rPr>
        <w:t xml:space="preserve">SECTION 1.05 </w:t>
      </w:r>
      <w:r>
        <w:rPr>
          <w:rFonts w:ascii="Arial" w:cs="Arial" w:eastAsia="Arial" w:hAnsi="Arial"/>
          <w:sz w:val="13"/>
          <w:szCs w:val="13"/>
          <w:u w:val="single" w:color="auto"/>
          <w:color w:val="000000"/>
        </w:rPr>
        <w:t>Pro Forma Adjustments for Acquisitions and Dispositions</w:t>
      </w:r>
      <w:r>
        <w:rPr>
          <w:rFonts w:ascii="Arial" w:cs="Arial" w:eastAsia="Arial" w:hAnsi="Arial"/>
          <w:sz w:val="13"/>
          <w:szCs w:val="13"/>
          <w:color w:val="000000"/>
        </w:rPr>
        <w:t>. To the extent the Borrower or any Subsidiary makes any acquisition permitted</w:t>
      </w:r>
      <w:r>
        <w:rPr>
          <w:rFonts w:ascii="Arial" w:cs="Arial" w:eastAsia="Arial" w:hAnsi="Arial"/>
          <w:sz w:val="13"/>
          <w:szCs w:val="13"/>
          <w:color w:val="010000"/>
        </w:rPr>
        <w:t xml:space="preserve"> </w:t>
      </w:r>
      <w:r>
        <w:rPr>
          <w:rFonts w:ascii="Arial" w:cs="Arial" w:eastAsia="Arial" w:hAnsi="Arial"/>
          <w:sz w:val="13"/>
          <w:szCs w:val="13"/>
          <w:color w:val="000000"/>
        </w:rPr>
        <w:t xml:space="preserve">pursuant to Section 6.04 or disposition of assets outside the ordinary course of business permitted by Section 6.05 during the period of four fiscal quarters of the Borrower most recently ended, the Total Leverage Ratio shall be calculated after giving pro forma effect thereto (including pro forma adjustments </w:t>
      </w:r>
      <w:r>
        <w:rPr>
          <w:rFonts w:ascii="Arial" w:cs="Arial" w:eastAsia="Arial" w:hAnsi="Arial"/>
          <w:sz w:val="13"/>
          <w:szCs w:val="13"/>
          <w:u w:val="single" w:color="auto"/>
          <w:color w:val="000000"/>
        </w:rPr>
        <w:t>in the nature of</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cost savings and synergies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or such disposition (and any related incurrence, repayment or assumption of Indebtedness) had occurred in the first day of such four-quarter period.</w:t>
      </w:r>
    </w:p>
    <w:p>
      <w:pPr>
        <w:spacing w:after="0" w:line="296" w:lineRule="exact"/>
        <w:rPr>
          <w:sz w:val="20"/>
          <w:szCs w:val="20"/>
          <w:color w:val="auto"/>
        </w:rPr>
      </w:pPr>
    </w:p>
    <w:p>
      <w:pPr>
        <w:ind w:left="120" w:right="159" w:firstLine="438"/>
        <w:spacing w:after="0" w:line="225" w:lineRule="auto"/>
        <w:rPr>
          <w:sz w:val="20"/>
          <w:szCs w:val="20"/>
          <w:color w:val="auto"/>
        </w:rPr>
      </w:pPr>
      <w:r>
        <w:rPr>
          <w:rFonts w:ascii="Arial" w:cs="Arial" w:eastAsia="Arial" w:hAnsi="Arial"/>
          <w:sz w:val="13"/>
          <w:szCs w:val="13"/>
          <w:color w:val="010000"/>
        </w:rPr>
        <w:t xml:space="preserve">SECTION 1.06 </w:t>
      </w:r>
      <w:r>
        <w:rPr>
          <w:rFonts w:ascii="Arial" w:cs="Arial" w:eastAsia="Arial" w:hAnsi="Arial"/>
          <w:sz w:val="13"/>
          <w:szCs w:val="13"/>
          <w:u w:val="single" w:color="auto"/>
          <w:color w:val="000000"/>
        </w:rPr>
        <w:t>Status of Obligations</w:t>
      </w:r>
      <w:r>
        <w:rPr>
          <w:rFonts w:ascii="Arial" w:cs="Arial" w:eastAsia="Arial" w:hAnsi="Arial"/>
          <w:sz w:val="13"/>
          <w:szCs w:val="13"/>
          <w:color w:val="000000"/>
        </w:rPr>
        <w:t>.In the event that the Borrower or any other Loan Party shall at any time issue or have outstanding any Subordinated</w:t>
      </w:r>
      <w:r>
        <w:rPr>
          <w:rFonts w:ascii="Arial" w:cs="Arial" w:eastAsia="Arial" w:hAnsi="Arial"/>
          <w:sz w:val="13"/>
          <w:szCs w:val="13"/>
          <w:color w:val="010000"/>
        </w:rPr>
        <w:t xml:space="preserve"> </w:t>
      </w:r>
      <w:r>
        <w:rPr>
          <w:rFonts w:ascii="Arial" w:cs="Arial" w:eastAsia="Arial" w:hAnsi="Arial"/>
          <w:sz w:val="13"/>
          <w:szCs w:val="13"/>
          <w:color w:val="000000"/>
        </w:rPr>
        <w:t xml:space="preserve">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w:t>
      </w:r>
      <w:r>
        <w:rPr>
          <w:rFonts w:ascii="Arial" w:cs="Arial" w:eastAsia="Arial" w:hAnsi="Arial"/>
          <w:sz w:val="13"/>
          <w:szCs w:val="13"/>
          <w:u w:val="single" w:color="auto"/>
          <w:color w:val="000000"/>
        </w:rPr>
        <w:t>“senior indebtedness” and as “designated senior indebtedness” and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307" w:lineRule="exact"/>
        <w:rPr>
          <w:sz w:val="20"/>
          <w:szCs w:val="20"/>
          <w:color w:val="auto"/>
        </w:rPr>
      </w:pPr>
    </w:p>
    <w:p>
      <w:pPr>
        <w:ind w:left="120" w:right="159" w:firstLine="438"/>
        <w:spacing w:after="0" w:line="295" w:lineRule="auto"/>
        <w:rPr>
          <w:sz w:val="20"/>
          <w:szCs w:val="20"/>
          <w:color w:val="auto"/>
        </w:rPr>
      </w:pPr>
      <w:r>
        <w:rPr>
          <w:rFonts w:ascii="Arial" w:cs="Arial" w:eastAsia="Arial" w:hAnsi="Arial"/>
          <w:sz w:val="12"/>
          <w:szCs w:val="12"/>
          <w:color w:val="010000"/>
        </w:rPr>
        <w:t xml:space="preserve">SECTION 1.07 </w:t>
      </w:r>
      <w:r>
        <w:rPr>
          <w:rFonts w:ascii="Arial" w:cs="Arial" w:eastAsia="Arial" w:hAnsi="Arial"/>
          <w:sz w:val="12"/>
          <w:szCs w:val="12"/>
          <w:u w:val="single" w:color="auto"/>
          <w:color w:val="000000"/>
        </w:rPr>
        <w:t>Rounding</w:t>
      </w:r>
      <w:r>
        <w:rPr>
          <w:rFonts w:ascii="Arial" w:cs="Arial" w:eastAsia="Arial" w:hAnsi="Arial"/>
          <w:sz w:val="12"/>
          <w:szCs w:val="12"/>
          <w:color w:val="000000"/>
        </w:rPr>
        <w:t>. Any financial ratios required to be maintained by any Loan Party pursuant to this Agreement shall be calculated by dividing the</w:t>
      </w:r>
      <w:r>
        <w:rPr>
          <w:rFonts w:ascii="Arial" w:cs="Arial" w:eastAsia="Arial" w:hAnsi="Arial"/>
          <w:sz w:val="12"/>
          <w:szCs w:val="12"/>
          <w:color w:val="010000"/>
        </w:rPr>
        <w:t xml:space="preserve"> </w:t>
      </w:r>
      <w:r>
        <w:rPr>
          <w:rFonts w:ascii="Arial" w:cs="Arial" w:eastAsia="Arial" w:hAnsi="Arial"/>
          <w:sz w:val="12"/>
          <w:szCs w:val="12"/>
          <w:color w:val="000000"/>
        </w:rPr>
        <w:t>appropriate component by the other component, carrying the result to one place more than the number of places by which such ratio is expressed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5" w:name="page86"/>
    <w:bookmarkEnd w:id="85"/>
    <w:p>
      <w:pPr>
        <w:ind w:left="120"/>
        <w:spacing w:after="0"/>
        <w:rPr>
          <w:sz w:val="20"/>
          <w:szCs w:val="20"/>
          <w:color w:val="auto"/>
        </w:rPr>
      </w:pPr>
      <w:r>
        <w:rPr>
          <w:rFonts w:ascii="Arial" w:cs="Arial" w:eastAsia="Arial" w:hAnsi="Arial"/>
          <w:sz w:val="13"/>
          <w:szCs w:val="13"/>
          <w:u w:val="single" w:color="auto"/>
          <w:color w:val="auto"/>
        </w:rPr>
        <w:t>herein and rounding the result up or down to the nearest number (with a rounding-up if there is no nearest number).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010000"/>
        </w:rPr>
        <w:t>ARTICLE II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The Credits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2.01 </w:t>
      </w:r>
      <w:r>
        <w:rPr>
          <w:rFonts w:ascii="Arial" w:cs="Arial" w:eastAsia="Arial" w:hAnsi="Arial"/>
          <w:sz w:val="13"/>
          <w:szCs w:val="13"/>
          <w:u w:val="single" w:color="auto"/>
          <w:color w:val="000000"/>
        </w:rPr>
        <w:t>Commitments</w:t>
      </w:r>
      <w:r>
        <w:rPr>
          <w:rFonts w:ascii="Arial" w:cs="Arial" w:eastAsia="Arial" w:hAnsi="Arial"/>
          <w:sz w:val="13"/>
          <w:szCs w:val="13"/>
          <w:color w:val="000000"/>
        </w:rPr>
        <w:t>.</w:t>
      </w:r>
    </w:p>
    <w:p>
      <w:pPr>
        <w:spacing w:after="0" w:line="325" w:lineRule="exact"/>
        <w:rPr>
          <w:sz w:val="20"/>
          <w:szCs w:val="20"/>
          <w:color w:val="auto"/>
        </w:rPr>
      </w:pPr>
    </w:p>
    <w:p>
      <w:pPr>
        <w:jc w:val="both"/>
        <w:ind w:left="120" w:right="119" w:firstLine="879"/>
        <w:spacing w:after="0" w:line="218" w:lineRule="auto"/>
        <w:tabs>
          <w:tab w:leader="none" w:pos="1189" w:val="left"/>
        </w:tabs>
        <w:numPr>
          <w:ilvl w:val="0"/>
          <w:numId w:val="53"/>
        </w:numPr>
        <w:rPr>
          <w:rFonts w:ascii="Arial" w:cs="Arial" w:eastAsia="Arial" w:hAnsi="Arial"/>
          <w:sz w:val="13"/>
          <w:szCs w:val="13"/>
          <w:color w:val="010000"/>
        </w:rPr>
      </w:pPr>
      <w:r>
        <w:rPr>
          <w:rFonts w:ascii="Arial" w:cs="Arial" w:eastAsia="Arial" w:hAnsi="Arial"/>
          <w:sz w:val="13"/>
          <w:szCs w:val="13"/>
          <w:color w:val="auto"/>
        </w:rPr>
        <w:t>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w:t>
      </w:r>
    </w:p>
    <w:p>
      <w:pPr>
        <w:spacing w:after="0" w:line="105"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53"/>
        </w:numPr>
        <w:rPr>
          <w:rFonts w:ascii="Arial" w:cs="Arial" w:eastAsia="Arial" w:hAnsi="Arial"/>
          <w:sz w:val="13"/>
          <w:szCs w:val="13"/>
          <w:color w:val="010000"/>
        </w:rPr>
      </w:pPr>
      <w:r>
        <w:rPr>
          <w:rFonts w:ascii="Arial" w:cs="Arial" w:eastAsia="Arial" w:hAnsi="Arial"/>
          <w:sz w:val="13"/>
          <w:szCs w:val="13"/>
          <w:color w:val="auto"/>
        </w:rPr>
        <w:t>Subject to the terms and conditions set forth herein, each Term A Lender severally (and not jointly) agrees to make a Term A Loan in dollars to the Borrower, on the Effective Date, in a principal amount not to exceed such Lender’s Term A Commitment. Amounts prepaid or repaid in respect of Term A Loans may not be reborrowed.</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2.02 </w:t>
      </w:r>
      <w:r>
        <w:rPr>
          <w:rFonts w:ascii="Arial" w:cs="Arial" w:eastAsia="Arial" w:hAnsi="Arial"/>
          <w:sz w:val="13"/>
          <w:szCs w:val="13"/>
          <w:u w:val="single" w:color="auto"/>
          <w:color w:val="000000"/>
        </w:rPr>
        <w:t>Loans and Borrowings.</w:t>
      </w:r>
    </w:p>
    <w:p>
      <w:pPr>
        <w:spacing w:after="0" w:line="124" w:lineRule="exact"/>
        <w:rPr>
          <w:sz w:val="20"/>
          <w:szCs w:val="20"/>
          <w:color w:val="auto"/>
        </w:rPr>
      </w:pPr>
    </w:p>
    <w:p>
      <w:pPr>
        <w:jc w:val="both"/>
        <w:ind w:left="120" w:right="119" w:firstLine="879"/>
        <w:spacing w:after="0" w:line="241" w:lineRule="auto"/>
        <w:tabs>
          <w:tab w:leader="none" w:pos="1189" w:val="left"/>
        </w:tabs>
        <w:numPr>
          <w:ilvl w:val="0"/>
          <w:numId w:val="54"/>
        </w:numPr>
        <w:rPr>
          <w:rFonts w:ascii="Arial" w:cs="Arial" w:eastAsia="Arial" w:hAnsi="Arial"/>
          <w:sz w:val="12"/>
          <w:szCs w:val="12"/>
          <w:color w:val="010000"/>
        </w:rPr>
      </w:pPr>
      <w:r>
        <w:rPr>
          <w:rFonts w:ascii="Arial" w:cs="Arial" w:eastAsia="Arial" w:hAnsi="Arial"/>
          <w:sz w:val="12"/>
          <w:szCs w:val="12"/>
          <w:color w:val="auto"/>
        </w:rPr>
        <w:t>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w:t>
      </w:r>
    </w:p>
    <w:p>
      <w:pPr>
        <w:spacing w:after="0" w:line="102" w:lineRule="exact"/>
        <w:rPr>
          <w:rFonts w:ascii="Arial" w:cs="Arial" w:eastAsia="Arial" w:hAnsi="Arial"/>
          <w:sz w:val="12"/>
          <w:szCs w:val="12"/>
          <w:color w:val="010000"/>
        </w:rPr>
      </w:pPr>
    </w:p>
    <w:p>
      <w:pPr>
        <w:jc w:val="both"/>
        <w:ind w:left="120" w:right="119" w:firstLine="879"/>
        <w:spacing w:after="0" w:line="234" w:lineRule="auto"/>
        <w:tabs>
          <w:tab w:leader="none" w:pos="1197" w:val="left"/>
        </w:tabs>
        <w:numPr>
          <w:ilvl w:val="0"/>
          <w:numId w:val="54"/>
        </w:numPr>
        <w:rPr>
          <w:rFonts w:ascii="Arial" w:cs="Arial" w:eastAsia="Arial" w:hAnsi="Arial"/>
          <w:sz w:val="12"/>
          <w:szCs w:val="12"/>
          <w:color w:val="010000"/>
        </w:rPr>
      </w:pPr>
      <w:r>
        <w:rPr>
          <w:rFonts w:ascii="Arial" w:cs="Arial" w:eastAsia="Arial" w:hAnsi="Arial"/>
          <w:sz w:val="12"/>
          <w:szCs w:val="12"/>
          <w:color w:val="auto"/>
        </w:rPr>
        <w:t xml:space="preserve">Subject to Section 2.14, each Revolving Borrowing and Term Loan Borrowing shall be comprised entirely of ABR Loans or Eurodollar Loans as the Borrower may request in accordance herewith,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Revolving Borrowings and Term Loan Borrowings made on the Effective Date must be made as ABR Borrowings but may be converted into Eurodollar Borrowings in accordance with Section 2.08. Each Swingline Loan shall be an ABR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exercise of such option shall not affect the obligation of the Borrower to repay such Loan in accordance with the terms of this Agreement.</w:t>
      </w:r>
    </w:p>
    <w:p>
      <w:pPr>
        <w:spacing w:after="0" w:line="104" w:lineRule="exact"/>
        <w:rPr>
          <w:rFonts w:ascii="Arial" w:cs="Arial" w:eastAsia="Arial" w:hAnsi="Arial"/>
          <w:sz w:val="12"/>
          <w:szCs w:val="12"/>
          <w:color w:val="010000"/>
        </w:rPr>
      </w:pPr>
    </w:p>
    <w:p>
      <w:pPr>
        <w:jc w:val="both"/>
        <w:ind w:left="120" w:right="119" w:firstLine="879"/>
        <w:spacing w:after="0" w:line="234" w:lineRule="auto"/>
        <w:tabs>
          <w:tab w:leader="none" w:pos="1189" w:val="left"/>
        </w:tabs>
        <w:numPr>
          <w:ilvl w:val="0"/>
          <w:numId w:val="54"/>
        </w:numPr>
        <w:rPr>
          <w:rFonts w:ascii="Arial" w:cs="Arial" w:eastAsia="Arial" w:hAnsi="Arial"/>
          <w:sz w:val="12"/>
          <w:szCs w:val="12"/>
          <w:color w:val="010000"/>
        </w:rPr>
      </w:pPr>
      <w:r>
        <w:rPr>
          <w:rFonts w:ascii="Arial" w:cs="Arial" w:eastAsia="Arial" w:hAnsi="Arial"/>
          <w:sz w:val="12"/>
          <w:szCs w:val="12"/>
          <w:color w:val="auto"/>
        </w:rPr>
        <w:t xml:space="preserve">At the commencement of each Interest Period for any Eurodollar Borrowing, such Borrowing shall be in an aggregate amount that is an integral multiple of $50,000 and not less than $500,000. At the time that each ABR Revolving Borrowing is made, such Borrowing shall be in an aggregate amount that is an integral multiple of $100,000 and not less than $100,000;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$25,000 and not less than $25,000. Borrowings of more than one Type and Class may be outstanding at the same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there shall not at any time be more than a total of five (5) Eurodollar Borrowings outstanding.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86" w:name="page87"/>
    <w:bookmarkEnd w:id="86"/>
    <w:p>
      <w:pPr>
        <w:jc w:val="both"/>
        <w:ind w:left="120" w:right="119" w:firstLine="879"/>
        <w:spacing w:after="0" w:line="228" w:lineRule="auto"/>
        <w:tabs>
          <w:tab w:leader="none" w:pos="1197" w:val="left"/>
        </w:tabs>
        <w:numPr>
          <w:ilvl w:val="0"/>
          <w:numId w:val="55"/>
        </w:numPr>
        <w:rPr>
          <w:rFonts w:ascii="Arial" w:cs="Arial" w:eastAsia="Arial" w:hAnsi="Arial"/>
          <w:sz w:val="13"/>
          <w:szCs w:val="13"/>
          <w:color w:val="010000"/>
        </w:rPr>
      </w:pPr>
      <w:r>
        <w:rPr>
          <w:rFonts w:ascii="Arial" w:cs="Arial" w:eastAsia="Arial" w:hAnsi="Arial"/>
          <w:sz w:val="13"/>
          <w:szCs w:val="13"/>
          <w:color w:val="auto"/>
        </w:rPr>
        <w:t>Notwithstanding any other provision of this Agreement, the Borrower shall not be entitled to request, or to elect to convert or continue, any Borrowing if the Interest Period requested with respect thereto would end after the Revolving Credit Maturity Date or the Term A Maturity Date, as applicable.</w:t>
      </w:r>
    </w:p>
    <w:p>
      <w:pPr>
        <w:spacing w:after="0" w:line="103" w:lineRule="exact"/>
        <w:rPr>
          <w:sz w:val="20"/>
          <w:szCs w:val="20"/>
          <w:color w:val="auto"/>
        </w:rPr>
      </w:pPr>
    </w:p>
    <w:p>
      <w:pPr>
        <w:ind w:left="120" w:right="259" w:firstLine="438"/>
        <w:spacing w:after="0" w:line="242" w:lineRule="auto"/>
        <w:rPr>
          <w:sz w:val="20"/>
          <w:szCs w:val="20"/>
          <w:color w:val="auto"/>
        </w:rPr>
      </w:pPr>
      <w:r>
        <w:rPr>
          <w:rFonts w:ascii="Arial" w:cs="Arial" w:eastAsia="Arial" w:hAnsi="Arial"/>
          <w:sz w:val="12"/>
          <w:szCs w:val="12"/>
          <w:color w:val="010000"/>
        </w:rPr>
        <w:t xml:space="preserve">SECTION 2.03 </w:t>
      </w:r>
      <w:r>
        <w:rPr>
          <w:rFonts w:ascii="Arial" w:cs="Arial" w:eastAsia="Arial" w:hAnsi="Arial"/>
          <w:sz w:val="12"/>
          <w:szCs w:val="12"/>
          <w:u w:val="single" w:color="auto"/>
          <w:color w:val="000000"/>
        </w:rPr>
        <w:t>Requests for Borrowings</w:t>
      </w:r>
      <w:r>
        <w:rPr>
          <w:rFonts w:ascii="Arial" w:cs="Arial" w:eastAsia="Arial" w:hAnsi="Arial"/>
          <w:sz w:val="12"/>
          <w:szCs w:val="12"/>
          <w:color w:val="000000"/>
        </w:rPr>
        <w:t>. To request a Borrowing, the Borrower shall notify the Administrative Agent of such request either in writing</w:t>
      </w:r>
      <w:r>
        <w:rPr>
          <w:rFonts w:ascii="Arial" w:cs="Arial" w:eastAsia="Arial" w:hAnsi="Arial"/>
          <w:sz w:val="12"/>
          <w:szCs w:val="12"/>
          <w:color w:val="010000"/>
        </w:rPr>
        <w:t xml:space="preserve"> </w:t>
      </w:r>
      <w:r>
        <w:rPr>
          <w:rFonts w:ascii="Arial" w:cs="Arial" w:eastAsia="Arial" w:hAnsi="Arial"/>
          <w:sz w:val="12"/>
          <w:szCs w:val="12"/>
          <w:color w:val="000000"/>
        </w:rPr>
        <w:t xml:space="preserve">(delivered by hand or fax) in the form attached hereto as Exhibit B and signed by the Borrower or by telephone or through Electronic System, if arrangements for doing so have been approved by the Administrative Agent, (a) in the case of a Eurodollar Borrowing, not later than 11:00 a.m., New York time, three Business Days before the date of the proposed Borrowing or (b) in the case of an ABR Borrowing, not later than 2:00 p.m., New York time, on the date of the proposed Borrowing; </w:t>
      </w:r>
      <w:r>
        <w:rPr>
          <w:rFonts w:ascii="Arial" w:cs="Arial" w:eastAsia="Arial" w:hAnsi="Arial"/>
          <w:sz w:val="12"/>
          <w:szCs w:val="12"/>
          <w:u w:val="single" w:color="auto"/>
          <w:color w:val="000000"/>
        </w:rPr>
        <w:t>provided</w:t>
      </w:r>
      <w:r>
        <w:rPr>
          <w:rFonts w:ascii="Arial" w:cs="Arial" w:eastAsia="Arial" w:hAnsi="Arial"/>
          <w:sz w:val="12"/>
          <w:szCs w:val="12"/>
          <w:color w:val="000000"/>
        </w:rPr>
        <w:t xml:space="preserve"> that any such notice of an ABR Revolving Borrowing to finance the reimbursement of an LC Disbursement as contemplated by</w:t>
      </w:r>
    </w:p>
    <w:p>
      <w:pPr>
        <w:ind w:left="120" w:right="219"/>
        <w:spacing w:after="0" w:line="228" w:lineRule="auto"/>
        <w:rPr>
          <w:sz w:val="20"/>
          <w:szCs w:val="20"/>
          <w:color w:val="auto"/>
        </w:rPr>
      </w:pPr>
      <w:r>
        <w:rPr>
          <w:rFonts w:ascii="Arial" w:cs="Arial" w:eastAsia="Arial" w:hAnsi="Arial"/>
          <w:sz w:val="13"/>
          <w:szCs w:val="13"/>
          <w:color w:val="auto"/>
        </w:rPr>
        <w:t>Section 2.06(e) may be given not later than 11:00 a.m., New York time, on the date of the proposed Borrowing. Each such telephonic Borrowing Request shall be irrevocable and shall be confirmed promptly by hand delivery, fax or a communication through Electronic System to the Administrative Agent of a written Borrowing Request in a form approved by the Administrative Agent and signed by the Borrower. Each such telephonic and written Borrowing Request shall specify the following information in compliance with Section 2.01:</w:t>
      </w:r>
    </w:p>
    <w:p>
      <w:pPr>
        <w:spacing w:after="0" w:line="295" w:lineRule="exact"/>
        <w:rPr>
          <w:sz w:val="20"/>
          <w:szCs w:val="20"/>
          <w:color w:val="auto"/>
        </w:rPr>
      </w:pPr>
    </w:p>
    <w:p>
      <w:pPr>
        <w:ind w:left="1600" w:hanging="163"/>
        <w:spacing w:after="0"/>
        <w:tabs>
          <w:tab w:leader="none" w:pos="1600" w:val="left"/>
        </w:tabs>
        <w:numPr>
          <w:ilvl w:val="0"/>
          <w:numId w:val="56"/>
        </w:numPr>
        <w:rPr>
          <w:rFonts w:ascii="Arial" w:cs="Arial" w:eastAsia="Arial" w:hAnsi="Arial"/>
          <w:sz w:val="12"/>
          <w:szCs w:val="12"/>
          <w:color w:val="010000"/>
        </w:rPr>
      </w:pPr>
      <w:r>
        <w:rPr>
          <w:rFonts w:ascii="Arial" w:cs="Arial" w:eastAsia="Arial" w:hAnsi="Arial"/>
          <w:sz w:val="12"/>
          <w:szCs w:val="12"/>
          <w:color w:val="auto"/>
        </w:rPr>
        <w:t>the Class of Borrowing, the aggregate amount of the requested Borrowing, and a breakdown of the separate wires comprising such</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Borrowing;</w:t>
      </w:r>
    </w:p>
    <w:p>
      <w:pPr>
        <w:spacing w:after="0" w:line="112" w:lineRule="exact"/>
        <w:rPr>
          <w:sz w:val="20"/>
          <w:szCs w:val="20"/>
          <w:color w:val="auto"/>
        </w:rPr>
      </w:pPr>
    </w:p>
    <w:p>
      <w:pPr>
        <w:ind w:left="1640" w:hanging="203"/>
        <w:spacing w:after="0"/>
        <w:tabs>
          <w:tab w:leader="none" w:pos="1640" w:val="left"/>
        </w:tabs>
        <w:numPr>
          <w:ilvl w:val="0"/>
          <w:numId w:val="57"/>
        </w:numPr>
        <w:rPr>
          <w:rFonts w:ascii="Arial" w:cs="Arial" w:eastAsia="Arial" w:hAnsi="Arial"/>
          <w:sz w:val="13"/>
          <w:szCs w:val="13"/>
          <w:color w:val="010000"/>
        </w:rPr>
      </w:pPr>
      <w:r>
        <w:rPr>
          <w:rFonts w:ascii="Arial" w:cs="Arial" w:eastAsia="Arial" w:hAnsi="Arial"/>
          <w:sz w:val="13"/>
          <w:szCs w:val="13"/>
          <w:color w:val="auto"/>
        </w:rPr>
        <w:t>the date of such Borrowing, which shall be a Business Day;</w:t>
      </w:r>
    </w:p>
    <w:p>
      <w:pPr>
        <w:spacing w:after="0" w:line="124" w:lineRule="exact"/>
        <w:rPr>
          <w:rFonts w:ascii="Arial" w:cs="Arial" w:eastAsia="Arial" w:hAnsi="Arial"/>
          <w:sz w:val="13"/>
          <w:szCs w:val="13"/>
          <w:color w:val="010000"/>
        </w:rPr>
      </w:pPr>
    </w:p>
    <w:p>
      <w:pPr>
        <w:ind w:left="1680" w:hanging="243"/>
        <w:spacing w:after="0"/>
        <w:tabs>
          <w:tab w:leader="none" w:pos="1680" w:val="left"/>
        </w:tabs>
        <w:numPr>
          <w:ilvl w:val="0"/>
          <w:numId w:val="57"/>
        </w:numPr>
        <w:rPr>
          <w:rFonts w:ascii="Arial" w:cs="Arial" w:eastAsia="Arial" w:hAnsi="Arial"/>
          <w:sz w:val="13"/>
          <w:szCs w:val="13"/>
          <w:color w:val="010000"/>
        </w:rPr>
      </w:pPr>
      <w:r>
        <w:rPr>
          <w:rFonts w:ascii="Arial" w:cs="Arial" w:eastAsia="Arial" w:hAnsi="Arial"/>
          <w:sz w:val="13"/>
          <w:szCs w:val="13"/>
          <w:color w:val="auto"/>
        </w:rPr>
        <w:t>whether such Borrowing is to be an ABR Borrowing or a Eurodollar Borrowing; and</w:t>
      </w:r>
    </w:p>
    <w:p>
      <w:pPr>
        <w:spacing w:after="0" w:line="124" w:lineRule="exact"/>
        <w:rPr>
          <w:rFonts w:ascii="Arial" w:cs="Arial" w:eastAsia="Arial" w:hAnsi="Arial"/>
          <w:sz w:val="13"/>
          <w:szCs w:val="13"/>
          <w:color w:val="010000"/>
        </w:rPr>
      </w:pPr>
    </w:p>
    <w:p>
      <w:pPr>
        <w:ind w:left="120" w:right="119" w:firstLine="1317"/>
        <w:spacing w:after="0" w:line="239" w:lineRule="auto"/>
        <w:tabs>
          <w:tab w:leader="none" w:pos="1672" w:val="left"/>
        </w:tabs>
        <w:numPr>
          <w:ilvl w:val="0"/>
          <w:numId w:val="57"/>
        </w:numPr>
        <w:rPr>
          <w:rFonts w:ascii="Arial" w:cs="Arial" w:eastAsia="Arial" w:hAnsi="Arial"/>
          <w:sz w:val="13"/>
          <w:szCs w:val="13"/>
          <w:color w:val="010000"/>
        </w:rPr>
      </w:pPr>
      <w:r>
        <w:rPr>
          <w:rFonts w:ascii="Arial" w:cs="Arial" w:eastAsia="Arial" w:hAnsi="Arial"/>
          <w:sz w:val="13"/>
          <w:szCs w:val="13"/>
          <w:color w:val="auto"/>
        </w:rPr>
        <w:t>in the case of a Eurodollar Borrowing, the initial Interest Period to be applicable thereto, which shall be a period contemplated by the definition of the term “Interest Period.”</w:t>
      </w:r>
    </w:p>
    <w:p>
      <w:pPr>
        <w:spacing w:after="0" w:line="104" w:lineRule="exact"/>
        <w:rPr>
          <w:sz w:val="20"/>
          <w:szCs w:val="20"/>
          <w:color w:val="auto"/>
        </w:rPr>
      </w:pPr>
    </w:p>
    <w:p>
      <w:pPr>
        <w:jc w:val="both"/>
        <w:ind w:left="120" w:right="119"/>
        <w:spacing w:after="0" w:line="233" w:lineRule="auto"/>
        <w:rPr>
          <w:sz w:val="20"/>
          <w:szCs w:val="20"/>
          <w:color w:val="auto"/>
        </w:rPr>
      </w:pPr>
      <w:r>
        <w:rPr>
          <w:rFonts w:ascii="Arial" w:cs="Arial" w:eastAsia="Arial" w:hAnsi="Arial"/>
          <w:sz w:val="13"/>
          <w:szCs w:val="13"/>
          <w:color w:val="auto"/>
        </w:rPr>
        <w:t>If no election as to the Type of Revolving Borrowing is specified, then the requested Revolving Borrowing shall be an ABR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2.04 </w:t>
      </w:r>
      <w:r>
        <w:rPr>
          <w:rFonts w:ascii="Arial" w:cs="Arial" w:eastAsia="Arial" w:hAnsi="Arial"/>
          <w:sz w:val="13"/>
          <w:szCs w:val="13"/>
          <w:u w:val="single" w:color="auto"/>
          <w:color w:val="000000"/>
        </w:rPr>
        <w:t>[Section Intentionally Omitted]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2.05 </w:t>
      </w:r>
      <w:r>
        <w:rPr>
          <w:rFonts w:ascii="Arial" w:cs="Arial" w:eastAsia="Arial" w:hAnsi="Arial"/>
          <w:sz w:val="13"/>
          <w:szCs w:val="13"/>
          <w:u w:val="single" w:color="auto"/>
          <w:color w:val="000000"/>
        </w:rPr>
        <w:t>Swingline Loans.</w:t>
      </w:r>
    </w:p>
    <w:p>
      <w:pPr>
        <w:spacing w:after="0" w:line="124" w:lineRule="exact"/>
        <w:rPr>
          <w:sz w:val="20"/>
          <w:szCs w:val="20"/>
          <w:color w:val="auto"/>
        </w:rPr>
      </w:pPr>
    </w:p>
    <w:p>
      <w:pPr>
        <w:jc w:val="both"/>
        <w:ind w:left="120" w:right="119" w:firstLine="879"/>
        <w:spacing w:after="0" w:line="234" w:lineRule="auto"/>
        <w:tabs>
          <w:tab w:leader="none" w:pos="1189" w:val="left"/>
        </w:tabs>
        <w:numPr>
          <w:ilvl w:val="0"/>
          <w:numId w:val="58"/>
        </w:numPr>
        <w:rPr>
          <w:rFonts w:ascii="Arial" w:cs="Arial" w:eastAsia="Arial" w:hAnsi="Arial"/>
          <w:sz w:val="12"/>
          <w:szCs w:val="12"/>
          <w:color w:val="010000"/>
        </w:rPr>
      </w:pPr>
      <w:r>
        <w:rPr>
          <w:rFonts w:ascii="Arial" w:cs="Arial" w:eastAsia="Arial" w:hAnsi="Arial"/>
          <w:sz w:val="12"/>
          <w:szCs w:val="12"/>
          <w:color w:val="auto"/>
        </w:rPr>
        <w:t xml:space="preserve">Subject to the terms and conditions set forth herein, from time to time during the Availability Period, the Swingline Lender may agree, but shall have no obligation, to make Swingline Loans to the Borrower,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 exceeding the aggregate Revolving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7" w:name="page88"/>
    <w:bookmarkEnd w:id="87"/>
    <w:p>
      <w:pPr>
        <w:jc w:val="both"/>
        <w:ind w:left="120" w:right="119"/>
        <w:spacing w:after="0" w:line="213" w:lineRule="auto"/>
        <w:rPr>
          <w:sz w:val="20"/>
          <w:szCs w:val="20"/>
          <w:color w:val="auto"/>
        </w:rPr>
      </w:pPr>
      <w:r>
        <w:rPr>
          <w:rFonts w:ascii="Arial" w:cs="Arial" w:eastAsia="Arial" w:hAnsi="Arial"/>
          <w:sz w:val="13"/>
          <w:szCs w:val="13"/>
          <w:color w:val="auto"/>
        </w:rPr>
        <w:t>notify the Administrative Agent of such request by telephone (confirmed by fax) or through Electronic System, if arrangements for doing so have been approved by the Administrative Agent, not later than noon, New York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New York time, on the requested date of such Swingline Loan.</w:t>
      </w:r>
    </w:p>
    <w:p>
      <w:pPr>
        <w:spacing w:after="0" w:line="106" w:lineRule="exact"/>
        <w:rPr>
          <w:sz w:val="20"/>
          <w:szCs w:val="20"/>
          <w:color w:val="auto"/>
        </w:rPr>
      </w:pPr>
    </w:p>
    <w:p>
      <w:pPr>
        <w:jc w:val="both"/>
        <w:ind w:left="120" w:right="119" w:firstLine="879"/>
        <w:spacing w:after="0" w:line="236" w:lineRule="auto"/>
        <w:tabs>
          <w:tab w:leader="none" w:pos="1197" w:val="left"/>
        </w:tabs>
        <w:numPr>
          <w:ilvl w:val="0"/>
          <w:numId w:val="59"/>
        </w:numPr>
        <w:rPr>
          <w:rFonts w:ascii="Arial" w:cs="Arial" w:eastAsia="Arial" w:hAnsi="Arial"/>
          <w:sz w:val="12"/>
          <w:szCs w:val="12"/>
          <w:color w:val="010000"/>
        </w:rPr>
      </w:pPr>
      <w:r>
        <w:rPr>
          <w:rFonts w:ascii="Arial" w:cs="Arial" w:eastAsia="Arial" w:hAnsi="Arial"/>
          <w:sz w:val="12"/>
          <w:szCs w:val="12"/>
          <w:color w:val="auto"/>
        </w:rPr>
        <w:t xml:space="preserve">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New York time, on a Business Day no later than 4:00 p.m., New York time on such Business Day and if received after 11:00 a.m., New York time, “on a Business Day” shall mean no later than 9:00 a.m. New York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2"/>
          <w:szCs w:val="12"/>
          <w:u w:val="single" w:color="auto"/>
          <w:color w:val="auto"/>
        </w:rPr>
        <w:t>mutatis mutandis</w:t>
      </w:r>
      <w:r>
        <w:rPr>
          <w:rFonts w:ascii="Arial" w:cs="Arial" w:eastAsia="Arial" w:hAnsi="Arial"/>
          <w:sz w:val="12"/>
          <w:szCs w:val="12"/>
          <w:color w:val="auto"/>
        </w:rPr>
        <w:t>, to the payment obligations of the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2.06 </w:t>
      </w:r>
      <w:r>
        <w:rPr>
          <w:rFonts w:ascii="Arial" w:cs="Arial" w:eastAsia="Arial" w:hAnsi="Arial"/>
          <w:sz w:val="13"/>
          <w:szCs w:val="13"/>
          <w:u w:val="single" w:color="auto"/>
          <w:color w:val="000000"/>
        </w:rPr>
        <w:t>Letters of Credit.</w:t>
      </w:r>
    </w:p>
    <w:p>
      <w:pPr>
        <w:spacing w:after="0" w:line="124" w:lineRule="exact"/>
        <w:rPr>
          <w:sz w:val="20"/>
          <w:szCs w:val="20"/>
          <w:color w:val="auto"/>
        </w:rPr>
      </w:pPr>
    </w:p>
    <w:p>
      <w:pPr>
        <w:jc w:val="both"/>
        <w:ind w:left="120" w:right="119" w:firstLine="879"/>
        <w:spacing w:after="0" w:line="228" w:lineRule="auto"/>
        <w:tabs>
          <w:tab w:leader="none" w:pos="1189" w:val="left"/>
        </w:tabs>
        <w:numPr>
          <w:ilvl w:val="0"/>
          <w:numId w:val="60"/>
        </w:numPr>
        <w:rPr>
          <w:rFonts w:ascii="Arial" w:cs="Arial" w:eastAsia="Arial" w:hAnsi="Arial"/>
          <w:sz w:val="13"/>
          <w:szCs w:val="13"/>
          <w:color w:val="010000"/>
        </w:rPr>
      </w:pPr>
      <w:r>
        <w:rPr>
          <w:rFonts w:ascii="Arial" w:cs="Arial" w:eastAsia="Arial" w:hAnsi="Arial"/>
          <w:sz w:val="13"/>
          <w:szCs w:val="13"/>
          <w:u w:val="single" w:color="auto"/>
          <w:color w:val="auto"/>
        </w:rPr>
        <w:t>General</w:t>
      </w:r>
      <w:r>
        <w:rPr>
          <w:rFonts w:ascii="Arial" w:cs="Arial" w:eastAsia="Arial" w:hAnsi="Arial"/>
          <w:sz w:val="13"/>
          <w:szCs w:val="13"/>
          <w:color w:val="auto"/>
        </w:rPr>
        <w:t>. Subject to the terms and conditions set forth herein, the Borrower may request the issuance of Letters of Credit denominated in dollars as the applicant thereof for the support of its or its Subsidiaries’ obligations, in a form reasonably acceptable to the Administrative Agent and the Issuing Bank, at any time and from time to time during the Availability Period. In the event of any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88" w:name="page89"/>
    <w:bookmarkEnd w:id="88"/>
    <w:p>
      <w:pPr>
        <w:jc w:val="both"/>
        <w:ind w:left="120" w:right="119"/>
        <w:spacing w:after="0" w:line="225" w:lineRule="auto"/>
        <w:rPr>
          <w:sz w:val="20"/>
          <w:szCs w:val="20"/>
          <w:color w:val="auto"/>
        </w:rPr>
      </w:pPr>
      <w:r>
        <w:rPr>
          <w:rFonts w:ascii="Arial" w:cs="Arial" w:eastAsia="Arial" w:hAnsi="Arial"/>
          <w:sz w:val="12"/>
          <w:szCs w:val="12"/>
          <w:color w:val="auto"/>
        </w:rPr>
        <w:t>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111" w:lineRule="exact"/>
        <w:rPr>
          <w:sz w:val="20"/>
          <w:szCs w:val="20"/>
          <w:color w:val="auto"/>
        </w:rPr>
      </w:pPr>
    </w:p>
    <w:p>
      <w:pPr>
        <w:jc w:val="both"/>
        <w:ind w:left="120" w:right="119" w:firstLine="879"/>
        <w:spacing w:after="0" w:line="228" w:lineRule="auto"/>
        <w:tabs>
          <w:tab w:leader="none" w:pos="1197" w:val="left"/>
        </w:tabs>
        <w:numPr>
          <w:ilvl w:val="0"/>
          <w:numId w:val="61"/>
        </w:numPr>
        <w:rPr>
          <w:rFonts w:ascii="Arial" w:cs="Arial" w:eastAsia="Arial" w:hAnsi="Arial"/>
          <w:sz w:val="12"/>
          <w:szCs w:val="12"/>
          <w:color w:val="010000"/>
        </w:rPr>
      </w:pPr>
      <w:r>
        <w:rPr>
          <w:rFonts w:ascii="Arial" w:cs="Arial" w:eastAsia="Arial" w:hAnsi="Arial"/>
          <w:sz w:val="12"/>
          <w:szCs w:val="12"/>
          <w:u w:val="single" w:color="auto"/>
          <w:color w:val="auto"/>
        </w:rPr>
        <w:t>Notice of Issuance, Amendment, Renewal, Extension; Certain Conditions</w:t>
      </w:r>
      <w:r>
        <w:rPr>
          <w:rFonts w:ascii="Arial" w:cs="Arial" w:eastAsia="Arial" w:hAnsi="Arial"/>
          <w:sz w:val="12"/>
          <w:szCs w:val="12"/>
          <w:color w:val="auto"/>
        </w:rPr>
        <w:t>. To request the issuance of a Letter of Credit (or the amendment, renewal or extension of an outstanding Letter of Credit), the Borrower shall hand deliver or fax (or transmit through Electronic System, if arrangements for doing so have been approved by the Issuing Bank) to the Issuing Bank and the Administrative Agent (reasonably in advance of the requested date of issuance, amendment, renewal or extension, but in any event no less than three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shall not exceed $2,500,000, (ii) no Revolving Lender’s Revolving Exposure shall exceed its Revolving Commitment and (iii) the Aggregate Revolving Exposure shall not exceed the aggregate Revolving Commitments. Notwithstanding the foregoing or anything to the contrary contained herein,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89" w:name="page90"/>
    <w:bookmarkEnd w:id="89"/>
    <w:p>
      <w:pPr>
        <w:jc w:val="both"/>
        <w:ind w:left="120" w:right="119"/>
        <w:spacing w:after="0" w:line="214" w:lineRule="auto"/>
        <w:rPr>
          <w:sz w:val="20"/>
          <w:szCs w:val="20"/>
          <w:color w:val="auto"/>
        </w:rPr>
      </w:pPr>
      <w:r>
        <w:rPr>
          <w:rFonts w:ascii="Arial" w:cs="Arial" w:eastAsia="Arial" w:hAnsi="Arial"/>
          <w:sz w:val="13"/>
          <w:szCs w:val="13"/>
          <w:color w:val="auto"/>
        </w:rPr>
        <w:t>Issuing Bank shall not be obligated to issue or modify any Letter of Credit if, immediately after giving effect thereto, the outstanding LC Exposure in respect of all Letters of Credit issued by Issuing Bank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clause (i) of this Section 2.06(b).</w:t>
      </w:r>
    </w:p>
    <w:p>
      <w:pPr>
        <w:spacing w:after="0" w:line="107" w:lineRule="exact"/>
        <w:rPr>
          <w:sz w:val="20"/>
          <w:szCs w:val="20"/>
          <w:color w:val="auto"/>
        </w:rPr>
      </w:pPr>
    </w:p>
    <w:p>
      <w:pPr>
        <w:jc w:val="both"/>
        <w:ind w:left="120" w:right="119" w:firstLine="879"/>
        <w:spacing w:after="0" w:line="222" w:lineRule="auto"/>
        <w:tabs>
          <w:tab w:leader="none" w:pos="1189" w:val="left"/>
        </w:tabs>
        <w:numPr>
          <w:ilvl w:val="0"/>
          <w:numId w:val="62"/>
        </w:numPr>
        <w:rPr>
          <w:rFonts w:ascii="Arial" w:cs="Arial" w:eastAsia="Arial" w:hAnsi="Arial"/>
          <w:sz w:val="13"/>
          <w:szCs w:val="13"/>
          <w:color w:val="010000"/>
        </w:rPr>
      </w:pPr>
      <w:r>
        <w:rPr>
          <w:rFonts w:ascii="Arial" w:cs="Arial" w:eastAsia="Arial" w:hAnsi="Arial"/>
          <w:sz w:val="13"/>
          <w:szCs w:val="13"/>
          <w:u w:val="single" w:color="auto"/>
          <w:color w:val="auto"/>
        </w:rPr>
        <w:t>Expiration Date</w:t>
      </w:r>
      <w:r>
        <w:rPr>
          <w:rFonts w:ascii="Arial" w:cs="Arial" w:eastAsia="Arial" w:hAnsi="Arial"/>
          <w:sz w:val="13"/>
          <w:szCs w:val="13"/>
          <w:color w:val="auto"/>
        </w:rPr>
        <w:t>. Each Letter of Credit shall expire (or be subject to termination or non-renewal by notice from the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Revolving Credit Maturity Date.</w:t>
      </w:r>
    </w:p>
    <w:p>
      <w:pPr>
        <w:spacing w:after="0" w:line="103" w:lineRule="exact"/>
        <w:rPr>
          <w:rFonts w:ascii="Arial" w:cs="Arial" w:eastAsia="Arial" w:hAnsi="Arial"/>
          <w:sz w:val="13"/>
          <w:szCs w:val="13"/>
          <w:color w:val="010000"/>
        </w:rPr>
      </w:pPr>
    </w:p>
    <w:p>
      <w:pPr>
        <w:jc w:val="both"/>
        <w:ind w:left="120" w:right="119" w:firstLine="879"/>
        <w:spacing w:after="0" w:line="229" w:lineRule="auto"/>
        <w:tabs>
          <w:tab w:leader="none" w:pos="1197" w:val="left"/>
        </w:tabs>
        <w:numPr>
          <w:ilvl w:val="0"/>
          <w:numId w:val="62"/>
        </w:numPr>
        <w:rPr>
          <w:rFonts w:ascii="Arial" w:cs="Arial" w:eastAsia="Arial" w:hAnsi="Arial"/>
          <w:sz w:val="12"/>
          <w:szCs w:val="12"/>
          <w:color w:val="010000"/>
        </w:rPr>
      </w:pPr>
      <w:r>
        <w:rPr>
          <w:rFonts w:ascii="Arial" w:cs="Arial" w:eastAsia="Arial" w:hAnsi="Arial"/>
          <w:sz w:val="12"/>
          <w:szCs w:val="12"/>
          <w:u w:val="single" w:color="auto"/>
          <w:color w:val="auto"/>
        </w:rPr>
        <w:t>Participations</w:t>
      </w:r>
      <w:r>
        <w:rPr>
          <w:rFonts w:ascii="Arial" w:cs="Arial" w:eastAsia="Arial" w:hAnsi="Arial"/>
          <w:sz w:val="12"/>
          <w:szCs w:val="12"/>
          <w:color w:val="auto"/>
        </w:rPr>
        <w:t>.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06" w:lineRule="exact"/>
        <w:rPr>
          <w:rFonts w:ascii="Arial" w:cs="Arial" w:eastAsia="Arial" w:hAnsi="Arial"/>
          <w:sz w:val="12"/>
          <w:szCs w:val="12"/>
          <w:color w:val="010000"/>
        </w:rPr>
      </w:pPr>
    </w:p>
    <w:p>
      <w:pPr>
        <w:jc w:val="both"/>
        <w:ind w:left="120" w:right="119" w:firstLine="879"/>
        <w:spacing w:after="0" w:line="210" w:lineRule="auto"/>
        <w:tabs>
          <w:tab w:leader="none" w:pos="1189" w:val="left"/>
        </w:tabs>
        <w:numPr>
          <w:ilvl w:val="0"/>
          <w:numId w:val="62"/>
        </w:numPr>
        <w:rPr>
          <w:rFonts w:ascii="Arial" w:cs="Arial" w:eastAsia="Arial" w:hAnsi="Arial"/>
          <w:sz w:val="13"/>
          <w:szCs w:val="13"/>
          <w:color w:val="010000"/>
        </w:rPr>
      </w:pPr>
      <w:r>
        <w:rPr>
          <w:rFonts w:ascii="Arial" w:cs="Arial" w:eastAsia="Arial" w:hAnsi="Arial"/>
          <w:sz w:val="13"/>
          <w:szCs w:val="13"/>
          <w:u w:val="single" w:color="auto"/>
          <w:color w:val="auto"/>
        </w:rPr>
        <w:t>Reimbursement</w:t>
      </w:r>
      <w:r>
        <w:rPr>
          <w:rFonts w:ascii="Arial" w:cs="Arial" w:eastAsia="Arial" w:hAnsi="Arial"/>
          <w:sz w:val="13"/>
          <w:szCs w:val="13"/>
          <w:color w:val="auto"/>
        </w:rPr>
        <w:t xml:space="preserve">. If the Issuing Bank shall make any LC Disbursement in respect of a Letter of Credit, the Borrower shall reimburse such LC Disbursement by paying to the Administrative Agent an amount equal to such LC Disbursement not later than noon, New York time, on (i) the Business Day that the Borrower receives notice of such LC Disbursement, if such notice is received prior to 9:00 a.m., New York time, on the day of receipt, or (ii) the Business Day immediately following the day that the Borrower receives such notice, if such notice is received after 9:00 a.m., New York time, on the day of receipt;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may, subject to the conditions to borrowing set forth herein, request in accordance with Section 2.03 or 2.05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3"/>
          <w:szCs w:val="13"/>
          <w:u w:val="single" w:color="auto"/>
          <w:color w:val="auto"/>
        </w:rPr>
        <w:t>mutatis mutandis</w:t>
      </w:r>
      <w:r>
        <w:rPr>
          <w:rFonts w:ascii="Arial" w:cs="Arial" w:eastAsia="Arial" w:hAnsi="Arial"/>
          <w:sz w:val="13"/>
          <w:szCs w:val="13"/>
          <w:color w:val="auto"/>
        </w:rPr>
        <w:t>, to the payment obligations of the Revolving Lenders), and the Administrative Agent shall promptly pay to the Issuing Bank the amounts so received by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90" w:name="page91"/>
    <w:bookmarkEnd w:id="90"/>
    <w:p>
      <w:pPr>
        <w:jc w:val="both"/>
        <w:ind w:left="120" w:right="119"/>
        <w:spacing w:after="0" w:line="218" w:lineRule="auto"/>
        <w:rPr>
          <w:sz w:val="20"/>
          <w:szCs w:val="20"/>
          <w:color w:val="auto"/>
        </w:rPr>
      </w:pPr>
      <w:r>
        <w:rPr>
          <w:rFonts w:ascii="Arial" w:cs="Arial" w:eastAsia="Arial" w:hAnsi="Arial"/>
          <w:sz w:val="13"/>
          <w:szCs w:val="13"/>
          <w:color w:val="auto"/>
        </w:rPr>
        <w:t>it from the Revolving Lenders. Promptly following receipt by the Administrative Agent of any payment from the Borrower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Swingline Loan as contemplated above) shall not constitute a Loan and shall not relieve the Borrower of its obligation to reimburse such LC Disbursement.</w:t>
      </w:r>
    </w:p>
    <w:p>
      <w:pPr>
        <w:spacing w:after="0" w:line="105" w:lineRule="exact"/>
        <w:rPr>
          <w:sz w:val="20"/>
          <w:szCs w:val="20"/>
          <w:color w:val="auto"/>
        </w:rPr>
      </w:pPr>
    </w:p>
    <w:p>
      <w:pPr>
        <w:jc w:val="both"/>
        <w:ind w:left="120" w:right="119" w:firstLine="879"/>
        <w:spacing w:after="0" w:line="225" w:lineRule="auto"/>
        <w:tabs>
          <w:tab w:leader="none" w:pos="1175" w:val="left"/>
        </w:tabs>
        <w:numPr>
          <w:ilvl w:val="0"/>
          <w:numId w:val="63"/>
        </w:numPr>
        <w:rPr>
          <w:rFonts w:ascii="Arial" w:cs="Arial" w:eastAsia="Arial" w:hAnsi="Arial"/>
          <w:sz w:val="12"/>
          <w:szCs w:val="12"/>
          <w:color w:val="010000"/>
        </w:rPr>
      </w:pPr>
      <w:r>
        <w:rPr>
          <w:rFonts w:ascii="Arial" w:cs="Arial" w:eastAsia="Arial" w:hAnsi="Arial"/>
          <w:sz w:val="12"/>
          <w:szCs w:val="12"/>
          <w:u w:val="single" w:color="auto"/>
          <w:color w:val="auto"/>
        </w:rPr>
        <w:t>Obligations Absolute</w:t>
      </w:r>
      <w:r>
        <w:rPr>
          <w:rFonts w:ascii="Arial" w:cs="Arial" w:eastAsia="Arial" w:hAnsi="Arial"/>
          <w:sz w:val="12"/>
          <w:szCs w:val="12"/>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Revolving Lenders or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12" w:lineRule="exact"/>
        <w:rPr>
          <w:rFonts w:ascii="Arial" w:cs="Arial" w:eastAsia="Arial" w:hAnsi="Arial"/>
          <w:sz w:val="12"/>
          <w:szCs w:val="12"/>
          <w:color w:val="010000"/>
        </w:rPr>
      </w:pPr>
    </w:p>
    <w:p>
      <w:pPr>
        <w:jc w:val="both"/>
        <w:ind w:left="120" w:right="119" w:firstLine="879"/>
        <w:spacing w:after="0" w:line="218" w:lineRule="auto"/>
        <w:tabs>
          <w:tab w:leader="none" w:pos="1197" w:val="left"/>
        </w:tabs>
        <w:numPr>
          <w:ilvl w:val="0"/>
          <w:numId w:val="63"/>
        </w:numPr>
        <w:rPr>
          <w:rFonts w:ascii="Arial" w:cs="Arial" w:eastAsia="Arial" w:hAnsi="Arial"/>
          <w:sz w:val="13"/>
          <w:szCs w:val="13"/>
          <w:color w:val="010000"/>
        </w:rPr>
      </w:pPr>
      <w:r>
        <w:rPr>
          <w:rFonts w:ascii="Arial" w:cs="Arial" w:eastAsia="Arial" w:hAnsi="Arial"/>
          <w:sz w:val="13"/>
          <w:szCs w:val="13"/>
          <w:u w:val="single" w:color="auto"/>
          <w:color w:val="auto"/>
        </w:rPr>
        <w:t>Disbursement Procedures</w:t>
      </w:r>
      <w:r>
        <w:rPr>
          <w:rFonts w:ascii="Arial" w:cs="Arial" w:eastAsia="Arial" w:hAnsi="Arial"/>
          <w:sz w:val="13"/>
          <w:szCs w:val="13"/>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fax) of such demand for payment and whether the Issuing Bank has made or will make an LC Disbursement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failure to give or delay in giving such notice shall not relieve the Borrower of its obligation to reimburse the Issuing Bank and the Revolving Lenders with respect to any such LC Disbursement.</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63"/>
        </w:numPr>
        <w:rPr>
          <w:rFonts w:ascii="Arial" w:cs="Arial" w:eastAsia="Arial" w:hAnsi="Arial"/>
          <w:sz w:val="13"/>
          <w:szCs w:val="13"/>
          <w:color w:val="010000"/>
        </w:rPr>
      </w:pPr>
      <w:r>
        <w:rPr>
          <w:rFonts w:ascii="Arial" w:cs="Arial" w:eastAsia="Arial" w:hAnsi="Arial"/>
          <w:sz w:val="13"/>
          <w:szCs w:val="13"/>
          <w:u w:val="single" w:color="auto"/>
          <w:color w:val="auto"/>
        </w:rPr>
        <w:t>Interim Interest</w:t>
      </w:r>
      <w:r>
        <w:rPr>
          <w:rFonts w:ascii="Arial" w:cs="Arial" w:eastAsia="Arial" w:hAnsi="Arial"/>
          <w:sz w:val="13"/>
          <w:szCs w:val="13"/>
          <w:color w:val="auto"/>
        </w:rPr>
        <w:t>. If the Issuing Bank shall make any LC Disbursement, then, unless the Borrower shall reimburse such LC Disbursement in full on the date such LC Disbursement is made, the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91" w:name="page92"/>
    <w:bookmarkEnd w:id="91"/>
    <w:p>
      <w:pPr>
        <w:jc w:val="both"/>
        <w:ind w:left="120" w:right="119"/>
        <w:spacing w:after="0" w:line="216" w:lineRule="auto"/>
        <w:rPr>
          <w:sz w:val="20"/>
          <w:szCs w:val="20"/>
          <w:color w:val="auto"/>
        </w:rPr>
      </w:pPr>
      <w:r>
        <w:rPr>
          <w:rFonts w:ascii="Arial" w:cs="Arial" w:eastAsia="Arial" w:hAnsi="Arial"/>
          <w:sz w:val="13"/>
          <w:szCs w:val="13"/>
          <w:color w:val="auto"/>
        </w:rPr>
        <w:t xml:space="preserve">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fails to reimburse such LC Disbursement when due pursuant to paragraph (e) of this Section, then Section 2.13(c)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w:t>
      </w:r>
    </w:p>
    <w:p>
      <w:pPr>
        <w:spacing w:after="0" w:line="105" w:lineRule="exact"/>
        <w:rPr>
          <w:sz w:val="20"/>
          <w:szCs w:val="20"/>
          <w:color w:val="auto"/>
        </w:rPr>
      </w:pPr>
    </w:p>
    <w:p>
      <w:pPr>
        <w:jc w:val="both"/>
        <w:ind w:left="120" w:right="119" w:firstLine="879"/>
        <w:spacing w:after="0" w:line="211" w:lineRule="auto"/>
        <w:tabs>
          <w:tab w:leader="none" w:pos="1167" w:val="left"/>
        </w:tabs>
        <w:numPr>
          <w:ilvl w:val="0"/>
          <w:numId w:val="64"/>
        </w:numPr>
        <w:rPr>
          <w:rFonts w:ascii="Arial" w:cs="Arial" w:eastAsia="Arial" w:hAnsi="Arial"/>
          <w:sz w:val="13"/>
          <w:szCs w:val="13"/>
          <w:color w:val="010000"/>
        </w:rPr>
      </w:pPr>
      <w:r>
        <w:rPr>
          <w:rFonts w:ascii="Arial" w:cs="Arial" w:eastAsia="Arial" w:hAnsi="Arial"/>
          <w:sz w:val="13"/>
          <w:szCs w:val="13"/>
          <w:u w:val="single" w:color="auto"/>
          <w:color w:val="auto"/>
        </w:rPr>
        <w:t>Replacement of the Issuing Bank</w:t>
      </w:r>
      <w:r>
        <w:rPr>
          <w:rFonts w:ascii="Arial" w:cs="Arial" w:eastAsia="Arial" w:hAnsi="Arial"/>
          <w:sz w:val="13"/>
          <w:szCs w:val="13"/>
          <w:color w:val="auto"/>
        </w:rPr>
        <w:t>. (i) The Issuing Bank may be replaced at any time by written agreement among the Borrower, the Administrative Agent, the replaced Issuing Bank and the successor Issuing Bank. The Administrative Agent shall notify the Revolving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(ii) Subject to the appointment and acceptance of a successor Issuing Bank, the Issuing Bank may resign as an Issuing Bank at any time upon thirty days’ prior written notice to the Administrative Agent, the Borrower and the Lenders, in which case, such Issuing Bank shall be replaced in accordance with Section 2.06(i) above.</w:t>
      </w:r>
    </w:p>
    <w:p>
      <w:pPr>
        <w:spacing w:after="0" w:line="104" w:lineRule="exact"/>
        <w:rPr>
          <w:rFonts w:ascii="Arial" w:cs="Arial" w:eastAsia="Arial" w:hAnsi="Arial"/>
          <w:sz w:val="13"/>
          <w:szCs w:val="13"/>
          <w:color w:val="010000"/>
        </w:rPr>
      </w:pPr>
    </w:p>
    <w:p>
      <w:pPr>
        <w:jc w:val="both"/>
        <w:ind w:left="120" w:right="119" w:firstLine="879"/>
        <w:spacing w:after="0" w:line="226" w:lineRule="auto"/>
        <w:tabs>
          <w:tab w:leader="none" w:pos="1167" w:val="left"/>
        </w:tabs>
        <w:numPr>
          <w:ilvl w:val="0"/>
          <w:numId w:val="64"/>
        </w:numPr>
        <w:rPr>
          <w:rFonts w:ascii="Arial" w:cs="Arial" w:eastAsia="Arial" w:hAnsi="Arial"/>
          <w:sz w:val="12"/>
          <w:szCs w:val="12"/>
          <w:color w:val="010000"/>
        </w:rPr>
      </w:pPr>
      <w:r>
        <w:rPr>
          <w:rFonts w:ascii="Arial" w:cs="Arial" w:eastAsia="Arial" w:hAnsi="Arial"/>
          <w:sz w:val="12"/>
          <w:szCs w:val="12"/>
          <w:u w:val="single" w:color="auto"/>
          <w:color w:val="auto"/>
        </w:rPr>
        <w:t>Cash Collateralization</w:t>
      </w:r>
      <w:r>
        <w:rPr>
          <w:rFonts w:ascii="Arial" w:cs="Arial" w:eastAsia="Arial" w:hAnsi="Arial"/>
          <w:sz w:val="12"/>
          <w:szCs w:val="12"/>
          <w:color w:val="auto"/>
        </w:rPr>
        <w:t>.If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Arial" w:cs="Arial" w:eastAsia="Arial" w:hAnsi="Arial"/>
          <w:sz w:val="12"/>
          <w:szCs w:val="12"/>
          <w:u w:val="single" w:color="auto"/>
          <w:color w:val="auto"/>
        </w:rPr>
        <w:t>LC Collateral Account</w:t>
      </w:r>
      <w:r>
        <w:rPr>
          <w:rFonts w:ascii="Arial" w:cs="Arial" w:eastAsia="Arial" w:hAnsi="Arial"/>
          <w:sz w:val="12"/>
          <w:szCs w:val="12"/>
          <w:color w:val="auto"/>
        </w:rPr>
        <w:t xml:space="preserve">”), an amount in cash equal to one hundred and three percent (103%) of the amount of the LC Exposure as of such date plus accrued and unpaid interest thereon;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aggregate LC Exposure), be applied to satisfy other Secured Obligations. If the Borrower is required to provide an amount of cash</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92" w:name="page93"/>
    <w:bookmarkEnd w:id="92"/>
    <w:p>
      <w:pPr>
        <w:ind w:left="120" w:right="119"/>
        <w:spacing w:after="0" w:line="239" w:lineRule="auto"/>
        <w:rPr>
          <w:sz w:val="20"/>
          <w:szCs w:val="20"/>
          <w:color w:val="auto"/>
        </w:rPr>
      </w:pPr>
      <w:r>
        <w:rPr>
          <w:rFonts w:ascii="Arial" w:cs="Arial" w:eastAsia="Arial" w:hAnsi="Arial"/>
          <w:sz w:val="13"/>
          <w:szCs w:val="13"/>
          <w:color w:val="auto"/>
        </w:rPr>
        <w:t>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104" w:lineRule="exact"/>
        <w:rPr>
          <w:sz w:val="20"/>
          <w:szCs w:val="20"/>
          <w:color w:val="auto"/>
        </w:rPr>
      </w:pPr>
    </w:p>
    <w:p>
      <w:pPr>
        <w:jc w:val="both"/>
        <w:ind w:left="120" w:right="119" w:firstLine="879"/>
        <w:spacing w:after="0" w:line="228" w:lineRule="auto"/>
        <w:tabs>
          <w:tab w:leader="none" w:pos="1197" w:val="left"/>
        </w:tabs>
        <w:numPr>
          <w:ilvl w:val="0"/>
          <w:numId w:val="65"/>
        </w:numPr>
        <w:rPr>
          <w:rFonts w:ascii="Arial" w:cs="Arial" w:eastAsia="Arial" w:hAnsi="Arial"/>
          <w:sz w:val="13"/>
          <w:szCs w:val="13"/>
          <w:color w:val="010000"/>
        </w:rPr>
      </w:pPr>
      <w:r>
        <w:rPr>
          <w:rFonts w:ascii="Arial" w:cs="Arial" w:eastAsia="Arial" w:hAnsi="Arial"/>
          <w:sz w:val="13"/>
          <w:szCs w:val="13"/>
          <w:u w:val="single" w:color="auto"/>
          <w:color w:val="auto"/>
        </w:rPr>
        <w:t>LC Exposure Determination</w:t>
      </w:r>
      <w:r>
        <w:rPr>
          <w:rFonts w:ascii="Arial" w:cs="Arial" w:eastAsia="Arial" w:hAnsi="Arial"/>
          <w:sz w:val="13"/>
          <w:szCs w:val="13"/>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2.07 </w:t>
      </w:r>
      <w:r>
        <w:rPr>
          <w:rFonts w:ascii="Arial" w:cs="Arial" w:eastAsia="Arial" w:hAnsi="Arial"/>
          <w:sz w:val="13"/>
          <w:szCs w:val="13"/>
          <w:u w:val="single" w:color="auto"/>
          <w:color w:val="000000"/>
        </w:rPr>
        <w:t>Funding of Borrowings.</w:t>
      </w:r>
    </w:p>
    <w:p>
      <w:pPr>
        <w:spacing w:after="0" w:line="124" w:lineRule="exact"/>
        <w:rPr>
          <w:sz w:val="20"/>
          <w:szCs w:val="20"/>
          <w:color w:val="auto"/>
        </w:rPr>
      </w:pPr>
    </w:p>
    <w:p>
      <w:pPr>
        <w:jc w:val="both"/>
        <w:ind w:left="120" w:right="119" w:firstLine="879"/>
        <w:spacing w:after="0" w:line="234" w:lineRule="auto"/>
        <w:tabs>
          <w:tab w:leader="none" w:pos="1189"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 xml:space="preserve">Each Lender shall make each Loan to be made by such Lender hereunder on the proposed date thereof solely by wire transfer of immediately available funds by 1:00 p.m., New York time, to the account of the Administrative Agent most recently designated by it for such purpose by notice to the Lenders in an amount equal to such Lender’s Applicable Percentage;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Term Loans shall be made as provided in Sections 2.01(b) and 2.02(b) and Swingline Loans shall be made as provided in Section 2.05. The Administrative Agent will make such Loans available to the Borrower by promptly crediting the funds so received in the aforesaid account of the Administrative Agent to the Funding Account(s);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ABR Revolving Loans made to finance the reimbursement of an LC Disbursement as provided in Section 2.06(e) shall be remitted by the Administrative Agent to the Issuing Bank.</w:t>
      </w:r>
    </w:p>
    <w:p>
      <w:pPr>
        <w:spacing w:after="0" w:line="104" w:lineRule="exact"/>
        <w:rPr>
          <w:rFonts w:ascii="Arial" w:cs="Arial" w:eastAsia="Arial" w:hAnsi="Arial"/>
          <w:sz w:val="12"/>
          <w:szCs w:val="12"/>
          <w:color w:val="010000"/>
        </w:rPr>
      </w:pPr>
    </w:p>
    <w:p>
      <w:pPr>
        <w:jc w:val="both"/>
        <w:ind w:left="120" w:right="119" w:firstLine="879"/>
        <w:spacing w:after="0" w:line="228" w:lineRule="auto"/>
        <w:tabs>
          <w:tab w:leader="none" w:pos="1197"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Revolving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2.08 </w:t>
      </w:r>
      <w:r>
        <w:rPr>
          <w:rFonts w:ascii="Arial" w:cs="Arial" w:eastAsia="Arial" w:hAnsi="Arial"/>
          <w:sz w:val="13"/>
          <w:szCs w:val="13"/>
          <w:u w:val="single" w:color="auto"/>
          <w:color w:val="000000"/>
        </w:rPr>
        <w:t>Interest Elections.</w:t>
      </w:r>
    </w:p>
    <w:p>
      <w:pPr>
        <w:spacing w:after="0" w:line="124" w:lineRule="exact"/>
        <w:rPr>
          <w:sz w:val="20"/>
          <w:szCs w:val="20"/>
          <w:color w:val="auto"/>
        </w:rPr>
      </w:pPr>
    </w:p>
    <w:p>
      <w:pPr>
        <w:jc w:val="both"/>
        <w:ind w:left="120" w:right="119" w:firstLine="879"/>
        <w:spacing w:after="0" w:line="218" w:lineRule="auto"/>
        <w:tabs>
          <w:tab w:leader="none" w:pos="1189" w:val="left"/>
        </w:tabs>
        <w:numPr>
          <w:ilvl w:val="0"/>
          <w:numId w:val="67"/>
        </w:numPr>
        <w:rPr>
          <w:rFonts w:ascii="Arial" w:cs="Arial" w:eastAsia="Arial" w:hAnsi="Arial"/>
          <w:sz w:val="13"/>
          <w:szCs w:val="13"/>
          <w:color w:val="010000"/>
        </w:rPr>
      </w:pPr>
      <w:r>
        <w:rPr>
          <w:rFonts w:ascii="Arial" w:cs="Arial" w:eastAsia="Arial" w:hAnsi="Arial"/>
          <w:sz w:val="13"/>
          <w:szCs w:val="13"/>
          <w:color w:val="auto"/>
        </w:rPr>
        <w:t>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93" w:name="page94"/>
    <w:bookmarkEnd w:id="93"/>
    <w:p>
      <w:pPr>
        <w:ind w:left="120"/>
        <w:spacing w:after="0"/>
        <w:rPr>
          <w:sz w:val="20"/>
          <w:szCs w:val="20"/>
          <w:color w:val="auto"/>
        </w:rPr>
      </w:pPr>
      <w:r>
        <w:rPr>
          <w:rFonts w:ascii="Arial" w:cs="Arial" w:eastAsia="Arial" w:hAnsi="Arial"/>
          <w:sz w:val="13"/>
          <w:szCs w:val="13"/>
          <w:color w:val="auto"/>
        </w:rPr>
        <w:t>considered a separate Borrowing. This Section shall not apply to Swingline Borrowings, which may not be converted or continued.</w:t>
      </w:r>
    </w:p>
    <w:p>
      <w:pPr>
        <w:spacing w:after="0" w:line="124" w:lineRule="exact"/>
        <w:rPr>
          <w:sz w:val="20"/>
          <w:szCs w:val="20"/>
          <w:color w:val="auto"/>
        </w:rPr>
      </w:pPr>
    </w:p>
    <w:p>
      <w:pPr>
        <w:jc w:val="both"/>
        <w:ind w:left="120" w:right="119" w:firstLine="879"/>
        <w:spacing w:after="0" w:line="218" w:lineRule="auto"/>
        <w:tabs>
          <w:tab w:leader="none" w:pos="1197" w:val="left"/>
        </w:tabs>
        <w:numPr>
          <w:ilvl w:val="0"/>
          <w:numId w:val="68"/>
        </w:numPr>
        <w:rPr>
          <w:rFonts w:ascii="Arial" w:cs="Arial" w:eastAsia="Arial" w:hAnsi="Arial"/>
          <w:sz w:val="13"/>
          <w:szCs w:val="13"/>
          <w:color w:val="010000"/>
        </w:rPr>
      </w:pPr>
      <w:r>
        <w:rPr>
          <w:rFonts w:ascii="Arial" w:cs="Arial" w:eastAsia="Arial" w:hAnsi="Arial"/>
          <w:sz w:val="13"/>
          <w:szCs w:val="13"/>
          <w:color w:val="auto"/>
        </w:rPr>
        <w:t>To make an election pursuant to this Section, the Borrower shall notify the Administrative Agent of such election by telephone or through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Electronic System or fax to the Administrative Agent of a written Interest Election Request in a form approved by the Administrative Agent and signed by the Borrower.</w:t>
      </w:r>
    </w:p>
    <w:p>
      <w:pPr>
        <w:spacing w:after="0" w:line="105" w:lineRule="exact"/>
        <w:rPr>
          <w:rFonts w:ascii="Arial" w:cs="Arial" w:eastAsia="Arial" w:hAnsi="Arial"/>
          <w:sz w:val="13"/>
          <w:szCs w:val="13"/>
          <w:color w:val="010000"/>
        </w:rPr>
      </w:pPr>
    </w:p>
    <w:p>
      <w:pPr>
        <w:ind w:left="1200" w:hanging="201"/>
        <w:spacing w:after="0"/>
        <w:tabs>
          <w:tab w:leader="none" w:pos="1200" w:val="left"/>
        </w:tabs>
        <w:numPr>
          <w:ilvl w:val="0"/>
          <w:numId w:val="68"/>
        </w:numPr>
        <w:rPr>
          <w:rFonts w:ascii="Arial" w:cs="Arial" w:eastAsia="Arial" w:hAnsi="Arial"/>
          <w:sz w:val="13"/>
          <w:szCs w:val="13"/>
          <w:color w:val="010000"/>
        </w:rPr>
      </w:pPr>
      <w:r>
        <w:rPr>
          <w:rFonts w:ascii="Arial" w:cs="Arial" w:eastAsia="Arial" w:hAnsi="Arial"/>
          <w:sz w:val="13"/>
          <w:szCs w:val="13"/>
          <w:color w:val="auto"/>
        </w:rPr>
        <w:t>Each telephonic and written Interest Election Request (including requests submitted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through Electronic System) shall specify the following information in compliance with Section 2.02:</w:t>
      </w:r>
    </w:p>
    <w:p>
      <w:pPr>
        <w:spacing w:after="0" w:line="133" w:lineRule="exact"/>
        <w:rPr>
          <w:sz w:val="20"/>
          <w:szCs w:val="20"/>
          <w:color w:val="auto"/>
        </w:rPr>
      </w:pPr>
    </w:p>
    <w:p>
      <w:pPr>
        <w:jc w:val="both"/>
        <w:ind w:left="120" w:right="119" w:firstLine="1317"/>
        <w:spacing w:after="0" w:line="228" w:lineRule="auto"/>
        <w:tabs>
          <w:tab w:leader="none" w:pos="1605" w:val="left"/>
        </w:tabs>
        <w:numPr>
          <w:ilvl w:val="0"/>
          <w:numId w:val="69"/>
        </w:numPr>
        <w:rPr>
          <w:rFonts w:ascii="Arial" w:cs="Arial" w:eastAsia="Arial" w:hAnsi="Arial"/>
          <w:sz w:val="13"/>
          <w:szCs w:val="13"/>
          <w:color w:val="010000"/>
        </w:rPr>
      </w:pPr>
      <w:r>
        <w:rPr>
          <w:rFonts w:ascii="Arial" w:cs="Arial" w:eastAsia="Arial" w:hAnsi="Arial"/>
          <w:sz w:val="13"/>
          <w:szCs w:val="13"/>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02" w:lineRule="exact"/>
        <w:rPr>
          <w:rFonts w:ascii="Arial" w:cs="Arial" w:eastAsia="Arial" w:hAnsi="Arial"/>
          <w:sz w:val="13"/>
          <w:szCs w:val="13"/>
          <w:color w:val="010000"/>
        </w:rPr>
      </w:pPr>
    </w:p>
    <w:p>
      <w:pPr>
        <w:ind w:left="1640" w:hanging="203"/>
        <w:spacing w:after="0"/>
        <w:tabs>
          <w:tab w:leader="none" w:pos="1640" w:val="left"/>
        </w:tabs>
        <w:numPr>
          <w:ilvl w:val="0"/>
          <w:numId w:val="69"/>
        </w:numPr>
        <w:rPr>
          <w:rFonts w:ascii="Arial" w:cs="Arial" w:eastAsia="Arial" w:hAnsi="Arial"/>
          <w:sz w:val="13"/>
          <w:szCs w:val="13"/>
          <w:color w:val="010000"/>
        </w:rPr>
      </w:pPr>
      <w:r>
        <w:rPr>
          <w:rFonts w:ascii="Arial" w:cs="Arial" w:eastAsia="Arial" w:hAnsi="Arial"/>
          <w:sz w:val="13"/>
          <w:szCs w:val="13"/>
          <w:color w:val="auto"/>
        </w:rPr>
        <w:t>the effective date of the election made pursuant to such Interest Election Request, which shall be a Business Day;</w:t>
      </w:r>
    </w:p>
    <w:p>
      <w:pPr>
        <w:spacing w:after="0" w:line="124" w:lineRule="exact"/>
        <w:rPr>
          <w:rFonts w:ascii="Arial" w:cs="Arial" w:eastAsia="Arial" w:hAnsi="Arial"/>
          <w:sz w:val="13"/>
          <w:szCs w:val="13"/>
          <w:color w:val="010000"/>
        </w:rPr>
      </w:pPr>
    </w:p>
    <w:p>
      <w:pPr>
        <w:ind w:left="1680" w:hanging="243"/>
        <w:spacing w:after="0"/>
        <w:tabs>
          <w:tab w:leader="none" w:pos="1680" w:val="left"/>
        </w:tabs>
        <w:numPr>
          <w:ilvl w:val="0"/>
          <w:numId w:val="69"/>
        </w:numPr>
        <w:rPr>
          <w:rFonts w:ascii="Arial" w:cs="Arial" w:eastAsia="Arial" w:hAnsi="Arial"/>
          <w:sz w:val="13"/>
          <w:szCs w:val="13"/>
          <w:color w:val="010000"/>
        </w:rPr>
      </w:pPr>
      <w:r>
        <w:rPr>
          <w:rFonts w:ascii="Arial" w:cs="Arial" w:eastAsia="Arial" w:hAnsi="Arial"/>
          <w:sz w:val="13"/>
          <w:szCs w:val="13"/>
          <w:color w:val="auto"/>
        </w:rPr>
        <w:t>whether the resulting Borrowing is to be an ABR Borrowing or a Eurodollar Borrowing; and</w:t>
      </w:r>
    </w:p>
    <w:p>
      <w:pPr>
        <w:spacing w:after="0" w:line="124" w:lineRule="exact"/>
        <w:rPr>
          <w:rFonts w:ascii="Arial" w:cs="Arial" w:eastAsia="Arial" w:hAnsi="Arial"/>
          <w:sz w:val="13"/>
          <w:szCs w:val="13"/>
          <w:color w:val="010000"/>
        </w:rPr>
      </w:pPr>
    </w:p>
    <w:p>
      <w:pPr>
        <w:ind w:left="120" w:right="119" w:firstLine="1317"/>
        <w:spacing w:after="0" w:line="239" w:lineRule="auto"/>
        <w:tabs>
          <w:tab w:leader="none" w:pos="1672" w:val="left"/>
        </w:tabs>
        <w:numPr>
          <w:ilvl w:val="0"/>
          <w:numId w:val="69"/>
        </w:numPr>
        <w:rPr>
          <w:rFonts w:ascii="Arial" w:cs="Arial" w:eastAsia="Arial" w:hAnsi="Arial"/>
          <w:sz w:val="13"/>
          <w:szCs w:val="13"/>
          <w:color w:val="010000"/>
        </w:rPr>
      </w:pPr>
      <w:r>
        <w:rPr>
          <w:rFonts w:ascii="Arial" w:cs="Arial" w:eastAsia="Arial" w:hAnsi="Arial"/>
          <w:sz w:val="13"/>
          <w:szCs w:val="13"/>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04" w:lineRule="exact"/>
        <w:rPr>
          <w:sz w:val="20"/>
          <w:szCs w:val="20"/>
          <w:color w:val="auto"/>
        </w:rPr>
      </w:pPr>
    </w:p>
    <w:p>
      <w:pPr>
        <w:ind w:left="120" w:right="119"/>
        <w:spacing w:after="0" w:line="254" w:lineRule="auto"/>
        <w:rPr>
          <w:sz w:val="20"/>
          <w:szCs w:val="20"/>
          <w:color w:val="auto"/>
        </w:rPr>
      </w:pPr>
      <w:r>
        <w:rPr>
          <w:rFonts w:ascii="Arial" w:cs="Arial" w:eastAsia="Arial" w:hAnsi="Arial"/>
          <w:sz w:val="13"/>
          <w:szCs w:val="13"/>
          <w:color w:val="auto"/>
        </w:rPr>
        <w:t>If any such Interest Election Request requests a Eurodollar Borrowing but does not specify an Interest Period, then the Borrower shall be deemed to have selected an Interest Period of one month’s duration.</w:t>
      </w:r>
    </w:p>
    <w:p>
      <w:pPr>
        <w:spacing w:after="0" w:line="103" w:lineRule="exact"/>
        <w:rPr>
          <w:sz w:val="20"/>
          <w:szCs w:val="20"/>
          <w:color w:val="auto"/>
        </w:rPr>
      </w:pPr>
    </w:p>
    <w:p>
      <w:pPr>
        <w:ind w:left="120" w:right="119" w:firstLine="879"/>
        <w:spacing w:after="0" w:line="239" w:lineRule="auto"/>
        <w:tabs>
          <w:tab w:leader="none" w:pos="1197" w:val="left"/>
        </w:tabs>
        <w:numPr>
          <w:ilvl w:val="0"/>
          <w:numId w:val="70"/>
        </w:numPr>
        <w:rPr>
          <w:rFonts w:ascii="Arial" w:cs="Arial" w:eastAsia="Arial" w:hAnsi="Arial"/>
          <w:sz w:val="13"/>
          <w:szCs w:val="13"/>
          <w:color w:val="010000"/>
        </w:rPr>
      </w:pPr>
      <w:r>
        <w:rPr>
          <w:rFonts w:ascii="Arial" w:cs="Arial" w:eastAsia="Arial" w:hAnsi="Arial"/>
          <w:sz w:val="13"/>
          <w:szCs w:val="13"/>
          <w:color w:val="auto"/>
        </w:rPr>
        <w:t>Promptly following receipt of an Interest Election Request, the Administrative Agent shall advise each Lender of the applicable Class of the details thereof and of such Lender’s portion of each resulting Borrowing.</w:t>
      </w:r>
    </w:p>
    <w:p>
      <w:pPr>
        <w:spacing w:after="0" w:line="103" w:lineRule="exact"/>
        <w:rPr>
          <w:rFonts w:ascii="Arial" w:cs="Arial" w:eastAsia="Arial" w:hAnsi="Arial"/>
          <w:sz w:val="13"/>
          <w:szCs w:val="13"/>
          <w:color w:val="010000"/>
        </w:rPr>
      </w:pPr>
    </w:p>
    <w:p>
      <w:pPr>
        <w:jc w:val="both"/>
        <w:ind w:left="120" w:right="119" w:firstLine="879"/>
        <w:spacing w:after="0" w:line="216" w:lineRule="auto"/>
        <w:tabs>
          <w:tab w:leader="none" w:pos="1189" w:val="left"/>
        </w:tabs>
        <w:numPr>
          <w:ilvl w:val="0"/>
          <w:numId w:val="70"/>
        </w:numPr>
        <w:rPr>
          <w:rFonts w:ascii="Arial" w:cs="Arial" w:eastAsia="Arial" w:hAnsi="Arial"/>
          <w:sz w:val="13"/>
          <w:szCs w:val="13"/>
          <w:color w:val="010000"/>
        </w:rPr>
      </w:pPr>
      <w:r>
        <w:rPr>
          <w:rFonts w:ascii="Arial" w:cs="Arial" w:eastAsia="Arial" w:hAnsi="Arial"/>
          <w:sz w:val="13"/>
          <w:szCs w:val="13"/>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94" w:name="page95"/>
    <w:bookmarkEnd w:id="94"/>
    <w:p>
      <w:pPr>
        <w:ind w:left="560"/>
        <w:spacing w:after="0"/>
        <w:rPr>
          <w:sz w:val="20"/>
          <w:szCs w:val="20"/>
          <w:color w:val="auto"/>
        </w:rPr>
      </w:pPr>
      <w:r>
        <w:rPr>
          <w:rFonts w:ascii="Arial" w:cs="Arial" w:eastAsia="Arial" w:hAnsi="Arial"/>
          <w:sz w:val="13"/>
          <w:szCs w:val="13"/>
          <w:u w:val="single" w:color="auto"/>
          <w:color w:val="010000"/>
        </w:rPr>
        <w:t xml:space="preserve">SECTION 2.09 </w:t>
      </w:r>
      <w:r>
        <w:rPr>
          <w:rFonts w:ascii="Arial" w:cs="Arial" w:eastAsia="Arial" w:hAnsi="Arial"/>
          <w:sz w:val="13"/>
          <w:szCs w:val="13"/>
          <w:u w:val="single" w:color="auto"/>
          <w:color w:val="000000"/>
        </w:rPr>
        <w:t>Termination and Reduction of Commitments.</w:t>
      </w:r>
    </w:p>
    <w:p>
      <w:pPr>
        <w:spacing w:after="0" w:line="124" w:lineRule="exact"/>
        <w:rPr>
          <w:sz w:val="20"/>
          <w:szCs w:val="20"/>
          <w:color w:val="auto"/>
        </w:rPr>
      </w:pPr>
    </w:p>
    <w:p>
      <w:pPr>
        <w:ind w:left="120" w:right="119" w:firstLine="879"/>
        <w:spacing w:after="0" w:line="239" w:lineRule="auto"/>
        <w:tabs>
          <w:tab w:leader="none" w:pos="1189" w:val="left"/>
        </w:tabs>
        <w:numPr>
          <w:ilvl w:val="1"/>
          <w:numId w:val="71"/>
        </w:numPr>
        <w:rPr>
          <w:rFonts w:ascii="Arial" w:cs="Arial" w:eastAsia="Arial" w:hAnsi="Arial"/>
          <w:sz w:val="13"/>
          <w:szCs w:val="13"/>
          <w:color w:val="010000"/>
        </w:rPr>
      </w:pPr>
      <w:r>
        <w:rPr>
          <w:rFonts w:ascii="Arial" w:cs="Arial" w:eastAsia="Arial" w:hAnsi="Arial"/>
          <w:sz w:val="13"/>
          <w:szCs w:val="13"/>
          <w:color w:val="auto"/>
        </w:rPr>
        <w:t>Unless previously terminated, (i) the Term A Commitments shall terminate at 5:00 p.m., New York time, on the Effective Date and (ii) all the Revolving Commitments shall terminate on the Revolving Credit Maturity Date.</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1"/>
          <w:numId w:val="71"/>
        </w:numPr>
        <w:rPr>
          <w:rFonts w:ascii="Arial" w:cs="Arial" w:eastAsia="Arial" w:hAnsi="Arial"/>
          <w:sz w:val="13"/>
          <w:szCs w:val="13"/>
          <w:color w:val="010000"/>
        </w:rPr>
      </w:pPr>
      <w:r>
        <w:rPr>
          <w:rFonts w:ascii="Arial" w:cs="Arial" w:eastAsia="Arial" w:hAnsi="Arial"/>
          <w:sz w:val="13"/>
          <w:szCs w:val="13"/>
          <w:color w:val="auto"/>
        </w:rPr>
        <w:t>The Borrower may at any time terminate the Revolving Commitments upon the Payment in Full of the Secured Obligations.</w:t>
      </w:r>
    </w:p>
    <w:p>
      <w:pPr>
        <w:spacing w:after="0" w:line="124"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1"/>
          <w:numId w:val="71"/>
        </w:numPr>
        <w:rPr>
          <w:rFonts w:ascii="Arial" w:cs="Arial" w:eastAsia="Arial" w:hAnsi="Arial"/>
          <w:sz w:val="13"/>
          <w:szCs w:val="13"/>
          <w:color w:val="010000"/>
        </w:rPr>
      </w:pPr>
      <w:r>
        <w:rPr>
          <w:rFonts w:ascii="Arial" w:cs="Arial" w:eastAsia="Arial" w:hAnsi="Arial"/>
          <w:sz w:val="13"/>
          <w:szCs w:val="13"/>
          <w:color w:val="auto"/>
        </w:rPr>
        <w:t xml:space="preserve">The Borrower may from time to time reduce the Revolving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each reduction of the Revolving Commitments shall be in an amount that is an integral multiple of $500,000 and not less than $500,000 and (ii) the Borrower shall not terminate or reduce the Revolving Commitments if, after giving effect to any concurrent prepayment of the Revolving Loans in accordance with Section 2.11, the Aggregate Revolving Exposure would exceed the aggregate Revolving Commitments.</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1"/>
          <w:numId w:val="71"/>
        </w:numPr>
        <w:rPr>
          <w:rFonts w:ascii="Arial" w:cs="Arial" w:eastAsia="Arial" w:hAnsi="Arial"/>
          <w:sz w:val="12"/>
          <w:szCs w:val="12"/>
          <w:color w:val="010000"/>
        </w:rPr>
      </w:pPr>
      <w:r>
        <w:rPr>
          <w:rFonts w:ascii="Arial" w:cs="Arial" w:eastAsia="Arial" w:hAnsi="Arial"/>
          <w:sz w:val="12"/>
          <w:szCs w:val="12"/>
          <w:color w:val="auto"/>
        </w:rPr>
        <w:t>The Borrower shall notify the Administrative Agent of any election to terminate or reduce the Revolving Commitments under paragraph (b) or</w:t>
      </w:r>
    </w:p>
    <w:p>
      <w:pPr>
        <w:spacing w:after="0" w:line="1" w:lineRule="exact"/>
        <w:rPr>
          <w:rFonts w:ascii="Arial" w:cs="Arial" w:eastAsia="Arial" w:hAnsi="Arial"/>
          <w:sz w:val="12"/>
          <w:szCs w:val="12"/>
          <w:color w:val="010000"/>
        </w:rPr>
      </w:pPr>
    </w:p>
    <w:p>
      <w:pPr>
        <w:jc w:val="both"/>
        <w:ind w:left="120" w:right="119" w:firstLine="4"/>
        <w:spacing w:after="0" w:line="212" w:lineRule="auto"/>
        <w:tabs>
          <w:tab w:leader="none" w:pos="319"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Revolving Commitments.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2.10 </w:t>
      </w:r>
      <w:r>
        <w:rPr>
          <w:rFonts w:ascii="Arial" w:cs="Arial" w:eastAsia="Arial" w:hAnsi="Arial"/>
          <w:sz w:val="13"/>
          <w:szCs w:val="13"/>
          <w:u w:val="single" w:color="auto"/>
          <w:color w:val="000000"/>
        </w:rPr>
        <w:t>Repayment and Amortization of Loans; Evidence of Debt.</w:t>
      </w:r>
    </w:p>
    <w:p>
      <w:pPr>
        <w:spacing w:after="0" w:line="124" w:lineRule="exact"/>
        <w:rPr>
          <w:sz w:val="20"/>
          <w:szCs w:val="20"/>
          <w:color w:val="auto"/>
        </w:rPr>
      </w:pPr>
    </w:p>
    <w:p>
      <w:pPr>
        <w:jc w:val="both"/>
        <w:ind w:left="120" w:right="119" w:firstLine="879"/>
        <w:spacing w:after="0" w:line="218" w:lineRule="auto"/>
        <w:tabs>
          <w:tab w:leader="none" w:pos="1189" w:val="left"/>
        </w:tabs>
        <w:numPr>
          <w:ilvl w:val="0"/>
          <w:numId w:val="73"/>
        </w:numPr>
        <w:rPr>
          <w:rFonts w:ascii="Arial" w:cs="Arial" w:eastAsia="Arial" w:hAnsi="Arial"/>
          <w:sz w:val="13"/>
          <w:szCs w:val="13"/>
          <w:color w:val="010000"/>
        </w:rPr>
      </w:pPr>
      <w:r>
        <w:rPr>
          <w:rFonts w:ascii="Arial" w:cs="Arial" w:eastAsia="Arial" w:hAnsi="Arial"/>
          <w:sz w:val="13"/>
          <w:szCs w:val="13"/>
          <w:color w:val="auto"/>
        </w:rPr>
        <w:t xml:space="preserve">The Borrower hereby unconditionally promises to pay (i) to the Administrative Agent for the account of each Revolving Lender the then unpaid principal amount of each Revolving Loan on the Revolving Credit Maturity Date, and (ii) to the Swingline Lender the then unpaid principal amount of each Swingline Loan on the earlier of the Revolving Credit Maturity Date and the fifth Business Day after such Swingline Loan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73"/>
        </w:numPr>
        <w:rPr>
          <w:rFonts w:ascii="Arial" w:cs="Arial" w:eastAsia="Arial" w:hAnsi="Arial"/>
          <w:sz w:val="13"/>
          <w:szCs w:val="13"/>
          <w:color w:val="010000"/>
        </w:rPr>
      </w:pPr>
      <w:r>
        <w:rPr>
          <w:rFonts w:ascii="Arial" w:cs="Arial" w:eastAsia="Arial" w:hAnsi="Arial"/>
          <w:sz w:val="13"/>
          <w:szCs w:val="13"/>
          <w:color w:val="auto"/>
        </w:rPr>
        <w:t>The Borrower hereby unconditionally promises to pay to the Administrative Agent for the account of each Term A Lender on each date set forth below the aggregate principal amount set forth opposite such date (as adjusted from time to time pursuant to Section 2.11(d) or 2.18(b)):</w:t>
      </w:r>
    </w:p>
    <w:p>
      <w:pPr>
        <w:spacing w:after="0" w:line="114" w:lineRule="exact"/>
        <w:rPr>
          <w:sz w:val="20"/>
          <w:szCs w:val="20"/>
          <w:color w:val="auto"/>
        </w:rPr>
      </w:pPr>
    </w:p>
    <w:tbl>
      <w:tblPr>
        <w:tblLayout w:type="fixed"/>
        <w:tblInd w:w="130" w:type="dxa"/>
        <w:tblCellMar>
          <w:top w:w="0" w:type="dxa"/>
          <w:left w:w="0" w:type="dxa"/>
          <w:bottom w:w="0" w:type="dxa"/>
          <w:right w:w="0" w:type="dxa"/>
        </w:tblCellMar>
      </w:tblPr>
      <w:tr>
        <w:trPr>
          <w:trHeight w:val="146"/>
        </w:trPr>
        <w:tc>
          <w:tcPr>
            <w:tcW w:w="3400" w:type="dxa"/>
            <w:vAlign w:val="bottom"/>
            <w:tcBorders>
              <w:top w:val="single" w:sz="8" w:color="auto"/>
              <w:left w:val="single" w:sz="8" w:color="auto"/>
              <w:bottom w:val="single" w:sz="8" w:color="auto"/>
            </w:tcBorders>
          </w:tcPr>
          <w:p>
            <w:pPr>
              <w:ind w:left="2220"/>
              <w:spacing w:after="0" w:line="147" w:lineRule="exact"/>
              <w:rPr>
                <w:sz w:val="20"/>
                <w:szCs w:val="20"/>
                <w:color w:val="auto"/>
              </w:rPr>
            </w:pPr>
            <w:r>
              <w:rPr>
                <w:rFonts w:ascii="Arial" w:cs="Arial" w:eastAsia="Arial" w:hAnsi="Arial"/>
                <w:sz w:val="13"/>
                <w:szCs w:val="13"/>
                <w:b w:val="1"/>
                <w:bCs w:val="1"/>
                <w:color w:val="auto"/>
              </w:rPr>
              <w:t>Date</w:t>
            </w:r>
          </w:p>
        </w:tc>
        <w:tc>
          <w:tcPr>
            <w:tcW w:w="1320" w:type="dxa"/>
            <w:vAlign w:val="bottom"/>
            <w:tcBorders>
              <w:top w:val="single" w:sz="8" w:color="auto"/>
              <w:bottom w:val="single" w:sz="8" w:color="auto"/>
              <w:right w:val="single" w:sz="8" w:color="auto"/>
            </w:tcBorders>
          </w:tcPr>
          <w:p>
            <w:pPr>
              <w:spacing w:after="0"/>
              <w:rPr>
                <w:sz w:val="12"/>
                <w:szCs w:val="12"/>
                <w:color w:val="auto"/>
              </w:rPr>
            </w:pPr>
          </w:p>
        </w:tc>
        <w:tc>
          <w:tcPr>
            <w:tcW w:w="2320" w:type="dxa"/>
            <w:vAlign w:val="bottom"/>
            <w:tcBorders>
              <w:top w:val="single" w:sz="8" w:color="auto"/>
              <w:bottom w:val="single" w:sz="8" w:color="auto"/>
              <w:right w:val="single" w:sz="8" w:color="auto"/>
            </w:tcBorders>
          </w:tcPr>
          <w:p>
            <w:pPr>
              <w:ind w:left="900"/>
              <w:spacing w:after="0" w:line="147" w:lineRule="exact"/>
              <w:rPr>
                <w:sz w:val="20"/>
                <w:szCs w:val="20"/>
                <w:color w:val="auto"/>
              </w:rPr>
            </w:pPr>
            <w:r>
              <w:rPr>
                <w:rFonts w:ascii="Arial" w:cs="Arial" w:eastAsia="Arial" w:hAnsi="Arial"/>
                <w:sz w:val="13"/>
                <w:szCs w:val="13"/>
                <w:b w:val="1"/>
                <w:bCs w:val="1"/>
                <w:color w:val="auto"/>
              </w:rPr>
              <w:t>Amount</w:t>
            </w:r>
          </w:p>
        </w:tc>
        <w:tc>
          <w:tcPr>
            <w:tcW w:w="1740" w:type="dxa"/>
            <w:vAlign w:val="bottom"/>
          </w:tcPr>
          <w:p>
            <w:pPr>
              <w:spacing w:after="0"/>
              <w:rPr>
                <w:sz w:val="12"/>
                <w:szCs w:val="12"/>
                <w:color w:val="auto"/>
              </w:rPr>
            </w:pPr>
          </w:p>
        </w:tc>
      </w:tr>
      <w:tr>
        <w:trPr>
          <w:trHeight w:val="126"/>
        </w:trPr>
        <w:tc>
          <w:tcPr>
            <w:tcW w:w="3400" w:type="dxa"/>
            <w:vAlign w:val="bottom"/>
            <w:tcBorders>
              <w:left w:val="single" w:sz="8" w:color="auto"/>
              <w:bottom w:val="single" w:sz="8" w:color="auto"/>
            </w:tcBorders>
          </w:tcPr>
          <w:p>
            <w:pPr>
              <w:ind w:left="100"/>
              <w:spacing w:after="0" w:line="126" w:lineRule="exact"/>
              <w:rPr>
                <w:sz w:val="20"/>
                <w:szCs w:val="20"/>
                <w:color w:val="auto"/>
              </w:rPr>
            </w:pPr>
            <w:r>
              <w:rPr>
                <w:rFonts w:ascii="Arial" w:cs="Arial" w:eastAsia="Arial" w:hAnsi="Arial"/>
                <w:sz w:val="13"/>
                <w:szCs w:val="13"/>
                <w:color w:val="auto"/>
              </w:rPr>
              <w:t>December 31, 2017</w:t>
            </w:r>
          </w:p>
        </w:tc>
        <w:tc>
          <w:tcPr>
            <w:tcW w:w="13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4"/>
              </w:rPr>
              <w:t>$416,666.67</w:t>
            </w:r>
          </w:p>
        </w:tc>
        <w:tc>
          <w:tcPr>
            <w:tcW w:w="1740" w:type="dxa"/>
            <w:vAlign w:val="bottom"/>
          </w:tcPr>
          <w:p>
            <w:pPr>
              <w:spacing w:after="0"/>
              <w:rPr>
                <w:sz w:val="10"/>
                <w:szCs w:val="10"/>
                <w:color w:val="auto"/>
              </w:rPr>
            </w:pPr>
          </w:p>
        </w:tc>
      </w:tr>
      <w:tr>
        <w:trPr>
          <w:trHeight w:val="126"/>
        </w:trPr>
        <w:tc>
          <w:tcPr>
            <w:tcW w:w="3400" w:type="dxa"/>
            <w:vAlign w:val="bottom"/>
            <w:tcBorders>
              <w:left w:val="single" w:sz="8" w:color="auto"/>
              <w:bottom w:val="single" w:sz="8" w:color="auto"/>
            </w:tcBorders>
          </w:tcPr>
          <w:p>
            <w:pPr>
              <w:ind w:left="100"/>
              <w:spacing w:after="0" w:line="126" w:lineRule="exact"/>
              <w:rPr>
                <w:sz w:val="20"/>
                <w:szCs w:val="20"/>
                <w:color w:val="auto"/>
              </w:rPr>
            </w:pPr>
            <w:r>
              <w:rPr>
                <w:rFonts w:ascii="Arial" w:cs="Arial" w:eastAsia="Arial" w:hAnsi="Arial"/>
                <w:sz w:val="13"/>
                <w:szCs w:val="13"/>
                <w:color w:val="auto"/>
              </w:rPr>
              <w:t>March 31, 2018</w:t>
            </w:r>
          </w:p>
        </w:tc>
        <w:tc>
          <w:tcPr>
            <w:tcW w:w="13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1740" w:type="dxa"/>
            <w:vAlign w:val="bottom"/>
          </w:tcPr>
          <w:p>
            <w:pPr>
              <w:spacing w:after="0"/>
              <w:rPr>
                <w:sz w:val="10"/>
                <w:szCs w:val="10"/>
                <w:color w:val="auto"/>
              </w:rPr>
            </w:pPr>
          </w:p>
        </w:tc>
      </w:tr>
      <w:tr>
        <w:trPr>
          <w:trHeight w:val="126"/>
        </w:trPr>
        <w:tc>
          <w:tcPr>
            <w:tcW w:w="3400" w:type="dxa"/>
            <w:vAlign w:val="bottom"/>
            <w:tcBorders>
              <w:left w:val="single" w:sz="8" w:color="auto"/>
              <w:bottom w:val="single" w:sz="8" w:color="auto"/>
            </w:tcBorders>
          </w:tcPr>
          <w:p>
            <w:pPr>
              <w:ind w:left="100"/>
              <w:spacing w:after="0" w:line="126" w:lineRule="exact"/>
              <w:rPr>
                <w:sz w:val="20"/>
                <w:szCs w:val="20"/>
                <w:color w:val="auto"/>
              </w:rPr>
            </w:pPr>
            <w:r>
              <w:rPr>
                <w:rFonts w:ascii="Arial" w:cs="Arial" w:eastAsia="Arial" w:hAnsi="Arial"/>
                <w:sz w:val="13"/>
                <w:szCs w:val="13"/>
                <w:color w:val="auto"/>
              </w:rPr>
              <w:t>June 30, 2018</w:t>
            </w:r>
          </w:p>
        </w:tc>
        <w:tc>
          <w:tcPr>
            <w:tcW w:w="13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1740" w:type="dxa"/>
            <w:vAlign w:val="bottom"/>
          </w:tcPr>
          <w:p>
            <w:pPr>
              <w:spacing w:after="0"/>
              <w:rPr>
                <w:sz w:val="10"/>
                <w:szCs w:val="10"/>
                <w:color w:val="auto"/>
              </w:rPr>
            </w:pPr>
          </w:p>
        </w:tc>
      </w:tr>
      <w:tr>
        <w:trPr>
          <w:trHeight w:val="126"/>
        </w:trPr>
        <w:tc>
          <w:tcPr>
            <w:tcW w:w="3400" w:type="dxa"/>
            <w:vAlign w:val="bottom"/>
            <w:tcBorders>
              <w:left w:val="single" w:sz="8" w:color="auto"/>
              <w:bottom w:val="single" w:sz="8" w:color="auto"/>
            </w:tcBorders>
          </w:tcPr>
          <w:p>
            <w:pPr>
              <w:ind w:left="100"/>
              <w:spacing w:after="0" w:line="126" w:lineRule="exact"/>
              <w:rPr>
                <w:sz w:val="20"/>
                <w:szCs w:val="20"/>
                <w:color w:val="auto"/>
              </w:rPr>
            </w:pPr>
            <w:r>
              <w:rPr>
                <w:rFonts w:ascii="Arial" w:cs="Arial" w:eastAsia="Arial" w:hAnsi="Arial"/>
                <w:sz w:val="13"/>
                <w:szCs w:val="13"/>
                <w:color w:val="auto"/>
              </w:rPr>
              <w:t>September 30, 2018</w:t>
            </w:r>
          </w:p>
        </w:tc>
        <w:tc>
          <w:tcPr>
            <w:tcW w:w="13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1740" w:type="dxa"/>
            <w:vAlign w:val="bottom"/>
          </w:tcPr>
          <w:p>
            <w:pPr>
              <w:spacing w:after="0"/>
              <w:rPr>
                <w:sz w:val="10"/>
                <w:szCs w:val="10"/>
                <w:color w:val="auto"/>
              </w:rPr>
            </w:pPr>
          </w:p>
        </w:tc>
      </w:tr>
      <w:tr>
        <w:trPr>
          <w:trHeight w:val="430"/>
        </w:trPr>
        <w:tc>
          <w:tcPr>
            <w:tcW w:w="3400" w:type="dxa"/>
            <w:vAlign w:val="bottom"/>
          </w:tcPr>
          <w:p>
            <w:pPr>
              <w:spacing w:after="0"/>
              <w:rPr>
                <w:sz w:val="24"/>
                <w:szCs w:val="24"/>
                <w:color w:val="auto"/>
              </w:rPr>
            </w:pPr>
          </w:p>
        </w:tc>
        <w:tc>
          <w:tcPr>
            <w:tcW w:w="1320" w:type="dxa"/>
            <w:vAlign w:val="bottom"/>
          </w:tcPr>
          <w:p>
            <w:pPr>
              <w:jc w:val="right"/>
              <w:ind w:right="193"/>
              <w:spacing w:after="0"/>
              <w:rPr>
                <w:sz w:val="20"/>
                <w:szCs w:val="20"/>
                <w:color w:val="auto"/>
              </w:rPr>
            </w:pPr>
            <w:r>
              <w:rPr>
                <w:rFonts w:ascii="Arial" w:cs="Arial" w:eastAsia="Arial" w:hAnsi="Arial"/>
                <w:sz w:val="13"/>
                <w:szCs w:val="13"/>
                <w:color w:val="auto"/>
              </w:rPr>
              <w:t>39</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1"/>
        </w:trPr>
        <w:tc>
          <w:tcPr>
            <w:tcW w:w="3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346" w:right="1440" w:bottom="1440" w:gutter="0" w:footer="0" w:header="0"/>
        </w:sectPr>
      </w:pPr>
    </w:p>
    <w:bookmarkStart w:id="95" w:name="page96"/>
    <w:bookmarkEnd w:id="95"/>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46"/>
        </w:trPr>
        <w:tc>
          <w:tcPr>
            <w:tcW w:w="4720" w:type="dxa"/>
            <w:vAlign w:val="bottom"/>
            <w:tcBorders>
              <w:top w:val="single" w:sz="8" w:color="auto"/>
              <w:left w:val="single" w:sz="8" w:color="auto"/>
              <w:bottom w:val="single" w:sz="8" w:color="auto"/>
              <w:right w:val="single" w:sz="8" w:color="auto"/>
            </w:tcBorders>
          </w:tcPr>
          <w:p>
            <w:pPr>
              <w:ind w:left="2220"/>
              <w:spacing w:after="0" w:line="147" w:lineRule="exact"/>
              <w:rPr>
                <w:sz w:val="20"/>
                <w:szCs w:val="20"/>
                <w:color w:val="auto"/>
              </w:rPr>
            </w:pPr>
            <w:r>
              <w:rPr>
                <w:rFonts w:ascii="Arial" w:cs="Arial" w:eastAsia="Arial" w:hAnsi="Arial"/>
                <w:sz w:val="13"/>
                <w:szCs w:val="13"/>
                <w:b w:val="1"/>
                <w:bCs w:val="1"/>
                <w:color w:val="auto"/>
              </w:rPr>
              <w:t>Date</w:t>
            </w:r>
          </w:p>
        </w:tc>
        <w:tc>
          <w:tcPr>
            <w:tcW w:w="2320" w:type="dxa"/>
            <w:vAlign w:val="bottom"/>
            <w:tcBorders>
              <w:top w:val="single" w:sz="8" w:color="auto"/>
              <w:bottom w:val="single" w:sz="8" w:color="auto"/>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0"/>
        </w:trPr>
        <w:tc>
          <w:tcPr>
            <w:tcW w:w="47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December 31, 2018</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$625,000</w:t>
            </w:r>
          </w:p>
        </w:tc>
        <w:tc>
          <w:tcPr>
            <w:tcW w:w="0" w:type="dxa"/>
            <w:vAlign w:val="bottom"/>
          </w:tcPr>
          <w:p>
            <w:pPr>
              <w:spacing w:after="0"/>
              <w:rPr>
                <w:sz w:val="1"/>
                <w:szCs w:val="1"/>
                <w:color w:val="auto"/>
              </w:rPr>
            </w:pPr>
          </w:p>
        </w:tc>
      </w:tr>
      <w:tr>
        <w:trPr>
          <w:trHeight w:val="79"/>
        </w:trPr>
        <w:tc>
          <w:tcPr>
            <w:tcW w:w="4720" w:type="dxa"/>
            <w:vAlign w:val="bottom"/>
            <w:tcBorders>
              <w:left w:val="single" w:sz="8" w:color="auto"/>
              <w:right w:val="single" w:sz="8" w:color="auto"/>
            </w:tcBorders>
            <w:vMerge w:val="continue"/>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720" w:type="dxa"/>
            <w:vAlign w:val="bottom"/>
            <w:tcBorders>
              <w:left w:val="single" w:sz="8" w:color="auto"/>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March 31, 2019</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June 30, 2019</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September 30, 2019</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$625,000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December 31, 2019</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March 31, 2020</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June 30, 2020</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September 30, 2020</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December 31, 2020</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March 31, 2021</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June 30, 2021</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September 30, 2021</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$937,500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December 31, 2021</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$1,250,000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March 31, 2022</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$1,250,000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June 30, 2022</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$1,250,000</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September 30, 2022</w:t>
            </w:r>
          </w:p>
        </w:tc>
        <w:tc>
          <w:tcPr>
            <w:tcW w:w="23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$1,250,000</w:t>
            </w:r>
          </w:p>
        </w:tc>
        <w:tc>
          <w:tcPr>
            <w:tcW w:w="0" w:type="dxa"/>
            <w:vAlign w:val="bottom"/>
          </w:tcPr>
          <w:p>
            <w:pPr>
              <w:spacing w:after="0"/>
              <w:rPr>
                <w:sz w:val="1"/>
                <w:szCs w:val="1"/>
                <w:color w:val="auto"/>
              </w:rPr>
            </w:pPr>
          </w:p>
        </w:tc>
      </w:tr>
      <w:tr>
        <w:trPr>
          <w:trHeight w:val="104"/>
        </w:trPr>
        <w:tc>
          <w:tcPr>
            <w:tcW w:w="472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2"/>
                <w:szCs w:val="12"/>
                <w:color w:val="auto"/>
              </w:rPr>
              <w:t>Term A Maturity Date</w:t>
            </w:r>
          </w:p>
        </w:tc>
        <w:tc>
          <w:tcPr>
            <w:tcW w:w="23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The entire unpaid principal amount of</w:t>
            </w:r>
          </w:p>
        </w:tc>
        <w:tc>
          <w:tcPr>
            <w:tcW w:w="0" w:type="dxa"/>
            <w:vAlign w:val="bottom"/>
          </w:tcPr>
          <w:p>
            <w:pPr>
              <w:spacing w:after="0"/>
              <w:rPr>
                <w:sz w:val="1"/>
                <w:szCs w:val="1"/>
                <w:color w:val="auto"/>
              </w:rPr>
            </w:pPr>
          </w:p>
        </w:tc>
      </w:tr>
      <w:tr>
        <w:trPr>
          <w:trHeight w:val="158"/>
        </w:trPr>
        <w:tc>
          <w:tcPr>
            <w:tcW w:w="4720" w:type="dxa"/>
            <w:vAlign w:val="bottom"/>
            <w:tcBorders>
              <w:left w:val="single" w:sz="8" w:color="auto"/>
              <w:bottom w:val="single" w:sz="8" w:color="auto"/>
              <w:right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all Term A Loans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19" w:firstLine="4"/>
        <w:spacing w:after="0" w:line="254" w:lineRule="auto"/>
        <w:tabs>
          <w:tab w:leader="none" w:pos="195" w:val="left"/>
        </w:tabs>
        <w:numPr>
          <w:ilvl w:val="0"/>
          <w:numId w:val="74"/>
        </w:numPr>
        <w:rPr>
          <w:rFonts w:ascii="Arial" w:cs="Arial" w:eastAsia="Arial" w:hAnsi="Arial"/>
          <w:sz w:val="13"/>
          <w:szCs w:val="13"/>
          <w:color w:val="auto"/>
        </w:rPr>
      </w:pPr>
      <w:r>
        <w:rPr>
          <w:rFonts w:ascii="Arial" w:cs="Arial" w:eastAsia="Arial" w:hAnsi="Arial"/>
          <w:sz w:val="13"/>
          <w:szCs w:val="13"/>
          <w:color w:val="auto"/>
        </w:rPr>
        <w:t>provided if any date set forth above is not a Business Day, then payment shall be due and payable on the Business Day immediately preceding such date. To the extent not previously paid, all unpaid Term A Loans shall be paid in full in cash by the Borrower on the Term A Maturity Date.</w:t>
      </w:r>
    </w:p>
    <w:p>
      <w:pPr>
        <w:spacing w:after="0" w:line="103" w:lineRule="exact"/>
        <w:rPr>
          <w:rFonts w:ascii="Arial" w:cs="Arial" w:eastAsia="Arial" w:hAnsi="Arial"/>
          <w:sz w:val="13"/>
          <w:szCs w:val="13"/>
          <w:color w:val="auto"/>
        </w:rPr>
      </w:pPr>
    </w:p>
    <w:p>
      <w:pPr>
        <w:jc w:val="both"/>
        <w:ind w:left="120" w:right="119" w:firstLine="879"/>
        <w:spacing w:after="0" w:line="218" w:lineRule="auto"/>
        <w:tabs>
          <w:tab w:leader="none" w:pos="1189" w:val="left"/>
        </w:tabs>
        <w:numPr>
          <w:ilvl w:val="1"/>
          <w:numId w:val="74"/>
        </w:numPr>
        <w:rPr>
          <w:rFonts w:ascii="Arial" w:cs="Arial" w:eastAsia="Arial" w:hAnsi="Arial"/>
          <w:sz w:val="13"/>
          <w:szCs w:val="13"/>
          <w:color w:val="010000"/>
        </w:rPr>
      </w:pPr>
      <w:r>
        <w:rPr>
          <w:rFonts w:ascii="Arial" w:cs="Arial" w:eastAsia="Arial" w:hAnsi="Arial"/>
          <w:sz w:val="13"/>
          <w:szCs w:val="13"/>
          <w:color w:val="auto"/>
        </w:rPr>
        <w:t>Prior to any repayment of any Term Loan Borrowings of any Class, if applicable, under this Section, the Borrower shall select the Borrowing or Borrowings of the applicable Class to be repaid and shall notify the Administrative Agent by telephone (confirmed by fax) of such selection not later than noon, New York time, three (3) Business Days before the scheduled date of such repayment. Each repayment of a Term Loan Borrowing of any Class shall be applied ratably to the Loans included in the repaid Term Loan Borrowing. Repayments of Term Loan Borrowings shall be accompanied by accrued interest on the amounts repaid.</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1"/>
          <w:numId w:val="74"/>
        </w:numPr>
        <w:rPr>
          <w:rFonts w:ascii="Arial" w:cs="Arial" w:eastAsia="Arial" w:hAnsi="Arial"/>
          <w:sz w:val="13"/>
          <w:szCs w:val="13"/>
          <w:color w:val="010000"/>
        </w:rPr>
      </w:pPr>
      <w:r>
        <w:rPr>
          <w:rFonts w:ascii="Arial" w:cs="Arial" w:eastAsia="Arial" w:hAnsi="Arial"/>
          <w:sz w:val="13"/>
          <w:szCs w:val="13"/>
          <w:color w:val="auto"/>
        </w:rPr>
        <w:t>Each Lender shall maintain in accordance with its usual practice an account or accounts evidencing the Indebtedness of the Borrower to such Lender resulting from each Loan made by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96" w:name="page97"/>
    <w:bookmarkEnd w:id="96"/>
    <w:p>
      <w:pPr>
        <w:ind w:left="120"/>
        <w:spacing w:after="0"/>
        <w:rPr>
          <w:sz w:val="20"/>
          <w:szCs w:val="20"/>
          <w:color w:val="auto"/>
        </w:rPr>
      </w:pPr>
      <w:r>
        <w:rPr>
          <w:rFonts w:ascii="Arial" w:cs="Arial" w:eastAsia="Arial" w:hAnsi="Arial"/>
          <w:sz w:val="13"/>
          <w:szCs w:val="13"/>
          <w:color w:val="auto"/>
        </w:rPr>
        <w:t>such Lender, including the amounts of principal and interest payable and paid to such Lender from time to time hereunder.</w:t>
      </w:r>
    </w:p>
    <w:p>
      <w:pPr>
        <w:spacing w:after="0" w:line="124" w:lineRule="exact"/>
        <w:rPr>
          <w:sz w:val="20"/>
          <w:szCs w:val="20"/>
          <w:color w:val="auto"/>
        </w:rPr>
      </w:pPr>
    </w:p>
    <w:p>
      <w:pPr>
        <w:jc w:val="both"/>
        <w:ind w:left="120" w:right="119" w:firstLine="879"/>
        <w:spacing w:after="0" w:line="222" w:lineRule="auto"/>
        <w:tabs>
          <w:tab w:leader="none" w:pos="1189" w:val="left"/>
        </w:tabs>
        <w:numPr>
          <w:ilvl w:val="0"/>
          <w:numId w:val="75"/>
        </w:numPr>
        <w:rPr>
          <w:rFonts w:ascii="Arial" w:cs="Arial" w:eastAsia="Arial" w:hAnsi="Arial"/>
          <w:sz w:val="13"/>
          <w:szCs w:val="13"/>
          <w:color w:val="010000"/>
        </w:rPr>
      </w:pPr>
      <w:r>
        <w:rPr>
          <w:rFonts w:ascii="Arial" w:cs="Arial" w:eastAsia="Arial" w:hAnsi="Arial"/>
          <w:sz w:val="13"/>
          <w:szCs w:val="13"/>
          <w:color w:val="auto"/>
        </w:rPr>
        <w:t>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75" w:val="left"/>
        </w:tabs>
        <w:numPr>
          <w:ilvl w:val="0"/>
          <w:numId w:val="75"/>
        </w:numPr>
        <w:rPr>
          <w:rFonts w:ascii="Arial" w:cs="Arial" w:eastAsia="Arial" w:hAnsi="Arial"/>
          <w:sz w:val="13"/>
          <w:szCs w:val="13"/>
          <w:color w:val="010000"/>
        </w:rPr>
      </w:pPr>
      <w:r>
        <w:rPr>
          <w:rFonts w:ascii="Arial" w:cs="Arial" w:eastAsia="Arial" w:hAnsi="Arial"/>
          <w:sz w:val="13"/>
          <w:szCs w:val="13"/>
          <w:color w:val="auto"/>
        </w:rPr>
        <w:t xml:space="preserve">The entries made in the accounts maintained pursuant to paragraph (d) or (e) of this Section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02" w:lineRule="exact"/>
        <w:rPr>
          <w:rFonts w:ascii="Arial" w:cs="Arial" w:eastAsia="Arial" w:hAnsi="Arial"/>
          <w:sz w:val="13"/>
          <w:szCs w:val="13"/>
          <w:color w:val="010000"/>
        </w:rPr>
      </w:pPr>
    </w:p>
    <w:p>
      <w:pPr>
        <w:jc w:val="both"/>
        <w:ind w:left="120" w:right="119" w:firstLine="879"/>
        <w:spacing w:after="0" w:line="222" w:lineRule="auto"/>
        <w:tabs>
          <w:tab w:leader="none" w:pos="1197" w:val="left"/>
        </w:tabs>
        <w:numPr>
          <w:ilvl w:val="0"/>
          <w:numId w:val="75"/>
        </w:numPr>
        <w:rPr>
          <w:rFonts w:ascii="Arial" w:cs="Arial" w:eastAsia="Arial" w:hAnsi="Arial"/>
          <w:sz w:val="13"/>
          <w:szCs w:val="13"/>
          <w:color w:val="010000"/>
        </w:rPr>
      </w:pPr>
      <w:r>
        <w:rPr>
          <w:rFonts w:ascii="Arial" w:cs="Arial" w:eastAsia="Arial" w:hAnsi="Arial"/>
          <w:sz w:val="13"/>
          <w:szCs w:val="13"/>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2.11 </w:t>
      </w:r>
      <w:r>
        <w:rPr>
          <w:rFonts w:ascii="Arial" w:cs="Arial" w:eastAsia="Arial" w:hAnsi="Arial"/>
          <w:sz w:val="13"/>
          <w:szCs w:val="13"/>
          <w:u w:val="single" w:color="auto"/>
          <w:color w:val="000000"/>
        </w:rPr>
        <w:t>Prepayment of Loans.</w:t>
      </w:r>
    </w:p>
    <w:p>
      <w:pPr>
        <w:spacing w:after="0" w:line="124" w:lineRule="exact"/>
        <w:rPr>
          <w:sz w:val="20"/>
          <w:szCs w:val="20"/>
          <w:color w:val="auto"/>
        </w:rPr>
      </w:pPr>
    </w:p>
    <w:p>
      <w:pPr>
        <w:ind w:left="120" w:right="119" w:firstLine="879"/>
        <w:spacing w:after="0" w:line="239" w:lineRule="auto"/>
        <w:tabs>
          <w:tab w:leader="none" w:pos="1189" w:val="left"/>
        </w:tabs>
        <w:numPr>
          <w:ilvl w:val="0"/>
          <w:numId w:val="76"/>
        </w:numPr>
        <w:rPr>
          <w:rFonts w:ascii="Arial" w:cs="Arial" w:eastAsia="Arial" w:hAnsi="Arial"/>
          <w:sz w:val="13"/>
          <w:szCs w:val="13"/>
          <w:color w:val="010000"/>
        </w:rPr>
      </w:pPr>
      <w:r>
        <w:rPr>
          <w:rFonts w:ascii="Arial" w:cs="Arial" w:eastAsia="Arial" w:hAnsi="Arial"/>
          <w:sz w:val="13"/>
          <w:szCs w:val="13"/>
          <w:color w:val="auto"/>
        </w:rPr>
        <w:t>The Borrower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76"/>
        </w:numPr>
        <w:rPr>
          <w:rFonts w:ascii="Arial" w:cs="Arial" w:eastAsia="Arial" w:hAnsi="Arial"/>
          <w:sz w:val="13"/>
          <w:szCs w:val="13"/>
          <w:color w:val="010000"/>
        </w:rPr>
      </w:pPr>
      <w:r>
        <w:rPr>
          <w:rFonts w:ascii="Arial" w:cs="Arial" w:eastAsia="Arial" w:hAnsi="Arial"/>
          <w:sz w:val="13"/>
          <w:szCs w:val="13"/>
          <w:color w:val="auto"/>
        </w:rPr>
        <w:t>In the event and on such occasion that the Aggregate Revolving Exposure exceeds the aggregate Revolving Commitments, the Borrower shall prepay the Revolving Loans, the LC Exposure and the Swingline Loans (or, if no such Borrowings are outstanding, deposit cash collateral in the LC Collateral Account in an aggregate amount equal to such excess, in accordance with Section 2.06(j)).</w:t>
      </w:r>
    </w:p>
    <w:p>
      <w:pPr>
        <w:spacing w:after="0" w:line="102" w:lineRule="exact"/>
        <w:rPr>
          <w:rFonts w:ascii="Arial" w:cs="Arial" w:eastAsia="Arial" w:hAnsi="Arial"/>
          <w:sz w:val="13"/>
          <w:szCs w:val="13"/>
          <w:color w:val="010000"/>
        </w:rPr>
      </w:pPr>
    </w:p>
    <w:p>
      <w:pPr>
        <w:jc w:val="both"/>
        <w:ind w:left="120" w:right="119" w:firstLine="879"/>
        <w:spacing w:after="0" w:line="133" w:lineRule="exact"/>
        <w:tabs>
          <w:tab w:leader="none" w:pos="1189" w:val="left"/>
        </w:tabs>
        <w:numPr>
          <w:ilvl w:val="0"/>
          <w:numId w:val="76"/>
        </w:numPr>
        <w:rPr>
          <w:rFonts w:ascii="Arial" w:cs="Arial" w:eastAsia="Arial" w:hAnsi="Arial"/>
          <w:sz w:val="12"/>
          <w:szCs w:val="12"/>
          <w:color w:val="010000"/>
        </w:rPr>
      </w:pPr>
      <w:r>
        <w:rPr>
          <w:rFonts w:ascii="Arial" w:cs="Arial" w:eastAsia="Arial" w:hAnsi="Arial"/>
          <w:sz w:val="12"/>
          <w:szCs w:val="12"/>
          <w:color w:val="auto"/>
        </w:rPr>
        <w:t>In the event and on each occasion that any Net Proceeds are received by or on behalf of any other Loan Party or any Subsidiary in respect of any Prepayment Event, the Borrower shall, immediately after such Net Proceeds are received by any other Loan Party or Subsidiary, prepay the Obligations and cash collateralize the LC Exposure as set forth in Section 2.11(d) below in an aggregate amount equal to 100% of such Net Proceeds, provided that, in the case of any event described in clause (a) or (b) of the definition of the term “Prepayment Event”, if the Borrower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real property, equipment or other tangible assets (excluding inventory) to be used in the business of the Loan Parties, and certifying that no Event of Default has occurred and is continuing, then no prepayment shall be required pursuant to this paragraph in respect of the Net Proceeds specified in such certificate, provided that to the extent of any such Net Proceeds that have not been so applied by the end of such 180</w:t>
      </w:r>
      <w:r>
        <w:rPr>
          <w:rFonts w:ascii="MS PGothic" w:cs="MS PGothic" w:eastAsia="MS PGothic" w:hAnsi="MS PGothic"/>
          <w:sz w:val="12"/>
          <w:szCs w:val="12"/>
          <w:color w:val="auto"/>
        </w:rPr>
        <w:t>‑</w:t>
      </w:r>
      <w:r>
        <w:rPr>
          <w:rFonts w:ascii="Arial" w:cs="Arial" w:eastAsia="Arial" w:hAnsi="Arial"/>
          <w:sz w:val="12"/>
          <w:szCs w:val="12"/>
          <w:color w:val="auto"/>
        </w:rPr>
        <w:t>day period, a prepayment shall be required at such time in an amount equal to such Net Proceeds that have not been so applied.</w:t>
      </w:r>
    </w:p>
    <w:p>
      <w:pPr>
        <w:spacing w:after="0" w:line="104" w:lineRule="exact"/>
        <w:rPr>
          <w:rFonts w:ascii="Arial" w:cs="Arial" w:eastAsia="Arial" w:hAnsi="Arial"/>
          <w:sz w:val="12"/>
          <w:szCs w:val="12"/>
          <w:color w:val="010000"/>
        </w:rPr>
      </w:pPr>
    </w:p>
    <w:p>
      <w:pPr>
        <w:ind w:left="120" w:right="119" w:firstLine="879"/>
        <w:spacing w:after="0" w:line="279" w:lineRule="auto"/>
        <w:tabs>
          <w:tab w:leader="none" w:pos="1197" w:val="left"/>
        </w:tabs>
        <w:numPr>
          <w:ilvl w:val="0"/>
          <w:numId w:val="76"/>
        </w:numPr>
        <w:rPr>
          <w:rFonts w:ascii="Arial" w:cs="Arial" w:eastAsia="Arial" w:hAnsi="Arial"/>
          <w:sz w:val="12"/>
          <w:szCs w:val="12"/>
          <w:color w:val="010000"/>
        </w:rPr>
      </w:pPr>
      <w:r>
        <w:rPr>
          <w:rFonts w:ascii="Arial" w:cs="Arial" w:eastAsia="Arial" w:hAnsi="Arial"/>
          <w:sz w:val="12"/>
          <w:szCs w:val="12"/>
          <w:color w:val="auto"/>
        </w:rPr>
        <w:t xml:space="preserve">All prepayments required to be made pursuant to Section 2.11(c) shall be applied,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prepay the Term Loans (and in the event Term Loans of more than one Class shall be outstanding at the time, shall be allocated among the Term Loans pro rata based on the aggregate principal amounts of</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97" w:name="page98"/>
    <w:bookmarkEnd w:id="97"/>
    <w:p>
      <w:pPr>
        <w:jc w:val="both"/>
        <w:ind w:left="120" w:right="119"/>
        <w:spacing w:after="0" w:line="241" w:lineRule="auto"/>
        <w:rPr>
          <w:sz w:val="20"/>
          <w:szCs w:val="20"/>
          <w:color w:val="auto"/>
        </w:rPr>
      </w:pPr>
      <w:r>
        <w:rPr>
          <w:rFonts w:ascii="Arial" w:cs="Arial" w:eastAsia="Arial" w:hAnsi="Arial"/>
          <w:sz w:val="12"/>
          <w:szCs w:val="12"/>
          <w:color w:val="auto"/>
        </w:rPr>
        <w:t xml:space="preserve">outstanding Term Loans of each such Class) as so allocated, and shall be applied to reduce the subsequent scheduled repayments of Term Loans of each Class to be made pursuant to Section 2.10 ratably based on the amount of such scheduled repayments and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prepay the Revolving Loans (including Swingline Loans) without a corresponding reduction in the Revolving Commitments and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repay the outstanding LC Exposure (or, if no such Borrowings are outstanding deposit cash collateral in the LC Collateral Account in an aggregate amount equal to such excess in accordance with Section 2.06(j)).</w:t>
      </w:r>
    </w:p>
    <w:p>
      <w:pPr>
        <w:spacing w:after="0" w:line="102" w:lineRule="exact"/>
        <w:rPr>
          <w:sz w:val="20"/>
          <w:szCs w:val="20"/>
          <w:color w:val="auto"/>
        </w:rPr>
      </w:pPr>
    </w:p>
    <w:p>
      <w:pPr>
        <w:jc w:val="both"/>
        <w:ind w:left="120" w:right="119" w:firstLine="879"/>
        <w:spacing w:after="0" w:line="229" w:lineRule="auto"/>
        <w:tabs>
          <w:tab w:leader="none" w:pos="1189" w:val="left"/>
        </w:tabs>
        <w:numPr>
          <w:ilvl w:val="1"/>
          <w:numId w:val="77"/>
        </w:numPr>
        <w:rPr>
          <w:rFonts w:ascii="Arial" w:cs="Arial" w:eastAsia="Arial" w:hAnsi="Arial"/>
          <w:sz w:val="12"/>
          <w:szCs w:val="12"/>
          <w:color w:val="010000"/>
        </w:rPr>
      </w:pPr>
      <w:r>
        <w:rPr>
          <w:rFonts w:ascii="Arial" w:cs="Arial" w:eastAsia="Arial" w:hAnsi="Arial"/>
          <w:sz w:val="12"/>
          <w:szCs w:val="12"/>
          <w:color w:val="auto"/>
        </w:rPr>
        <w:t>The Borrower shall notify the Administrative Agent (and, in the case of prepayment of a Swingline Loan, the Swingline Lender) by telephone (confirmed by fax) or through Electronic System, if arrangements for doing so have been approved by the Administrative Agent, of any prepayment under this Section: (i) in the case of prepayment of a Eurodollar Borrowing, not later than 11:00 a.m., New York time, three (3) Business Days before the date of prepayment,</w:t>
      </w:r>
    </w:p>
    <w:p>
      <w:pPr>
        <w:jc w:val="both"/>
        <w:ind w:left="120" w:right="119" w:firstLine="4"/>
        <w:spacing w:after="0" w:line="228" w:lineRule="auto"/>
        <w:tabs>
          <w:tab w:leader="none" w:pos="321"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in the case of prepayment of an ABR Borrowing, not later than noon, New York time, on the date of prepayment or (iii) except as provided in Section 2.10(a), in the case of prepayment of a Swingline Loan, not later than noon, New York time, on the date of prepayment. Each such notice shall be irrevocable and shall specify the prepayment date and the principal amount of each Borrowing or portion thereof to be prepaid;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Revolving Borrowing or Term Loan shall be in an amount that would be permitted in the case of an advance of a Borrowing of the same Type as provided in Section 2.02, except as necessary to apply fully the required amount of a mandatory prepayment. Each prepayment of a Borrowing of any Class shall be applied ratably to the Loans included in the prepaid Borrowing. Prepayments shall be accompanied by (i) accrued interest to the extent required by Section 2.13 and (ii) break funding payments to the extent required by to Section 2.16.</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2.12 </w:t>
      </w:r>
      <w:r>
        <w:rPr>
          <w:rFonts w:ascii="Arial" w:cs="Arial" w:eastAsia="Arial" w:hAnsi="Arial"/>
          <w:sz w:val="13"/>
          <w:szCs w:val="13"/>
          <w:u w:val="single" w:color="auto"/>
          <w:color w:val="000000"/>
        </w:rPr>
        <w:t>Fees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32" w:lineRule="auto"/>
        <w:tabs>
          <w:tab w:leader="none" w:pos="1189" w:val="left"/>
        </w:tabs>
        <w:numPr>
          <w:ilvl w:val="0"/>
          <w:numId w:val="79"/>
        </w:numPr>
        <w:rPr>
          <w:rFonts w:ascii="Arial" w:cs="Arial" w:eastAsia="Arial" w:hAnsi="Arial"/>
          <w:sz w:val="12"/>
          <w:szCs w:val="12"/>
          <w:color w:val="010000"/>
        </w:rPr>
      </w:pPr>
      <w:r>
        <w:rPr>
          <w:rFonts w:ascii="Arial" w:cs="Arial" w:eastAsia="Arial" w:hAnsi="Arial"/>
          <w:sz w:val="12"/>
          <w:szCs w:val="12"/>
          <w:color w:val="auto"/>
        </w:rPr>
        <w:t>The Borrower agrees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05" w:lineRule="exact"/>
        <w:rPr>
          <w:rFonts w:ascii="Arial" w:cs="Arial" w:eastAsia="Arial" w:hAnsi="Arial"/>
          <w:sz w:val="12"/>
          <w:szCs w:val="12"/>
          <w:color w:val="010000"/>
        </w:rPr>
      </w:pPr>
    </w:p>
    <w:p>
      <w:pPr>
        <w:jc w:val="both"/>
        <w:ind w:left="120" w:right="119" w:firstLine="879"/>
        <w:spacing w:after="0" w:line="214" w:lineRule="auto"/>
        <w:tabs>
          <w:tab w:leader="none" w:pos="1197" w:val="left"/>
        </w:tabs>
        <w:numPr>
          <w:ilvl w:val="0"/>
          <w:numId w:val="79"/>
        </w:numPr>
        <w:rPr>
          <w:rFonts w:ascii="Arial" w:cs="Arial" w:eastAsia="Arial" w:hAnsi="Arial"/>
          <w:sz w:val="13"/>
          <w:szCs w:val="13"/>
          <w:color w:val="010000"/>
        </w:rPr>
      </w:pPr>
      <w:r>
        <w:rPr>
          <w:rFonts w:ascii="Arial" w:cs="Arial" w:eastAsia="Arial" w:hAnsi="Arial"/>
          <w:sz w:val="13"/>
          <w:szCs w:val="13"/>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Eurodollar Revolving Loans on the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of 0.125% per annum on the daily amount of the LC Exposure attributable to Letters of Credit issued by such Issuing Bank (excluding any portion thereof attributable to unreimbursed LC Disbursements) during the period from and including the Effective Date to but excluding the later of the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98" w:name="page99"/>
    <w:bookmarkEnd w:id="98"/>
    <w:p>
      <w:pPr>
        <w:jc w:val="both"/>
        <w:ind w:left="120" w:right="119"/>
        <w:spacing w:after="0" w:line="213" w:lineRule="auto"/>
        <w:rPr>
          <w:sz w:val="20"/>
          <w:szCs w:val="20"/>
          <w:color w:val="auto"/>
        </w:rPr>
      </w:pPr>
      <w:r>
        <w:rPr>
          <w:rFonts w:ascii="Arial" w:cs="Arial" w:eastAsia="Arial" w:hAnsi="Arial"/>
          <w:sz w:val="13"/>
          <w:szCs w:val="13"/>
          <w:color w:val="auto"/>
        </w:rPr>
        <w:t>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06" w:lineRule="exact"/>
        <w:rPr>
          <w:sz w:val="20"/>
          <w:szCs w:val="20"/>
          <w:color w:val="auto"/>
        </w:rPr>
      </w:pPr>
    </w:p>
    <w:p>
      <w:pPr>
        <w:ind w:left="120" w:right="119" w:firstLine="879"/>
        <w:spacing w:after="0" w:line="239" w:lineRule="auto"/>
        <w:tabs>
          <w:tab w:leader="none" w:pos="1189" w:val="left"/>
        </w:tabs>
        <w:numPr>
          <w:ilvl w:val="0"/>
          <w:numId w:val="80"/>
        </w:numPr>
        <w:rPr>
          <w:rFonts w:ascii="Arial" w:cs="Arial" w:eastAsia="Arial" w:hAnsi="Arial"/>
          <w:sz w:val="13"/>
          <w:szCs w:val="13"/>
          <w:color w:val="010000"/>
        </w:rPr>
      </w:pPr>
      <w:r>
        <w:rPr>
          <w:rFonts w:ascii="Arial" w:cs="Arial" w:eastAsia="Arial" w:hAnsi="Arial"/>
          <w:sz w:val="13"/>
          <w:szCs w:val="13"/>
          <w:color w:val="auto"/>
        </w:rPr>
        <w:t>The Borrower agrees to pay to the Administrative Agent, for its own account, fees payable in the amounts and at the times separately agreed upon between the Borrower and the Administrative Agent.</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80"/>
        </w:numPr>
        <w:rPr>
          <w:rFonts w:ascii="Arial" w:cs="Arial" w:eastAsia="Arial" w:hAnsi="Arial"/>
          <w:sz w:val="13"/>
          <w:szCs w:val="13"/>
          <w:color w:val="010000"/>
        </w:rPr>
      </w:pPr>
      <w:r>
        <w:rPr>
          <w:rFonts w:ascii="Arial" w:cs="Arial" w:eastAsia="Arial" w:hAnsi="Arial"/>
          <w:sz w:val="13"/>
          <w:szCs w:val="13"/>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u w:val="single" w:color="auto"/>
          <w:color w:val="010000"/>
        </w:rPr>
        <w:t xml:space="preserve">SECTION 2.13 </w:t>
      </w:r>
      <w:r>
        <w:rPr>
          <w:rFonts w:ascii="Arial" w:cs="Arial" w:eastAsia="Arial" w:hAnsi="Arial"/>
          <w:sz w:val="13"/>
          <w:szCs w:val="13"/>
          <w:u w:val="single" w:color="auto"/>
          <w:color w:val="000000"/>
        </w:rPr>
        <w:t>Interest.</w:t>
      </w:r>
    </w:p>
    <w:p>
      <w:pPr>
        <w:spacing w:after="0" w:line="124" w:lineRule="exact"/>
        <w:rPr>
          <w:sz w:val="20"/>
          <w:szCs w:val="20"/>
          <w:color w:val="auto"/>
        </w:rPr>
      </w:pPr>
    </w:p>
    <w:p>
      <w:pPr>
        <w:ind w:left="1200" w:hanging="201"/>
        <w:spacing w:after="0"/>
        <w:tabs>
          <w:tab w:leader="none" w:pos="1200" w:val="left"/>
        </w:tabs>
        <w:numPr>
          <w:ilvl w:val="0"/>
          <w:numId w:val="81"/>
        </w:numPr>
        <w:rPr>
          <w:rFonts w:ascii="Arial" w:cs="Arial" w:eastAsia="Arial" w:hAnsi="Arial"/>
          <w:sz w:val="12"/>
          <w:szCs w:val="12"/>
          <w:color w:val="010000"/>
        </w:rPr>
      </w:pPr>
      <w:r>
        <w:rPr>
          <w:rFonts w:ascii="Arial" w:cs="Arial" w:eastAsia="Arial" w:hAnsi="Arial"/>
          <w:sz w:val="12"/>
          <w:szCs w:val="12"/>
          <w:color w:val="auto"/>
        </w:rPr>
        <w:t>The Loans comprising each ABR Borrowing (including each Swingline Loan) shall bear interest at the Alternate Base Rate plus the Applicable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Rate.</w:t>
      </w:r>
    </w:p>
    <w:p>
      <w:pPr>
        <w:spacing w:after="0" w:line="112" w:lineRule="exact"/>
        <w:rPr>
          <w:sz w:val="20"/>
          <w:szCs w:val="20"/>
          <w:color w:val="auto"/>
        </w:rPr>
      </w:pPr>
    </w:p>
    <w:p>
      <w:pPr>
        <w:ind w:left="120" w:right="119" w:firstLine="879"/>
        <w:spacing w:after="0" w:line="239" w:lineRule="auto"/>
        <w:tabs>
          <w:tab w:leader="none" w:pos="1197" w:val="left"/>
        </w:tabs>
        <w:numPr>
          <w:ilvl w:val="0"/>
          <w:numId w:val="82"/>
        </w:numPr>
        <w:rPr>
          <w:rFonts w:ascii="Arial" w:cs="Arial" w:eastAsia="Arial" w:hAnsi="Arial"/>
          <w:sz w:val="13"/>
          <w:szCs w:val="13"/>
          <w:color w:val="010000"/>
        </w:rPr>
      </w:pPr>
      <w:r>
        <w:rPr>
          <w:rFonts w:ascii="Arial" w:cs="Arial" w:eastAsia="Arial" w:hAnsi="Arial"/>
          <w:sz w:val="13"/>
          <w:szCs w:val="13"/>
          <w:color w:val="auto"/>
        </w:rPr>
        <w:t>The Loans comprising each Eurodollar Borrowing shall bear interest at the Adjusted LIBO Rate for the Interest Period in effect for such Borrowing plus the Applicable Rate.</w:t>
      </w:r>
    </w:p>
    <w:p>
      <w:pPr>
        <w:spacing w:after="0" w:line="103" w:lineRule="exact"/>
        <w:rPr>
          <w:rFonts w:ascii="Arial" w:cs="Arial" w:eastAsia="Arial" w:hAnsi="Arial"/>
          <w:sz w:val="13"/>
          <w:szCs w:val="13"/>
          <w:color w:val="010000"/>
        </w:rPr>
      </w:pPr>
    </w:p>
    <w:p>
      <w:pPr>
        <w:jc w:val="both"/>
        <w:ind w:left="120" w:right="119" w:firstLine="879"/>
        <w:spacing w:after="0" w:line="237" w:lineRule="auto"/>
        <w:tabs>
          <w:tab w:leader="none" w:pos="1189" w:val="left"/>
        </w:tabs>
        <w:numPr>
          <w:ilvl w:val="0"/>
          <w:numId w:val="82"/>
        </w:numPr>
        <w:rPr>
          <w:rFonts w:ascii="Arial" w:cs="Arial" w:eastAsia="Arial" w:hAnsi="Arial"/>
          <w:sz w:val="12"/>
          <w:szCs w:val="12"/>
          <w:color w:val="010000"/>
        </w:rPr>
      </w:pPr>
      <w:r>
        <w:rPr>
          <w:rFonts w:ascii="Arial" w:cs="Arial" w:eastAsia="Arial" w:hAnsi="Arial"/>
          <w:sz w:val="12"/>
          <w:szCs w:val="12"/>
          <w:color w:val="auto"/>
        </w:rPr>
        <w:t>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and Letter of Credit fees shall bear interest at 2% plus the rate otherwise applicable to such Loans and Letter of Credit fees as provided in the preceding paragraphs of this Section or Section 2.12(b) or (ii) in the case of any other amount outstanding hereunder, such amount shall accrue at 2% plus the rate applicable to ABR Borrowings.</w:t>
      </w:r>
    </w:p>
    <w:p>
      <w:pPr>
        <w:spacing w:after="0" w:line="102" w:lineRule="exact"/>
        <w:rPr>
          <w:rFonts w:ascii="Arial" w:cs="Arial" w:eastAsia="Arial" w:hAnsi="Arial"/>
          <w:sz w:val="12"/>
          <w:szCs w:val="12"/>
          <w:color w:val="010000"/>
        </w:rPr>
      </w:pPr>
    </w:p>
    <w:p>
      <w:pPr>
        <w:jc w:val="both"/>
        <w:ind w:left="120" w:right="119" w:firstLine="879"/>
        <w:spacing w:after="0" w:line="216" w:lineRule="auto"/>
        <w:tabs>
          <w:tab w:leader="none" w:pos="1197" w:val="left"/>
        </w:tabs>
        <w:numPr>
          <w:ilvl w:val="0"/>
          <w:numId w:val="82"/>
        </w:numPr>
        <w:rPr>
          <w:rFonts w:ascii="Arial" w:cs="Arial" w:eastAsia="Arial" w:hAnsi="Arial"/>
          <w:sz w:val="13"/>
          <w:szCs w:val="13"/>
          <w:color w:val="010000"/>
        </w:rPr>
      </w:pPr>
      <w:r>
        <w:rPr>
          <w:rFonts w:ascii="Arial" w:cs="Arial" w:eastAsia="Arial" w:hAnsi="Arial"/>
          <w:sz w:val="13"/>
          <w:szCs w:val="13"/>
          <w:color w:val="auto"/>
        </w:rPr>
        <w:t xml:space="preserve">Accrued interest on each Loan (for ABR Loans, accrued through the last day of the current calendar quarter) shall be payable in arrears on each Interest Payment Date for such Loan and, in the case of Revolving Loans, upon termination of the Revolving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04" w:lineRule="exact"/>
        <w:rPr>
          <w:rFonts w:ascii="Arial" w:cs="Arial" w:eastAsia="Arial" w:hAnsi="Arial"/>
          <w:sz w:val="13"/>
          <w:szCs w:val="13"/>
          <w:color w:val="010000"/>
        </w:rPr>
      </w:pPr>
    </w:p>
    <w:p>
      <w:pPr>
        <w:ind w:left="120" w:right="119" w:firstLine="879"/>
        <w:spacing w:after="0" w:line="279" w:lineRule="auto"/>
        <w:tabs>
          <w:tab w:leader="none" w:pos="1189" w:val="left"/>
        </w:tabs>
        <w:numPr>
          <w:ilvl w:val="0"/>
          <w:numId w:val="82"/>
        </w:numPr>
        <w:rPr>
          <w:rFonts w:ascii="Arial" w:cs="Arial" w:eastAsia="Arial" w:hAnsi="Arial"/>
          <w:sz w:val="12"/>
          <w:szCs w:val="12"/>
          <w:color w:val="010000"/>
        </w:rPr>
      </w:pPr>
      <w:r>
        <w:rPr>
          <w:rFonts w:ascii="Arial" w:cs="Arial" w:eastAsia="Arial" w:hAnsi="Arial"/>
          <w:sz w:val="12"/>
          <w:szCs w:val="1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99" w:name="page100"/>
    <w:bookmarkEnd w:id="99"/>
    <w:p>
      <w:pPr>
        <w:ind w:left="120" w:right="119"/>
        <w:spacing w:after="0" w:line="279" w:lineRule="auto"/>
        <w:rPr>
          <w:sz w:val="20"/>
          <w:szCs w:val="20"/>
          <w:color w:val="auto"/>
        </w:rPr>
      </w:pPr>
      <w:r>
        <w:rPr>
          <w:rFonts w:ascii="Arial" w:cs="Arial" w:eastAsia="Arial" w:hAnsi="Arial"/>
          <w:sz w:val="12"/>
          <w:szCs w:val="12"/>
          <w:color w:val="auto"/>
        </w:rPr>
        <w:t>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2.14 </w:t>
      </w:r>
      <w:r>
        <w:rPr>
          <w:rFonts w:ascii="Arial" w:cs="Arial" w:eastAsia="Arial" w:hAnsi="Arial"/>
          <w:sz w:val="13"/>
          <w:szCs w:val="13"/>
          <w:color w:val="000000"/>
        </w:rPr>
        <w:t>Alternate Rate of Interest.</w:t>
      </w:r>
    </w:p>
    <w:p>
      <w:pPr>
        <w:spacing w:after="0" w:line="124" w:lineRule="exact"/>
        <w:rPr>
          <w:sz w:val="20"/>
          <w:szCs w:val="20"/>
          <w:color w:val="auto"/>
        </w:rPr>
      </w:pPr>
    </w:p>
    <w:p>
      <w:pPr>
        <w:ind w:left="1200" w:hanging="201"/>
        <w:spacing w:after="0"/>
        <w:tabs>
          <w:tab w:leader="none" w:pos="1200" w:val="left"/>
        </w:tabs>
        <w:numPr>
          <w:ilvl w:val="0"/>
          <w:numId w:val="83"/>
        </w:numPr>
        <w:rPr>
          <w:rFonts w:ascii="Arial" w:cs="Arial" w:eastAsia="Arial" w:hAnsi="Arial"/>
          <w:sz w:val="13"/>
          <w:szCs w:val="13"/>
          <w:color w:val="010000"/>
        </w:rPr>
      </w:pPr>
      <w:r>
        <w:rPr>
          <w:rFonts w:ascii="Arial" w:cs="Arial" w:eastAsia="Arial" w:hAnsi="Arial"/>
          <w:sz w:val="13"/>
          <w:szCs w:val="13"/>
          <w:color w:val="auto"/>
        </w:rPr>
        <w:t>If prior to the commencement of any Interest Period for a Eurodollar Borrowing:</w:t>
      </w:r>
    </w:p>
    <w:p>
      <w:pPr>
        <w:spacing w:after="0" w:line="124" w:lineRule="exact"/>
        <w:rPr>
          <w:rFonts w:ascii="Arial" w:cs="Arial" w:eastAsia="Arial" w:hAnsi="Arial"/>
          <w:sz w:val="13"/>
          <w:szCs w:val="13"/>
          <w:color w:val="010000"/>
        </w:rPr>
      </w:pPr>
    </w:p>
    <w:p>
      <w:pPr>
        <w:jc w:val="both"/>
        <w:ind w:left="120" w:right="119" w:firstLine="1317"/>
        <w:spacing w:after="0" w:line="228" w:lineRule="auto"/>
        <w:tabs>
          <w:tab w:leader="none" w:pos="1605" w:val="left"/>
        </w:tabs>
        <w:numPr>
          <w:ilvl w:val="1"/>
          <w:numId w:val="83"/>
        </w:numPr>
        <w:rPr>
          <w:rFonts w:ascii="Arial" w:cs="Arial" w:eastAsia="Arial" w:hAnsi="Arial"/>
          <w:sz w:val="13"/>
          <w:szCs w:val="13"/>
          <w:color w:val="010000"/>
        </w:rPr>
      </w:pPr>
      <w:r>
        <w:rPr>
          <w:rFonts w:ascii="Arial" w:cs="Arial" w:eastAsia="Arial" w:hAnsi="Arial"/>
          <w:sz w:val="13"/>
          <w:szCs w:val="13"/>
          <w:color w:val="auto"/>
        </w:rPr>
        <w:t>the Administrative Agent determines (which determination shall be conclusive absent manifest error) that adequate and reasonable means do not exist for ascertaining the Adjusted LIBO Rate or the LIBO Rate, as applicable (including, without limitation, because the LIBO Screen Rate is not available or published on a current basis), for such Interest Period; or</w:t>
      </w:r>
    </w:p>
    <w:p>
      <w:pPr>
        <w:spacing w:after="0" w:line="102" w:lineRule="exact"/>
        <w:rPr>
          <w:rFonts w:ascii="Arial" w:cs="Arial" w:eastAsia="Arial" w:hAnsi="Arial"/>
          <w:sz w:val="13"/>
          <w:szCs w:val="13"/>
          <w:color w:val="010000"/>
        </w:rPr>
      </w:pPr>
    </w:p>
    <w:p>
      <w:pPr>
        <w:jc w:val="both"/>
        <w:ind w:left="120" w:right="119" w:firstLine="1317"/>
        <w:spacing w:after="0" w:line="228" w:lineRule="auto"/>
        <w:tabs>
          <w:tab w:leader="none" w:pos="1642" w:val="left"/>
        </w:tabs>
        <w:numPr>
          <w:ilvl w:val="1"/>
          <w:numId w:val="83"/>
        </w:numPr>
        <w:rPr>
          <w:rFonts w:ascii="Arial" w:cs="Arial" w:eastAsia="Arial" w:hAnsi="Arial"/>
          <w:sz w:val="13"/>
          <w:szCs w:val="13"/>
          <w:color w:val="010000"/>
        </w:rPr>
      </w:pPr>
      <w:r>
        <w:rPr>
          <w:rFonts w:ascii="Arial" w:cs="Arial" w:eastAsia="Arial" w:hAnsi="Arial"/>
          <w:sz w:val="13"/>
          <w:szCs w:val="13"/>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03" w:lineRule="exact"/>
        <w:rPr>
          <w:sz w:val="20"/>
          <w:szCs w:val="20"/>
          <w:color w:val="auto"/>
        </w:rPr>
      </w:pPr>
    </w:p>
    <w:p>
      <w:pPr>
        <w:jc w:val="both"/>
        <w:ind w:left="120" w:right="119"/>
        <w:spacing w:after="0" w:line="237" w:lineRule="auto"/>
        <w:rPr>
          <w:sz w:val="20"/>
          <w:szCs w:val="20"/>
          <w:color w:val="auto"/>
        </w:rPr>
      </w:pPr>
      <w:r>
        <w:rPr>
          <w:rFonts w:ascii="Arial" w:cs="Arial" w:eastAsia="Arial" w:hAnsi="Arial"/>
          <w:sz w:val="12"/>
          <w:szCs w:val="12"/>
          <w:color w:val="auto"/>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Eurodollar Borrowing shall be ineffective, and (B) if any Borrowing Request requests a Eurodollar Revolving Borrowing, such Borrowing shall be made as an ABR Borrowing;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circumstances giving rise to such notice affect only one Type of Borrowings, then the other Type of Borrowings shall be permitted.</w:t>
      </w:r>
    </w:p>
    <w:p>
      <w:pPr>
        <w:spacing w:after="0" w:line="94" w:lineRule="exact"/>
        <w:rPr>
          <w:sz w:val="20"/>
          <w:szCs w:val="20"/>
          <w:color w:val="auto"/>
        </w:rPr>
      </w:pPr>
    </w:p>
    <w:p>
      <w:pPr>
        <w:jc w:val="both"/>
        <w:ind w:left="120" w:right="119" w:firstLine="879"/>
        <w:spacing w:after="0" w:line="227" w:lineRule="auto"/>
        <w:tabs>
          <w:tab w:leader="none" w:pos="1197" w:val="left"/>
        </w:tabs>
        <w:numPr>
          <w:ilvl w:val="0"/>
          <w:numId w:val="84"/>
        </w:numPr>
        <w:rPr>
          <w:rFonts w:ascii="Arial" w:cs="Arial" w:eastAsia="Arial" w:hAnsi="Arial"/>
          <w:sz w:val="12"/>
          <w:szCs w:val="12"/>
          <w:color w:val="010000"/>
        </w:rPr>
      </w:pPr>
      <w:r>
        <w:rPr>
          <w:rFonts w:ascii="Arial" w:cs="Arial" w:eastAsia="Arial" w:hAnsi="Arial"/>
          <w:sz w:val="12"/>
          <w:szCs w:val="12"/>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Section 9.02,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(b) (but, in the case of the circumstances described in clause (ii) of the first sentence of this Section 2.14(b), only to the extent the LIBO Screen Rate for such Interest Period is not available or published at such time on a current basis), (x) any Interest Election Request that requests the conversion of any Revolving Borrowing to, or continuation of any Revolving Borrowing as, a Eurodollar Borrowing shall be ineffective, and (y) if any Borrowing Request requests a Eurodollar Revolving Borrowing, such Borrowing shall be made as an ABR Borrowing;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alternate rate of interest shall be less than zero, such rate shall be deemed to be zero for the purposes of this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00" w:name="page101"/>
    <w:bookmarkEnd w:id="100"/>
    <w:p>
      <w:pPr>
        <w:ind w:left="560"/>
        <w:spacing w:after="0"/>
        <w:tabs>
          <w:tab w:leader="none" w:pos="3280" w:val="left"/>
        </w:tabs>
        <w:rPr>
          <w:sz w:val="20"/>
          <w:szCs w:val="20"/>
          <w:color w:val="auto"/>
        </w:rPr>
      </w:pPr>
      <w:r>
        <w:rPr>
          <w:rFonts w:ascii="Arial" w:cs="Arial" w:eastAsia="Arial" w:hAnsi="Arial"/>
          <w:sz w:val="13"/>
          <w:szCs w:val="13"/>
          <w:color w:val="010000"/>
        </w:rPr>
        <w:t xml:space="preserve">SECTION 2.15 </w:t>
      </w:r>
      <w:r>
        <w:rPr>
          <w:rFonts w:ascii="Arial" w:cs="Arial" w:eastAsia="Arial" w:hAnsi="Arial"/>
          <w:sz w:val="13"/>
          <w:szCs w:val="13"/>
          <w:u w:val="single" w:color="auto"/>
          <w:color w:val="000000"/>
        </w:rPr>
        <w:t>Increased Costs</w:t>
      </w:r>
      <w:r>
        <w:rPr>
          <w:rFonts w:ascii="Arial" w:cs="Arial" w:eastAsia="Arial" w:hAnsi="Arial"/>
          <w:sz w:val="13"/>
          <w:szCs w:val="13"/>
          <w:color w:val="000000"/>
        </w:rPr>
        <w:t>.(a)</w:t>
      </w:r>
      <w:r>
        <w:rPr>
          <w:sz w:val="20"/>
          <w:szCs w:val="20"/>
          <w:color w:val="auto"/>
        </w:rPr>
        <w:tab/>
      </w:r>
      <w:r>
        <w:rPr>
          <w:rFonts w:ascii="Arial" w:cs="Arial" w:eastAsia="Arial" w:hAnsi="Arial"/>
          <w:sz w:val="12"/>
          <w:szCs w:val="12"/>
          <w:color w:val="auto"/>
        </w:rPr>
        <w:t>If any Change in Law shall:</w:t>
      </w:r>
    </w:p>
    <w:p>
      <w:pPr>
        <w:spacing w:after="0" w:line="316" w:lineRule="exact"/>
        <w:rPr>
          <w:sz w:val="20"/>
          <w:szCs w:val="20"/>
          <w:color w:val="auto"/>
        </w:rPr>
      </w:pPr>
    </w:p>
    <w:p>
      <w:pPr>
        <w:jc w:val="both"/>
        <w:ind w:left="120" w:right="119" w:firstLine="1317"/>
        <w:spacing w:after="0" w:line="228" w:lineRule="auto"/>
        <w:tabs>
          <w:tab w:leader="none" w:pos="1605"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 or</w:t>
      </w:r>
    </w:p>
    <w:p>
      <w:pPr>
        <w:spacing w:after="0" w:line="102" w:lineRule="exact"/>
        <w:rPr>
          <w:rFonts w:ascii="Arial" w:cs="Arial" w:eastAsia="Arial" w:hAnsi="Arial"/>
          <w:sz w:val="13"/>
          <w:szCs w:val="13"/>
          <w:color w:val="010000"/>
        </w:rPr>
      </w:pPr>
    </w:p>
    <w:p>
      <w:pPr>
        <w:ind w:left="120" w:right="119" w:firstLine="1317"/>
        <w:spacing w:after="0" w:line="239" w:lineRule="auto"/>
        <w:tabs>
          <w:tab w:leader="none" w:pos="1642"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03" w:lineRule="exact"/>
        <w:rPr>
          <w:rFonts w:ascii="Arial" w:cs="Arial" w:eastAsia="Arial" w:hAnsi="Arial"/>
          <w:sz w:val="13"/>
          <w:szCs w:val="13"/>
          <w:color w:val="010000"/>
        </w:rPr>
      </w:pPr>
    </w:p>
    <w:p>
      <w:pPr>
        <w:jc w:val="both"/>
        <w:ind w:left="120" w:right="119" w:firstLine="1317"/>
        <w:spacing w:after="0" w:line="228" w:lineRule="auto"/>
        <w:tabs>
          <w:tab w:leader="none" w:pos="1679"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03" w:lineRule="exact"/>
        <w:rPr>
          <w:sz w:val="20"/>
          <w:szCs w:val="20"/>
          <w:color w:val="auto"/>
        </w:rPr>
      </w:pPr>
    </w:p>
    <w:p>
      <w:pPr>
        <w:jc w:val="both"/>
        <w:ind w:left="120" w:right="119"/>
        <w:spacing w:after="0" w:line="228" w:lineRule="auto"/>
        <w:rPr>
          <w:sz w:val="20"/>
          <w:szCs w:val="20"/>
          <w:color w:val="auto"/>
        </w:rPr>
      </w:pPr>
      <w:r>
        <w:rPr>
          <w:rFonts w:ascii="Arial" w:cs="Arial" w:eastAsia="Arial" w:hAnsi="Arial"/>
          <w:sz w:val="13"/>
          <w:szCs w:val="13"/>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15" w:lineRule="exact"/>
        <w:rPr>
          <w:sz w:val="20"/>
          <w:szCs w:val="20"/>
          <w:color w:val="auto"/>
        </w:rPr>
      </w:pPr>
    </w:p>
    <w:p>
      <w:pPr>
        <w:jc w:val="both"/>
        <w:ind w:left="120" w:right="119" w:firstLine="879"/>
        <w:spacing w:after="0" w:line="213" w:lineRule="auto"/>
        <w:tabs>
          <w:tab w:leader="none" w:pos="1197" w:val="left"/>
        </w:tabs>
        <w:numPr>
          <w:ilvl w:val="0"/>
          <w:numId w:val="86"/>
        </w:numPr>
        <w:rPr>
          <w:rFonts w:ascii="Arial" w:cs="Arial" w:eastAsia="Arial" w:hAnsi="Arial"/>
          <w:sz w:val="13"/>
          <w:szCs w:val="13"/>
          <w:color w:val="010000"/>
        </w:rPr>
      </w:pPr>
      <w:r>
        <w:rPr>
          <w:rFonts w:ascii="Arial" w:cs="Arial" w:eastAsia="Arial" w:hAnsi="Arial"/>
          <w:sz w:val="13"/>
          <w:szCs w:val="13"/>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05"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86"/>
        </w:numPr>
        <w:rPr>
          <w:rFonts w:ascii="Arial" w:cs="Arial" w:eastAsia="Arial" w:hAnsi="Arial"/>
          <w:sz w:val="13"/>
          <w:szCs w:val="13"/>
          <w:color w:val="010000"/>
        </w:rPr>
      </w:pPr>
      <w:r>
        <w:rPr>
          <w:rFonts w:ascii="Arial" w:cs="Arial" w:eastAsia="Arial" w:hAnsi="Arial"/>
          <w:sz w:val="13"/>
          <w:szCs w:val="13"/>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days after receipt thereof.</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86"/>
        </w:numPr>
        <w:rPr>
          <w:rFonts w:ascii="Arial" w:cs="Arial" w:eastAsia="Arial" w:hAnsi="Arial"/>
          <w:sz w:val="13"/>
          <w:szCs w:val="13"/>
          <w:color w:val="010000"/>
        </w:rPr>
      </w:pPr>
      <w:r>
        <w:rPr>
          <w:rFonts w:ascii="Arial" w:cs="Arial" w:eastAsia="Arial" w:hAnsi="Arial"/>
          <w:sz w:val="13"/>
          <w:szCs w:val="13"/>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or the Issuing Bank pursuant to this Section for any increased costs or reductions incurred more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1" w:name="page102"/>
    <w:bookmarkEnd w:id="101"/>
    <w:p>
      <w:pPr>
        <w:jc w:val="both"/>
        <w:ind w:left="120" w:right="119"/>
        <w:spacing w:after="0" w:line="250" w:lineRule="auto"/>
        <w:rPr>
          <w:sz w:val="20"/>
          <w:szCs w:val="20"/>
          <w:color w:val="auto"/>
        </w:rPr>
      </w:pPr>
      <w:r>
        <w:rPr>
          <w:rFonts w:ascii="Arial" w:cs="Arial" w:eastAsia="Arial" w:hAnsi="Arial"/>
          <w:sz w:val="12"/>
          <w:szCs w:val="12"/>
          <w:color w:val="auto"/>
        </w:rPr>
        <w:t xml:space="preserve">than 180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98" w:lineRule="exact"/>
        <w:rPr>
          <w:sz w:val="20"/>
          <w:szCs w:val="20"/>
          <w:color w:val="auto"/>
        </w:rPr>
      </w:pPr>
    </w:p>
    <w:p>
      <w:pPr>
        <w:ind w:left="120" w:right="119" w:firstLine="438"/>
        <w:spacing w:after="0" w:line="239" w:lineRule="auto"/>
        <w:rPr>
          <w:sz w:val="20"/>
          <w:szCs w:val="20"/>
          <w:color w:val="auto"/>
        </w:rPr>
      </w:pPr>
      <w:r>
        <w:rPr>
          <w:rFonts w:ascii="Arial" w:cs="Arial" w:eastAsia="Arial" w:hAnsi="Arial"/>
          <w:sz w:val="12"/>
          <w:szCs w:val="12"/>
          <w:color w:val="010000"/>
        </w:rPr>
        <w:t xml:space="preserve">SECTION 2.16 </w:t>
      </w:r>
      <w:r>
        <w:rPr>
          <w:rFonts w:ascii="Arial" w:cs="Arial" w:eastAsia="Arial" w:hAnsi="Arial"/>
          <w:sz w:val="12"/>
          <w:szCs w:val="12"/>
          <w:u w:val="single" w:color="auto"/>
          <w:color w:val="000000"/>
        </w:rPr>
        <w:t>Break Funding Payments</w:t>
      </w:r>
      <w:r>
        <w:rPr>
          <w:rFonts w:ascii="Arial" w:cs="Arial" w:eastAsia="Arial" w:hAnsi="Arial"/>
          <w:sz w:val="12"/>
          <w:szCs w:val="12"/>
          <w:color w:val="000000"/>
        </w:rPr>
        <w:t>. In the event of (a) the payment of any principal of any Eurodollar Loan other than on the last day of an Interest</w:t>
      </w:r>
      <w:r>
        <w:rPr>
          <w:rFonts w:ascii="Arial" w:cs="Arial" w:eastAsia="Arial" w:hAnsi="Arial"/>
          <w:sz w:val="12"/>
          <w:szCs w:val="12"/>
          <w:color w:val="010000"/>
        </w:rPr>
        <w:t xml:space="preserve"> </w:t>
      </w:r>
      <w:r>
        <w:rPr>
          <w:rFonts w:ascii="Arial" w:cs="Arial" w:eastAsia="Arial" w:hAnsi="Arial"/>
          <w:sz w:val="12"/>
          <w:szCs w:val="12"/>
          <w:color w:val="000000"/>
        </w:rPr>
        <w:t>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2.09(c) or (d) and is revoked in accordance therewith), or (d) the assignment of any Eurodollar Loan other than on the last day of the Interest Period applicable thereto as a result of a request by the Borrower pursuant to Section 2.19 or 9.02(d),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w:t>
      </w:r>
      <w:r>
        <w:rPr>
          <w:rFonts w:ascii="Arial" w:cs="Arial" w:eastAsia="Arial" w:hAnsi="Arial"/>
          <w:sz w:val="12"/>
          <w:szCs w:val="12"/>
          <w:u w:val="single" w:color="auto"/>
          <w:color w:val="000000"/>
        </w:rPr>
        <w:t>cate of any Lender</w:t>
      </w:r>
    </w:p>
    <w:p>
      <w:pPr>
        <w:spacing w:after="0" w:line="5" w:lineRule="exact"/>
        <w:rPr>
          <w:sz w:val="20"/>
          <w:szCs w:val="20"/>
          <w:color w:val="auto"/>
        </w:rPr>
      </w:pPr>
    </w:p>
    <w:p>
      <w:pPr>
        <w:ind w:left="120" w:right="119"/>
        <w:spacing w:after="0" w:line="274" w:lineRule="auto"/>
        <w:rPr>
          <w:sz w:val="20"/>
          <w:szCs w:val="20"/>
          <w:color w:val="auto"/>
        </w:rPr>
      </w:pPr>
      <w:r>
        <w:rPr>
          <w:rFonts w:ascii="Arial" w:cs="Arial" w:eastAsia="Arial" w:hAnsi="Arial"/>
          <w:sz w:val="12"/>
          <w:szCs w:val="12"/>
          <w:u w:val="single" w:color="auto"/>
          <w:color w:val="auto"/>
        </w:rPr>
        <w:t>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2.17 </w:t>
      </w:r>
      <w:r>
        <w:rPr>
          <w:rFonts w:ascii="Arial" w:cs="Arial" w:eastAsia="Arial" w:hAnsi="Arial"/>
          <w:sz w:val="13"/>
          <w:szCs w:val="13"/>
          <w:u w:val="single" w:color="auto"/>
          <w:color w:val="000000"/>
        </w:rPr>
        <w:t>Taxes.</w:t>
      </w:r>
    </w:p>
    <w:p>
      <w:pPr>
        <w:spacing w:after="0" w:line="325" w:lineRule="exact"/>
        <w:rPr>
          <w:sz w:val="20"/>
          <w:szCs w:val="20"/>
          <w:color w:val="auto"/>
        </w:rPr>
      </w:pPr>
    </w:p>
    <w:p>
      <w:pPr>
        <w:jc w:val="both"/>
        <w:ind w:left="120" w:right="119" w:firstLine="879"/>
        <w:spacing w:after="0" w:line="213" w:lineRule="auto"/>
        <w:tabs>
          <w:tab w:leader="none" w:pos="1189" w:val="left"/>
        </w:tabs>
        <w:numPr>
          <w:ilvl w:val="0"/>
          <w:numId w:val="87"/>
        </w:numPr>
        <w:rPr>
          <w:rFonts w:ascii="Arial" w:cs="Arial" w:eastAsia="Arial" w:hAnsi="Arial"/>
          <w:sz w:val="13"/>
          <w:szCs w:val="13"/>
          <w:color w:val="010000"/>
        </w:rPr>
      </w:pPr>
      <w:r>
        <w:rPr>
          <w:rFonts w:ascii="Arial" w:cs="Arial" w:eastAsia="Arial" w:hAnsi="Arial"/>
          <w:sz w:val="13"/>
          <w:szCs w:val="13"/>
          <w:u w:val="single" w:color="auto"/>
          <w:color w:val="auto"/>
        </w:rPr>
        <w:t>Withholding Taxes; Gross-Up; Payments Free of Taxes</w:t>
      </w:r>
      <w:r>
        <w:rPr>
          <w:rFonts w:ascii="Arial" w:cs="Arial" w:eastAsia="Arial" w:hAnsi="Arial"/>
          <w:sz w:val="13"/>
          <w:szCs w:val="13"/>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87"/>
        </w:numPr>
        <w:rPr>
          <w:rFonts w:ascii="Arial" w:cs="Arial" w:eastAsia="Arial" w:hAnsi="Arial"/>
          <w:sz w:val="13"/>
          <w:szCs w:val="13"/>
          <w:color w:val="010000"/>
        </w:rPr>
      </w:pPr>
      <w:r>
        <w:rPr>
          <w:rFonts w:ascii="Arial" w:cs="Arial" w:eastAsia="Arial" w:hAnsi="Arial"/>
          <w:sz w:val="13"/>
          <w:szCs w:val="13"/>
          <w:u w:val="single" w:color="auto"/>
          <w:color w:val="auto"/>
        </w:rPr>
        <w:t>Payment of Other Taxes by Loan Parties</w:t>
      </w:r>
      <w:r>
        <w:rPr>
          <w:rFonts w:ascii="Arial" w:cs="Arial" w:eastAsia="Arial" w:hAnsi="Arial"/>
          <w:sz w:val="13"/>
          <w:szCs w:val="13"/>
          <w:color w:val="auto"/>
        </w:rPr>
        <w:t>. The Loan Parties shall timely pay to the relevant Governmental Authority in accordance with applicable law, or at the option of the Administrative Agent timely reimburse it for, Other Taxes.</w:t>
      </w:r>
    </w:p>
    <w:p>
      <w:pPr>
        <w:spacing w:after="0" w:line="103"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87"/>
        </w:numPr>
        <w:rPr>
          <w:rFonts w:ascii="Arial" w:cs="Arial" w:eastAsia="Arial" w:hAnsi="Arial"/>
          <w:sz w:val="13"/>
          <w:szCs w:val="13"/>
          <w:color w:val="010000"/>
        </w:rPr>
      </w:pPr>
      <w:r>
        <w:rPr>
          <w:rFonts w:ascii="Arial" w:cs="Arial" w:eastAsia="Arial" w:hAnsi="Arial"/>
          <w:sz w:val="13"/>
          <w:szCs w:val="13"/>
          <w:u w:val="single" w:color="auto"/>
          <w:color w:val="auto"/>
        </w:rPr>
        <w:t>Evidence of Payment</w:t>
      </w:r>
      <w:r>
        <w:rPr>
          <w:rFonts w:ascii="Arial" w:cs="Arial" w:eastAsia="Arial" w:hAnsi="Arial"/>
          <w:sz w:val="13"/>
          <w:szCs w:val="13"/>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02" w:name="page103"/>
    <w:bookmarkEnd w:id="102"/>
    <w:p>
      <w:pPr>
        <w:jc w:val="both"/>
        <w:ind w:left="120" w:right="119" w:firstLine="879"/>
        <w:spacing w:after="0" w:line="216" w:lineRule="auto"/>
        <w:tabs>
          <w:tab w:leader="none" w:pos="1197" w:val="left"/>
        </w:tabs>
        <w:numPr>
          <w:ilvl w:val="0"/>
          <w:numId w:val="88"/>
        </w:numPr>
        <w:rPr>
          <w:rFonts w:ascii="Arial" w:cs="Arial" w:eastAsia="Arial" w:hAnsi="Arial"/>
          <w:sz w:val="13"/>
          <w:szCs w:val="13"/>
          <w:color w:val="010000"/>
        </w:rPr>
      </w:pPr>
      <w:r>
        <w:rPr>
          <w:rFonts w:ascii="Arial" w:cs="Arial" w:eastAsia="Arial" w:hAnsi="Arial"/>
          <w:sz w:val="13"/>
          <w:szCs w:val="13"/>
          <w:u w:val="single" w:color="auto"/>
          <w:color w:val="auto"/>
        </w:rPr>
        <w:t>Indemnification by the Loan Parties</w:t>
      </w:r>
      <w:r>
        <w:rPr>
          <w:rFonts w:ascii="Arial" w:cs="Arial" w:eastAsia="Arial" w:hAnsi="Arial"/>
          <w:sz w:val="13"/>
          <w:szCs w:val="13"/>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04" w:lineRule="exact"/>
        <w:rPr>
          <w:rFonts w:ascii="Arial" w:cs="Arial" w:eastAsia="Arial" w:hAnsi="Arial"/>
          <w:sz w:val="13"/>
          <w:szCs w:val="13"/>
          <w:color w:val="010000"/>
        </w:rPr>
      </w:pPr>
    </w:p>
    <w:p>
      <w:pPr>
        <w:jc w:val="both"/>
        <w:ind w:left="120" w:right="119" w:firstLine="879"/>
        <w:spacing w:after="0" w:line="230" w:lineRule="auto"/>
        <w:tabs>
          <w:tab w:leader="none" w:pos="1189" w:val="left"/>
        </w:tabs>
        <w:numPr>
          <w:ilvl w:val="0"/>
          <w:numId w:val="88"/>
        </w:numPr>
        <w:rPr>
          <w:rFonts w:ascii="Arial" w:cs="Arial" w:eastAsia="Arial" w:hAnsi="Arial"/>
          <w:sz w:val="12"/>
          <w:szCs w:val="12"/>
          <w:color w:val="010000"/>
        </w:rPr>
      </w:pPr>
      <w:r>
        <w:rPr>
          <w:rFonts w:ascii="Arial" w:cs="Arial" w:eastAsia="Arial" w:hAnsi="Arial"/>
          <w:sz w:val="12"/>
          <w:szCs w:val="12"/>
          <w:u w:val="single" w:color="auto"/>
          <w:color w:val="auto"/>
        </w:rPr>
        <w:t>Indemnification by the Lenders</w:t>
      </w:r>
      <w:r>
        <w:rPr>
          <w:rFonts w:ascii="Arial" w:cs="Arial" w:eastAsia="Arial" w:hAnsi="Arial"/>
          <w:sz w:val="12"/>
          <w:szCs w:val="12"/>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04" w:lineRule="exact"/>
        <w:rPr>
          <w:rFonts w:ascii="Arial" w:cs="Arial" w:eastAsia="Arial" w:hAnsi="Arial"/>
          <w:sz w:val="12"/>
          <w:szCs w:val="12"/>
          <w:color w:val="010000"/>
        </w:rPr>
      </w:pPr>
    </w:p>
    <w:p>
      <w:pPr>
        <w:ind w:left="1180" w:hanging="181"/>
        <w:spacing w:after="0"/>
        <w:tabs>
          <w:tab w:leader="none" w:pos="1180" w:val="left"/>
        </w:tabs>
        <w:numPr>
          <w:ilvl w:val="0"/>
          <w:numId w:val="88"/>
        </w:numPr>
        <w:rPr>
          <w:rFonts w:ascii="Arial" w:cs="Arial" w:eastAsia="Arial" w:hAnsi="Arial"/>
          <w:sz w:val="13"/>
          <w:szCs w:val="13"/>
          <w:color w:val="010000"/>
        </w:rPr>
      </w:pPr>
      <w:r>
        <w:rPr>
          <w:rFonts w:ascii="Arial" w:cs="Arial" w:eastAsia="Arial" w:hAnsi="Arial"/>
          <w:sz w:val="13"/>
          <w:szCs w:val="13"/>
          <w:u w:val="single" w:color="auto"/>
          <w:color w:val="auto"/>
        </w:rPr>
        <w:t>Status of Lenders</w:t>
      </w:r>
      <w:r>
        <w:rPr>
          <w:rFonts w:ascii="Arial" w:cs="Arial" w:eastAsia="Arial" w:hAnsi="Arial"/>
          <w:sz w:val="13"/>
          <w:szCs w:val="13"/>
          <w:color w:val="auto"/>
        </w:rPr>
        <w:t>.</w:t>
      </w:r>
    </w:p>
    <w:p>
      <w:pPr>
        <w:spacing w:after="0" w:line="124" w:lineRule="exact"/>
        <w:rPr>
          <w:rFonts w:ascii="Arial" w:cs="Arial" w:eastAsia="Arial" w:hAnsi="Arial"/>
          <w:sz w:val="13"/>
          <w:szCs w:val="13"/>
          <w:color w:val="010000"/>
        </w:rPr>
      </w:pPr>
    </w:p>
    <w:p>
      <w:pPr>
        <w:jc w:val="both"/>
        <w:ind w:left="120" w:right="119" w:firstLine="1317"/>
        <w:spacing w:after="0" w:line="230" w:lineRule="auto"/>
        <w:tabs>
          <w:tab w:leader="none" w:pos="1605" w:val="left"/>
        </w:tabs>
        <w:numPr>
          <w:ilvl w:val="1"/>
          <w:numId w:val="88"/>
        </w:numPr>
        <w:rPr>
          <w:rFonts w:ascii="Arial" w:cs="Arial" w:eastAsia="Arial" w:hAnsi="Arial"/>
          <w:sz w:val="12"/>
          <w:szCs w:val="12"/>
          <w:color w:val="010000"/>
        </w:rPr>
      </w:pPr>
      <w:r>
        <w:rPr>
          <w:rFonts w:ascii="Arial" w:cs="Arial" w:eastAsia="Arial" w:hAnsi="Arial"/>
          <w:sz w:val="12"/>
          <w:szCs w:val="1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04" w:lineRule="exact"/>
        <w:rPr>
          <w:rFonts w:ascii="Arial" w:cs="Arial" w:eastAsia="Arial" w:hAnsi="Arial"/>
          <w:sz w:val="12"/>
          <w:szCs w:val="12"/>
          <w:color w:val="010000"/>
        </w:rPr>
      </w:pPr>
    </w:p>
    <w:p>
      <w:pPr>
        <w:ind w:left="1640" w:hanging="203"/>
        <w:spacing w:after="0"/>
        <w:tabs>
          <w:tab w:leader="none" w:pos="1640" w:val="left"/>
        </w:tabs>
        <w:numPr>
          <w:ilvl w:val="1"/>
          <w:numId w:val="88"/>
        </w:numPr>
        <w:rPr>
          <w:rFonts w:ascii="Arial" w:cs="Arial" w:eastAsia="Arial" w:hAnsi="Arial"/>
          <w:sz w:val="13"/>
          <w:szCs w:val="13"/>
          <w:color w:val="010000"/>
        </w:rPr>
      </w:pPr>
      <w:r>
        <w:rPr>
          <w:rFonts w:ascii="Arial" w:cs="Arial" w:eastAsia="Arial" w:hAnsi="Arial"/>
          <w:sz w:val="13"/>
          <w:szCs w:val="13"/>
          <w:color w:val="auto"/>
        </w:rPr>
        <w:t>Without limiting the generality of the foregoing, in the event that the Borrower is a U.S. Person,</w:t>
      </w:r>
    </w:p>
    <w:p>
      <w:pPr>
        <w:spacing w:after="0" w:line="124" w:lineRule="exact"/>
        <w:rPr>
          <w:rFonts w:ascii="Arial" w:cs="Arial" w:eastAsia="Arial" w:hAnsi="Arial"/>
          <w:sz w:val="13"/>
          <w:szCs w:val="13"/>
          <w:color w:val="010000"/>
        </w:rPr>
      </w:pPr>
    </w:p>
    <w:p>
      <w:pPr>
        <w:jc w:val="both"/>
        <w:ind w:left="120" w:right="119" w:firstLine="1755"/>
        <w:spacing w:after="0" w:line="228" w:lineRule="auto"/>
        <w:tabs>
          <w:tab w:leader="none" w:pos="2102" w:val="left"/>
        </w:tabs>
        <w:numPr>
          <w:ilvl w:val="2"/>
          <w:numId w:val="88"/>
        </w:numPr>
        <w:rPr>
          <w:rFonts w:ascii="Arial" w:cs="Arial" w:eastAsia="Arial" w:hAnsi="Arial"/>
          <w:sz w:val="13"/>
          <w:szCs w:val="13"/>
          <w:color w:val="010000"/>
        </w:rPr>
      </w:pPr>
      <w:r>
        <w:rPr>
          <w:rFonts w:ascii="Arial" w:cs="Arial" w:eastAsia="Arial" w:hAnsi="Arial"/>
          <w:sz w:val="13"/>
          <w:szCs w:val="13"/>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IRS Form W-9 certifying that such Lender is exempt from U.S. federal backup withholding tax;</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3" w:name="page104"/>
    <w:bookmarkEnd w:id="103"/>
    <w:p>
      <w:pPr>
        <w:jc w:val="both"/>
        <w:ind w:left="120" w:right="119" w:firstLine="1755"/>
        <w:spacing w:after="0" w:line="250" w:lineRule="auto"/>
        <w:tabs>
          <w:tab w:leader="none" w:pos="2095" w:val="left"/>
        </w:tabs>
        <w:numPr>
          <w:ilvl w:val="0"/>
          <w:numId w:val="89"/>
        </w:numPr>
        <w:rPr>
          <w:rFonts w:ascii="Arial" w:cs="Arial" w:eastAsia="Arial" w:hAnsi="Arial"/>
          <w:sz w:val="12"/>
          <w:szCs w:val="12"/>
          <w:color w:val="010000"/>
        </w:rPr>
      </w:pPr>
      <w:r>
        <w:rPr>
          <w:rFonts w:ascii="Arial" w:cs="Arial" w:eastAsia="Arial" w:hAnsi="Arial"/>
          <w:sz w:val="12"/>
          <w:szCs w:val="1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7" w:lineRule="exact"/>
        <w:rPr>
          <w:rFonts w:ascii="Arial" w:cs="Arial" w:eastAsia="Arial" w:hAnsi="Arial"/>
          <w:sz w:val="12"/>
          <w:szCs w:val="12"/>
          <w:color w:val="010000"/>
        </w:rPr>
      </w:pPr>
    </w:p>
    <w:p>
      <w:pPr>
        <w:jc w:val="both"/>
        <w:ind w:left="120" w:right="119" w:firstLine="2193"/>
        <w:spacing w:after="0" w:line="218" w:lineRule="auto"/>
        <w:tabs>
          <w:tab w:leader="none" w:pos="2510" w:val="left"/>
        </w:tabs>
        <w:numPr>
          <w:ilvl w:val="1"/>
          <w:numId w:val="89"/>
        </w:numPr>
        <w:rPr>
          <w:rFonts w:ascii="Arial" w:cs="Arial" w:eastAsia="Arial" w:hAnsi="Arial"/>
          <w:sz w:val="13"/>
          <w:szCs w:val="13"/>
          <w:color w:val="010000"/>
        </w:rPr>
      </w:pPr>
      <w:r>
        <w:rPr>
          <w:rFonts w:ascii="Arial" w:cs="Arial" w:eastAsia="Arial" w:hAnsi="Arial"/>
          <w:sz w:val="13"/>
          <w:szCs w:val="13"/>
          <w:color w:val="auto"/>
        </w:rPr>
        <w:t>in the case of a Foreign Lender claiming the benefits of an income tax treaty to which the U.S. is a party (x) with respect to payments of interest under any Loan Document, an executed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05" w:lineRule="exact"/>
        <w:rPr>
          <w:rFonts w:ascii="Arial" w:cs="Arial" w:eastAsia="Arial" w:hAnsi="Arial"/>
          <w:sz w:val="13"/>
          <w:szCs w:val="13"/>
          <w:color w:val="010000"/>
        </w:rPr>
      </w:pPr>
    </w:p>
    <w:p>
      <w:pPr>
        <w:ind w:left="2520" w:hanging="207"/>
        <w:spacing w:after="0"/>
        <w:tabs>
          <w:tab w:leader="none" w:pos="2520" w:val="left"/>
        </w:tabs>
        <w:numPr>
          <w:ilvl w:val="1"/>
          <w:numId w:val="89"/>
        </w:numPr>
        <w:rPr>
          <w:rFonts w:ascii="Arial" w:cs="Arial" w:eastAsia="Arial" w:hAnsi="Arial"/>
          <w:sz w:val="12"/>
          <w:szCs w:val="12"/>
          <w:color w:val="010000"/>
        </w:rPr>
      </w:pPr>
      <w:r>
        <w:rPr>
          <w:rFonts w:ascii="Arial" w:cs="Arial" w:eastAsia="Arial" w:hAnsi="Arial"/>
          <w:sz w:val="12"/>
          <w:szCs w:val="12"/>
          <w:color w:val="auto"/>
        </w:rPr>
        <w:t>in the case of a Foreign Lender claiming that its extension of credit will generate U.S. effectively connected income, an</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executed IRS Form W-8ECI;</w:t>
      </w:r>
    </w:p>
    <w:p>
      <w:pPr>
        <w:spacing w:after="0" w:line="112" w:lineRule="exact"/>
        <w:rPr>
          <w:rFonts w:ascii="Arial" w:cs="Arial" w:eastAsia="Arial" w:hAnsi="Arial"/>
          <w:sz w:val="12"/>
          <w:szCs w:val="12"/>
          <w:color w:val="010000"/>
        </w:rPr>
      </w:pPr>
    </w:p>
    <w:p>
      <w:pPr>
        <w:jc w:val="both"/>
        <w:ind w:left="120" w:right="119" w:firstLine="2193"/>
        <w:spacing w:after="0" w:line="241" w:lineRule="auto"/>
        <w:tabs>
          <w:tab w:leader="none" w:pos="2510" w:val="left"/>
        </w:tabs>
        <w:numPr>
          <w:ilvl w:val="1"/>
          <w:numId w:val="89"/>
        </w:numPr>
        <w:rPr>
          <w:rFonts w:ascii="Arial" w:cs="Arial" w:eastAsia="Arial" w:hAnsi="Arial"/>
          <w:sz w:val="12"/>
          <w:szCs w:val="12"/>
          <w:color w:val="010000"/>
        </w:rPr>
      </w:pPr>
      <w:r>
        <w:rPr>
          <w:rFonts w:ascii="Arial" w:cs="Arial" w:eastAsia="Arial" w:hAnsi="Arial"/>
          <w:sz w:val="12"/>
          <w:szCs w:val="12"/>
          <w:color w:val="auto"/>
        </w:rPr>
        <w:t>in the case of a Foreign Lender claiming the benefits of the exemption for portfolio interest under Section 881(c) of the Code, (x) a certificate substantially in the form of Exhibit C-1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2"/>
          <w:szCs w:val="12"/>
          <w:u w:val="single" w:color="auto"/>
          <w:color w:val="auto"/>
        </w:rPr>
        <w:t>U.S. Tax Compliance Certificate</w:t>
      </w:r>
      <w:r>
        <w:rPr>
          <w:rFonts w:ascii="Arial" w:cs="Arial" w:eastAsia="Arial" w:hAnsi="Arial"/>
          <w:sz w:val="12"/>
          <w:szCs w:val="12"/>
          <w:color w:val="auto"/>
        </w:rPr>
        <w:t>”) and (y) an executed IRS Form W-8BEN or IRS Form W-8BEN-E, as applicable; or</w:t>
      </w:r>
    </w:p>
    <w:p>
      <w:pPr>
        <w:spacing w:after="0" w:line="102" w:lineRule="exact"/>
        <w:rPr>
          <w:rFonts w:ascii="Arial" w:cs="Arial" w:eastAsia="Arial" w:hAnsi="Arial"/>
          <w:sz w:val="12"/>
          <w:szCs w:val="12"/>
          <w:color w:val="010000"/>
        </w:rPr>
      </w:pPr>
    </w:p>
    <w:p>
      <w:pPr>
        <w:jc w:val="both"/>
        <w:ind w:left="120" w:right="119" w:firstLine="2193"/>
        <w:spacing w:after="0" w:line="218" w:lineRule="auto"/>
        <w:tabs>
          <w:tab w:leader="none" w:pos="2510" w:val="left"/>
        </w:tabs>
        <w:numPr>
          <w:ilvl w:val="1"/>
          <w:numId w:val="89"/>
        </w:numPr>
        <w:rPr>
          <w:rFonts w:ascii="Arial" w:cs="Arial" w:eastAsia="Arial" w:hAnsi="Arial"/>
          <w:sz w:val="13"/>
          <w:szCs w:val="13"/>
          <w:color w:val="010000"/>
        </w:rPr>
      </w:pPr>
      <w:r>
        <w:rPr>
          <w:rFonts w:ascii="Arial" w:cs="Arial" w:eastAsia="Arial" w:hAnsi="Arial"/>
          <w:sz w:val="13"/>
          <w:szCs w:val="13"/>
          <w:color w:val="auto"/>
        </w:rPr>
        <w:t xml:space="preserve">to the extent a Foreign Lender is not the Beneficial Owner, an executed IRS Form W-8IMY, accompanied by IRS Form W-8ECI, IRS Form W-8BEN or IRS Form W-8BEN-E, as applicable, a U.S. Tax Compliance Certificate substantially in the form of Exhibit C-2 or Exhibit C-3, IRS Form W-9, and/or other certification documents from each Beneficial Owner,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C-4 on behalf of each such direct and indirect partner;</w:t>
      </w:r>
    </w:p>
    <w:p>
      <w:pPr>
        <w:spacing w:after="0" w:line="105" w:lineRule="exact"/>
        <w:rPr>
          <w:rFonts w:ascii="Arial" w:cs="Arial" w:eastAsia="Arial" w:hAnsi="Arial"/>
          <w:sz w:val="13"/>
          <w:szCs w:val="13"/>
          <w:color w:val="010000"/>
        </w:rPr>
      </w:pPr>
    </w:p>
    <w:p>
      <w:pPr>
        <w:jc w:val="both"/>
        <w:ind w:left="120" w:right="119" w:firstLine="1755"/>
        <w:spacing w:after="0" w:line="216" w:lineRule="auto"/>
        <w:tabs>
          <w:tab w:leader="none" w:pos="2095" w:val="left"/>
        </w:tabs>
        <w:numPr>
          <w:ilvl w:val="0"/>
          <w:numId w:val="89"/>
        </w:numPr>
        <w:rPr>
          <w:rFonts w:ascii="Arial" w:cs="Arial" w:eastAsia="Arial" w:hAnsi="Arial"/>
          <w:sz w:val="13"/>
          <w:szCs w:val="13"/>
          <w:color w:val="010000"/>
        </w:rPr>
      </w:pPr>
      <w:r>
        <w:rPr>
          <w:rFonts w:ascii="Arial" w:cs="Arial" w:eastAsia="Arial" w:hAnsi="Arial"/>
          <w:sz w:val="13"/>
          <w:szCs w:val="13"/>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04" w:lineRule="exact"/>
        <w:rPr>
          <w:rFonts w:ascii="Arial" w:cs="Arial" w:eastAsia="Arial" w:hAnsi="Arial"/>
          <w:sz w:val="13"/>
          <w:szCs w:val="13"/>
          <w:color w:val="010000"/>
        </w:rPr>
      </w:pPr>
    </w:p>
    <w:p>
      <w:pPr>
        <w:jc w:val="both"/>
        <w:ind w:left="120" w:right="119" w:firstLine="1755"/>
        <w:spacing w:after="0" w:line="216" w:lineRule="auto"/>
        <w:tabs>
          <w:tab w:leader="none" w:pos="2102" w:val="left"/>
        </w:tabs>
        <w:numPr>
          <w:ilvl w:val="0"/>
          <w:numId w:val="89"/>
        </w:numPr>
        <w:rPr>
          <w:rFonts w:ascii="Arial" w:cs="Arial" w:eastAsia="Arial" w:hAnsi="Arial"/>
          <w:sz w:val="13"/>
          <w:szCs w:val="13"/>
          <w:color w:val="010000"/>
        </w:rPr>
      </w:pPr>
      <w:r>
        <w:rPr>
          <w:rFonts w:ascii="Arial" w:cs="Arial" w:eastAsia="Arial" w:hAnsi="Arial"/>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4" w:name="page105"/>
    <w:bookmarkEnd w:id="104"/>
    <w:p>
      <w:pPr>
        <w:jc w:val="both"/>
        <w:ind w:left="120" w:right="119"/>
        <w:spacing w:after="0" w:line="228" w:lineRule="auto"/>
        <w:rPr>
          <w:sz w:val="20"/>
          <w:szCs w:val="20"/>
          <w:color w:val="auto"/>
        </w:rPr>
      </w:pPr>
      <w:r>
        <w:rPr>
          <w:rFonts w:ascii="Arial" w:cs="Arial" w:eastAsia="Arial" w:hAnsi="Arial"/>
          <w:sz w:val="13"/>
          <w:szCs w:val="13"/>
          <w:color w:val="auto"/>
        </w:rPr>
        <w:t>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12" w:lineRule="exact"/>
        <w:rPr>
          <w:sz w:val="20"/>
          <w:szCs w:val="20"/>
          <w:color w:val="auto"/>
        </w:rPr>
      </w:pPr>
    </w:p>
    <w:p>
      <w:pPr>
        <w:jc w:val="both"/>
        <w:ind w:left="120" w:right="119" w:firstLine="438"/>
        <w:spacing w:after="0" w:line="283" w:lineRule="auto"/>
        <w:rPr>
          <w:sz w:val="20"/>
          <w:szCs w:val="20"/>
          <w:color w:val="auto"/>
        </w:rPr>
      </w:pPr>
      <w:r>
        <w:rPr>
          <w:rFonts w:ascii="Arial" w:cs="Arial" w:eastAsia="Arial" w:hAnsi="Arial"/>
          <w:sz w:val="13"/>
          <w:szCs w:val="13"/>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94" w:lineRule="exact"/>
        <w:rPr>
          <w:sz w:val="20"/>
          <w:szCs w:val="20"/>
          <w:color w:val="auto"/>
        </w:rPr>
      </w:pPr>
    </w:p>
    <w:p>
      <w:pPr>
        <w:jc w:val="both"/>
        <w:ind w:left="120" w:right="119" w:firstLine="879"/>
        <w:spacing w:after="0" w:line="228" w:lineRule="auto"/>
        <w:tabs>
          <w:tab w:leader="none" w:pos="1197" w:val="left"/>
        </w:tabs>
        <w:numPr>
          <w:ilvl w:val="0"/>
          <w:numId w:val="90"/>
        </w:numPr>
        <w:rPr>
          <w:rFonts w:ascii="Arial" w:cs="Arial" w:eastAsia="Arial" w:hAnsi="Arial"/>
          <w:sz w:val="12"/>
          <w:szCs w:val="12"/>
          <w:color w:val="010000"/>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04" w:lineRule="exact"/>
        <w:rPr>
          <w:rFonts w:ascii="Arial" w:cs="Arial" w:eastAsia="Arial" w:hAnsi="Arial"/>
          <w:sz w:val="12"/>
          <w:szCs w:val="12"/>
          <w:color w:val="010000"/>
        </w:rPr>
      </w:pPr>
    </w:p>
    <w:p>
      <w:pPr>
        <w:jc w:val="both"/>
        <w:ind w:left="120" w:right="119" w:firstLine="879"/>
        <w:spacing w:after="0" w:line="228" w:lineRule="auto"/>
        <w:tabs>
          <w:tab w:leader="none" w:pos="1197" w:val="left"/>
        </w:tabs>
        <w:numPr>
          <w:ilvl w:val="0"/>
          <w:numId w:val="90"/>
        </w:numPr>
        <w:rPr>
          <w:rFonts w:ascii="Arial" w:cs="Arial" w:eastAsia="Arial" w:hAnsi="Arial"/>
          <w:sz w:val="13"/>
          <w:szCs w:val="13"/>
          <w:color w:val="010000"/>
        </w:rPr>
      </w:pPr>
      <w:r>
        <w:rPr>
          <w:rFonts w:ascii="Arial" w:cs="Arial" w:eastAsia="Arial" w:hAnsi="Arial"/>
          <w:sz w:val="13"/>
          <w:szCs w:val="13"/>
          <w:u w:val="single" w:color="auto"/>
          <w:color w:val="auto"/>
        </w:rPr>
        <w:t>Survival</w:t>
      </w:r>
      <w:r>
        <w:rPr>
          <w:rFonts w:ascii="Arial" w:cs="Arial" w:eastAsia="Arial" w:hAnsi="Arial"/>
          <w:sz w:val="13"/>
          <w:szCs w:val="13"/>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93" w:lineRule="exact"/>
        <w:rPr>
          <w:rFonts w:ascii="Arial" w:cs="Arial" w:eastAsia="Arial" w:hAnsi="Arial"/>
          <w:sz w:val="13"/>
          <w:szCs w:val="13"/>
          <w:color w:val="010000"/>
        </w:rPr>
      </w:pPr>
    </w:p>
    <w:p>
      <w:pPr>
        <w:ind w:left="1180" w:hanging="181"/>
        <w:spacing w:after="0"/>
        <w:tabs>
          <w:tab w:leader="none" w:pos="1180" w:val="left"/>
        </w:tabs>
        <w:numPr>
          <w:ilvl w:val="0"/>
          <w:numId w:val="90"/>
        </w:numPr>
        <w:rPr>
          <w:rFonts w:ascii="Arial" w:cs="Arial" w:eastAsia="Arial" w:hAnsi="Arial"/>
          <w:sz w:val="13"/>
          <w:szCs w:val="13"/>
          <w:color w:val="010000"/>
        </w:rPr>
      </w:pPr>
      <w:r>
        <w:rPr>
          <w:rFonts w:ascii="Arial" w:cs="Arial" w:eastAsia="Arial" w:hAnsi="Arial"/>
          <w:sz w:val="13"/>
          <w:szCs w:val="13"/>
          <w:u w:val="single" w:color="auto"/>
          <w:color w:val="auto"/>
        </w:rPr>
        <w:t>Defined Terms</w:t>
      </w:r>
      <w:r>
        <w:rPr>
          <w:rFonts w:ascii="Arial" w:cs="Arial" w:eastAsia="Arial" w:hAnsi="Arial"/>
          <w:sz w:val="13"/>
          <w:szCs w:val="13"/>
          <w:color w:val="auto"/>
        </w:rPr>
        <w:t>.  For purposes of this Section 2.17, the term “Lender” includes any Issuing Bank and the term “applicable law” includes</w:t>
      </w:r>
    </w:p>
    <w:p>
      <w:pPr>
        <w:ind w:left="120"/>
        <w:spacing w:after="0"/>
        <w:rPr>
          <w:rFonts w:ascii="Arial" w:cs="Arial" w:eastAsia="Arial" w:hAnsi="Arial"/>
          <w:sz w:val="13"/>
          <w:szCs w:val="13"/>
          <w:color w:val="010000"/>
        </w:rPr>
      </w:pPr>
      <w:r>
        <w:rPr>
          <w:rFonts w:ascii="Arial" w:cs="Arial" w:eastAsia="Arial" w:hAnsi="Arial"/>
          <w:sz w:val="13"/>
          <w:szCs w:val="13"/>
          <w:color w:val="auto"/>
        </w:rPr>
        <w:t>FATCA.</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2.18 </w:t>
      </w:r>
      <w:r>
        <w:rPr>
          <w:rFonts w:ascii="Arial" w:cs="Arial" w:eastAsia="Arial" w:hAnsi="Arial"/>
          <w:sz w:val="13"/>
          <w:szCs w:val="13"/>
          <w:u w:val="single" w:color="auto"/>
          <w:color w:val="000000"/>
        </w:rPr>
        <w:t>Payments Generally; Allocation of Proceeds; Sharing of Set-offs.</w:t>
      </w:r>
    </w:p>
    <w:p>
      <w:pPr>
        <w:spacing w:after="0" w:line="316" w:lineRule="exact"/>
        <w:rPr>
          <w:sz w:val="20"/>
          <w:szCs w:val="20"/>
          <w:color w:val="auto"/>
        </w:rPr>
      </w:pPr>
    </w:p>
    <w:p>
      <w:pPr>
        <w:jc w:val="both"/>
        <w:ind w:left="120" w:right="119" w:firstLine="879"/>
        <w:spacing w:after="0" w:line="230" w:lineRule="auto"/>
        <w:tabs>
          <w:tab w:leader="none" w:pos="1189" w:val="left"/>
        </w:tabs>
        <w:numPr>
          <w:ilvl w:val="0"/>
          <w:numId w:val="91"/>
        </w:numPr>
        <w:rPr>
          <w:rFonts w:ascii="Arial" w:cs="Arial" w:eastAsia="Arial" w:hAnsi="Arial"/>
          <w:sz w:val="12"/>
          <w:szCs w:val="12"/>
          <w:color w:val="010000"/>
        </w:rPr>
      </w:pPr>
      <w:r>
        <w:rPr>
          <w:rFonts w:ascii="Arial" w:cs="Arial" w:eastAsia="Arial" w:hAnsi="Arial"/>
          <w:sz w:val="12"/>
          <w:szCs w:val="12"/>
          <w:color w:val="auto"/>
        </w:rPr>
        <w:t>The Borrower shall make each payment required to be made by it hereunder (whether of principal, interest, fees or reimbursement of LC Disbursements, or of amounts payable under Sections 2.15, 2.16 or 2.17, or otherwise) prior to 3:00 p.m., New York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Floor L2, Suite IL1-0480, Chicago, IL, 60603-2300,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05" w:name="page106"/>
    <w:bookmarkEnd w:id="105"/>
    <w:p>
      <w:pPr>
        <w:ind w:left="120"/>
        <w:spacing w:after="0"/>
        <w:rPr>
          <w:sz w:val="20"/>
          <w:szCs w:val="20"/>
          <w:color w:val="auto"/>
        </w:rPr>
      </w:pPr>
      <w:r>
        <w:rPr>
          <w:rFonts w:ascii="Arial" w:cs="Arial" w:eastAsia="Arial" w:hAnsi="Arial"/>
          <w:sz w:val="13"/>
          <w:szCs w:val="13"/>
          <w:color w:val="auto"/>
        </w:rPr>
        <w:t>accruing interest, interest thereon shall be payable for the period of such extension. All payments hereunder shall be made in dollars.</w:t>
      </w:r>
    </w:p>
    <w:p>
      <w:pPr>
        <w:spacing w:after="0" w:line="124" w:lineRule="exact"/>
        <w:rPr>
          <w:sz w:val="20"/>
          <w:szCs w:val="20"/>
          <w:color w:val="auto"/>
        </w:rPr>
      </w:pPr>
    </w:p>
    <w:p>
      <w:pPr>
        <w:ind w:left="1200" w:hanging="201"/>
        <w:spacing w:after="0"/>
        <w:tabs>
          <w:tab w:leader="none" w:pos="1200" w:val="left"/>
        </w:tabs>
        <w:numPr>
          <w:ilvl w:val="1"/>
          <w:numId w:val="92"/>
        </w:numPr>
        <w:rPr>
          <w:rFonts w:ascii="Arial" w:cs="Arial" w:eastAsia="Arial" w:hAnsi="Arial"/>
          <w:sz w:val="12"/>
          <w:szCs w:val="12"/>
          <w:color w:val="010000"/>
        </w:rPr>
      </w:pPr>
      <w:r>
        <w:rPr>
          <w:rFonts w:ascii="Arial" w:cs="Arial" w:eastAsia="Arial" w:hAnsi="Arial"/>
          <w:sz w:val="12"/>
          <w:szCs w:val="12"/>
          <w:color w:val="auto"/>
        </w:rPr>
        <w:t>Any proceeds of Collateral or any payment by or on behalf of any Loan Party received by the Administrative Agent (i) not constituting either</w:t>
      </w:r>
    </w:p>
    <w:p>
      <w:pPr>
        <w:spacing w:after="0" w:line="1" w:lineRule="exact"/>
        <w:rPr>
          <w:rFonts w:ascii="Arial" w:cs="Arial" w:eastAsia="Arial" w:hAnsi="Arial"/>
          <w:sz w:val="12"/>
          <w:szCs w:val="12"/>
          <w:color w:val="010000"/>
        </w:rPr>
      </w:pPr>
    </w:p>
    <w:p>
      <w:pPr>
        <w:jc w:val="both"/>
        <w:ind w:left="120" w:right="119" w:firstLine="4"/>
        <w:spacing w:after="0" w:line="239" w:lineRule="auto"/>
        <w:tabs>
          <w:tab w:leader="none" w:pos="344"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shall be applied ratably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pay any fees, indemnities, or expense reimbursements then due to the Administrative Agent, the Swingline Lender and the Issuing Bank from the Borrower (other than in connection with Banking Services Obligations or Swap Agreement Obligations),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pay any fees, indemnities, or expense reimbursements then due to the Lenders from the Borrower (other than in connection with Banking Services Obligations or Swap Agreement Obligations), </w:t>
      </w: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pay interest then due and payable on the Loans ratably, </w:t>
      </w:r>
      <w:r>
        <w:rPr>
          <w:rFonts w:ascii="Arial" w:cs="Arial" w:eastAsia="Arial" w:hAnsi="Arial"/>
          <w:sz w:val="12"/>
          <w:szCs w:val="12"/>
          <w:u w:val="single" w:color="auto"/>
          <w:color w:val="auto"/>
        </w:rPr>
        <w:t>fourth</w:t>
      </w:r>
      <w:r>
        <w:rPr>
          <w:rFonts w:ascii="Arial" w:cs="Arial" w:eastAsia="Arial" w:hAnsi="Arial"/>
          <w:sz w:val="12"/>
          <w:szCs w:val="12"/>
          <w:color w:val="auto"/>
        </w:rPr>
        <w:t xml:space="preserve">, to prepay principal on the Loans and unreimbursed LC Disbursements and to pay any amounts owing in respect of Swap Agreement Obligations and Banking Services Obligations up to and including the amount most recently provided to the Administrative Agent pursuant to Section 2.22, ratably (with amounts allocated to the Term Loans of any Class applied to reduce the subsequent scheduled repayments of the Term Loans of such Class to be made pursuant to Section 2.10 ratably based on the amount of such scheduled repayments), </w:t>
      </w:r>
      <w:r>
        <w:rPr>
          <w:rFonts w:ascii="Arial" w:cs="Arial" w:eastAsia="Arial" w:hAnsi="Arial"/>
          <w:sz w:val="12"/>
          <w:szCs w:val="12"/>
          <w:u w:val="single" w:color="auto"/>
          <w:color w:val="auto"/>
        </w:rPr>
        <w:t>fifth</w:t>
      </w:r>
      <w:r>
        <w:rPr>
          <w:rFonts w:ascii="Arial" w:cs="Arial" w:eastAsia="Arial" w:hAnsi="Arial"/>
          <w:sz w:val="12"/>
          <w:szCs w:val="12"/>
          <w:color w:val="auto"/>
        </w:rPr>
        <w:t xml:space="preserve">, to pay an amount to the Administrative Agent equal to one hundred three percent (103%) of the aggregate LC Exposure, to be held as cash collateral for such Obligations, and </w:t>
      </w:r>
      <w:r>
        <w:rPr>
          <w:rFonts w:ascii="Arial" w:cs="Arial" w:eastAsia="Arial" w:hAnsi="Arial"/>
          <w:sz w:val="12"/>
          <w:szCs w:val="12"/>
          <w:u w:val="single" w:color="auto"/>
          <w:color w:val="auto"/>
        </w:rPr>
        <w:t>sixth</w:t>
      </w:r>
      <w:r>
        <w:rPr>
          <w:rFonts w:ascii="Arial" w:cs="Arial" w:eastAsia="Arial" w:hAnsi="Arial"/>
          <w:sz w:val="12"/>
          <w:szCs w:val="12"/>
          <w:color w:val="auto"/>
        </w:rPr>
        <w:t>, to the payment of any other Secured Obligation due to the Administrative Agent or any Lender from the Borrower or any other Loan Party</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anything to the contrary contained in this Agreement, unless so directed by the Borrower, or unless an Event of Default is in existence, neither the Administrative Agent nor any Lender shall apply any payment which it receives to any Eurodollar Loan of a Class, except (i) on the expiration date of the Interest Period applicable thereto, or (ii) in the event, and only to the extent, that there are no outstanding ABR Loans of the same Class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06" w:lineRule="exact"/>
        <w:rPr>
          <w:sz w:val="20"/>
          <w:szCs w:val="20"/>
          <w:color w:val="auto"/>
        </w:rPr>
      </w:pPr>
    </w:p>
    <w:p>
      <w:pPr>
        <w:jc w:val="both"/>
        <w:ind w:left="120" w:right="119" w:firstLine="438"/>
        <w:spacing w:after="0" w:line="266" w:lineRule="auto"/>
        <w:rPr>
          <w:sz w:val="20"/>
          <w:szCs w:val="20"/>
          <w:color w:val="auto"/>
        </w:rPr>
      </w:pPr>
      <w:r>
        <w:rPr>
          <w:rFonts w:ascii="Arial" w:cs="Arial" w:eastAsia="Arial" w:hAnsi="Arial"/>
          <w:sz w:val="12"/>
          <w:szCs w:val="12"/>
          <w:color w:val="auto"/>
        </w:rPr>
        <w:t xml:space="preserve">Notwithstanding the foregoing, Secured Obligations arising under Banking Services Obligations or Swap Agreement Obligations shall be excluded from the application described above and paid in clause </w:t>
      </w:r>
      <w:r>
        <w:rPr>
          <w:rFonts w:ascii="Arial" w:cs="Arial" w:eastAsia="Arial" w:hAnsi="Arial"/>
          <w:sz w:val="12"/>
          <w:szCs w:val="12"/>
          <w:u w:val="single" w:color="auto"/>
          <w:color w:val="auto"/>
        </w:rPr>
        <w:t>sixth</w:t>
      </w:r>
      <w:r>
        <w:rPr>
          <w:rFonts w:ascii="Arial" w:cs="Arial" w:eastAsia="Arial" w:hAnsi="Arial"/>
          <w:sz w:val="12"/>
          <w:szCs w:val="12"/>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98" w:lineRule="exact"/>
        <w:rPr>
          <w:sz w:val="20"/>
          <w:szCs w:val="20"/>
          <w:color w:val="auto"/>
        </w:rPr>
      </w:pPr>
    </w:p>
    <w:p>
      <w:pPr>
        <w:jc w:val="both"/>
        <w:ind w:left="120" w:right="119" w:firstLine="879"/>
        <w:spacing w:after="0" w:line="216" w:lineRule="auto"/>
        <w:tabs>
          <w:tab w:leader="none" w:pos="1189" w:val="left"/>
        </w:tabs>
        <w:numPr>
          <w:ilvl w:val="0"/>
          <w:numId w:val="94"/>
        </w:numPr>
        <w:rPr>
          <w:rFonts w:ascii="Arial" w:cs="Arial" w:eastAsia="Arial" w:hAnsi="Arial"/>
          <w:sz w:val="13"/>
          <w:szCs w:val="13"/>
          <w:color w:val="010000"/>
        </w:rPr>
      </w:pPr>
      <w:r>
        <w:rPr>
          <w:rFonts w:ascii="Arial" w:cs="Arial" w:eastAsia="Arial" w:hAnsi="Arial"/>
          <w:sz w:val="13"/>
          <w:szCs w:val="13"/>
          <w:color w:val="auto"/>
        </w:rPr>
        <w:t>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made following a request by the Borrower pursuant to Section 2.03 or 2.05 or may be deducted from any deposit account of the Borrower maintained with the Administrative Agent. The Borrower hereby irrevocably authorizes the Administrative Agent to charge any deposit account of the Borrower maintained with the Administrative Agent for each payment of principal, interest and fees as it becomes due hereunder or any other amount due under the Loan Documents.</w:t>
      </w:r>
    </w:p>
    <w:p>
      <w:pPr>
        <w:spacing w:after="0" w:line="104" w:lineRule="exact"/>
        <w:rPr>
          <w:rFonts w:ascii="Arial" w:cs="Arial" w:eastAsia="Arial" w:hAnsi="Arial"/>
          <w:sz w:val="13"/>
          <w:szCs w:val="13"/>
          <w:color w:val="010000"/>
        </w:rPr>
      </w:pPr>
    </w:p>
    <w:p>
      <w:pPr>
        <w:jc w:val="both"/>
        <w:ind w:left="120" w:right="119" w:firstLine="879"/>
        <w:spacing w:after="0" w:line="222" w:lineRule="auto"/>
        <w:tabs>
          <w:tab w:leader="none" w:pos="1197" w:val="left"/>
        </w:tabs>
        <w:numPr>
          <w:ilvl w:val="0"/>
          <w:numId w:val="94"/>
        </w:numPr>
        <w:rPr>
          <w:rFonts w:ascii="Arial" w:cs="Arial" w:eastAsia="Arial" w:hAnsi="Arial"/>
          <w:sz w:val="13"/>
          <w:szCs w:val="13"/>
          <w:color w:val="010000"/>
        </w:rPr>
      </w:pPr>
      <w:r>
        <w:rPr>
          <w:rFonts w:ascii="Arial" w:cs="Arial" w:eastAsia="Arial" w:hAnsi="Arial"/>
          <w:sz w:val="13"/>
          <w:szCs w:val="13"/>
          <w:color w:val="auto"/>
        </w:rPr>
        <w:t>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06" w:name="page107"/>
    <w:bookmarkEnd w:id="106"/>
    <w:p>
      <w:pPr>
        <w:jc w:val="both"/>
        <w:ind w:left="120" w:right="119"/>
        <w:spacing w:after="0" w:line="211" w:lineRule="auto"/>
        <w:rPr>
          <w:sz w:val="20"/>
          <w:szCs w:val="20"/>
          <w:color w:val="auto"/>
        </w:rPr>
      </w:pPr>
      <w:r>
        <w:rPr>
          <w:rFonts w:ascii="Arial" w:cs="Arial" w:eastAsia="Arial" w:hAnsi="Arial"/>
          <w:sz w:val="13"/>
          <w:szCs w:val="13"/>
          <w:color w:val="auto"/>
        </w:rPr>
        <w:t xml:space="preserve">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05" w:lineRule="exact"/>
        <w:rPr>
          <w:sz w:val="20"/>
          <w:szCs w:val="20"/>
          <w:color w:val="auto"/>
        </w:rPr>
      </w:pPr>
    </w:p>
    <w:p>
      <w:pPr>
        <w:jc w:val="both"/>
        <w:ind w:left="120" w:right="119" w:firstLine="879"/>
        <w:spacing w:after="0" w:line="213" w:lineRule="auto"/>
        <w:tabs>
          <w:tab w:leader="none" w:pos="1189" w:val="left"/>
        </w:tabs>
        <w:numPr>
          <w:ilvl w:val="0"/>
          <w:numId w:val="95"/>
        </w:numPr>
        <w:rPr>
          <w:rFonts w:ascii="Arial" w:cs="Arial" w:eastAsia="Arial" w:hAnsi="Arial"/>
          <w:sz w:val="13"/>
          <w:szCs w:val="13"/>
          <w:color w:val="010000"/>
        </w:rPr>
      </w:pPr>
      <w:r>
        <w:rPr>
          <w:rFonts w:ascii="Arial" w:cs="Arial" w:eastAsia="Arial" w:hAnsi="Arial"/>
          <w:sz w:val="13"/>
          <w:szCs w:val="13"/>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05" w:lineRule="exact"/>
        <w:rPr>
          <w:rFonts w:ascii="Arial" w:cs="Arial" w:eastAsia="Arial" w:hAnsi="Arial"/>
          <w:sz w:val="13"/>
          <w:szCs w:val="13"/>
          <w:color w:val="010000"/>
        </w:rPr>
      </w:pPr>
    </w:p>
    <w:p>
      <w:pPr>
        <w:jc w:val="both"/>
        <w:ind w:left="120" w:right="119" w:firstLine="879"/>
        <w:spacing w:after="0" w:line="218" w:lineRule="auto"/>
        <w:tabs>
          <w:tab w:leader="none" w:pos="1175" w:val="left"/>
        </w:tabs>
        <w:numPr>
          <w:ilvl w:val="0"/>
          <w:numId w:val="95"/>
        </w:numPr>
        <w:rPr>
          <w:rFonts w:ascii="Arial" w:cs="Arial" w:eastAsia="Arial" w:hAnsi="Arial"/>
          <w:sz w:val="13"/>
          <w:szCs w:val="13"/>
          <w:color w:val="010000"/>
        </w:rPr>
      </w:pPr>
      <w:r>
        <w:rPr>
          <w:rFonts w:ascii="Arial" w:cs="Arial" w:eastAsia="Arial" w:hAnsi="Arial"/>
          <w:sz w:val="13"/>
          <w:szCs w:val="13"/>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such order as may be determined by the Administrative Agent in its discretion.</w:t>
      </w:r>
    </w:p>
    <w:p>
      <w:pPr>
        <w:spacing w:after="0" w:line="105" w:lineRule="exact"/>
        <w:rPr>
          <w:rFonts w:ascii="Arial" w:cs="Arial" w:eastAsia="Arial" w:hAnsi="Arial"/>
          <w:sz w:val="13"/>
          <w:szCs w:val="13"/>
          <w:color w:val="010000"/>
        </w:rPr>
      </w:pPr>
    </w:p>
    <w:p>
      <w:pPr>
        <w:jc w:val="both"/>
        <w:ind w:left="120" w:right="119" w:firstLine="879"/>
        <w:spacing w:after="0" w:line="214" w:lineRule="auto"/>
        <w:tabs>
          <w:tab w:leader="none" w:pos="1197" w:val="left"/>
        </w:tabs>
        <w:numPr>
          <w:ilvl w:val="0"/>
          <w:numId w:val="95"/>
        </w:numPr>
        <w:rPr>
          <w:rFonts w:ascii="Arial" w:cs="Arial" w:eastAsia="Arial" w:hAnsi="Arial"/>
          <w:sz w:val="13"/>
          <w:szCs w:val="13"/>
          <w:color w:val="010000"/>
        </w:rPr>
      </w:pPr>
      <w:r>
        <w:rPr>
          <w:rFonts w:ascii="Arial" w:cs="Arial" w:eastAsia="Arial" w:hAnsi="Arial"/>
          <w:sz w:val="13"/>
          <w:szCs w:val="13"/>
          <w:color w:val="auto"/>
        </w:rPr>
        <w:t>The Administrative Agent may from time to time provide the Borrower with account statements or invoices with respect to any of the Secured Obligations (the “</w:t>
      </w:r>
      <w:r>
        <w:rPr>
          <w:rFonts w:ascii="Arial" w:cs="Arial" w:eastAsia="Arial" w:hAnsi="Arial"/>
          <w:sz w:val="13"/>
          <w:szCs w:val="13"/>
          <w:u w:val="single" w:color="auto"/>
          <w:color w:val="auto"/>
        </w:rPr>
        <w:t>Statements</w:t>
      </w:r>
      <w:r>
        <w:rPr>
          <w:rFonts w:ascii="Arial" w:cs="Arial" w:eastAsia="Arial" w:hAnsi="Arial"/>
          <w:sz w:val="13"/>
          <w:szCs w:val="13"/>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07" w:name="page108"/>
    <w:bookmarkEnd w:id="107"/>
    <w:p>
      <w:pPr>
        <w:ind w:left="560"/>
        <w:spacing w:after="0"/>
        <w:rPr>
          <w:sz w:val="20"/>
          <w:szCs w:val="20"/>
          <w:color w:val="auto"/>
        </w:rPr>
      </w:pPr>
      <w:r>
        <w:rPr>
          <w:rFonts w:ascii="Arial" w:cs="Arial" w:eastAsia="Arial" w:hAnsi="Arial"/>
          <w:sz w:val="13"/>
          <w:szCs w:val="13"/>
          <w:color w:val="010000"/>
        </w:rPr>
        <w:t xml:space="preserve">SECTION 2.19 </w:t>
      </w:r>
      <w:r>
        <w:rPr>
          <w:rFonts w:ascii="Arial" w:cs="Arial" w:eastAsia="Arial" w:hAnsi="Arial"/>
          <w:sz w:val="13"/>
          <w:szCs w:val="13"/>
          <w:u w:val="single" w:color="auto"/>
          <w:color w:val="000000"/>
        </w:rPr>
        <w:t>Mitigation Obligations; Replacement of Lenders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34" w:lineRule="auto"/>
        <w:tabs>
          <w:tab w:leader="none" w:pos="1189" w:val="left"/>
        </w:tabs>
        <w:numPr>
          <w:ilvl w:val="0"/>
          <w:numId w:val="96"/>
        </w:numPr>
        <w:rPr>
          <w:rFonts w:ascii="Arial" w:cs="Arial" w:eastAsia="Arial" w:hAnsi="Arial"/>
          <w:sz w:val="12"/>
          <w:szCs w:val="12"/>
          <w:color w:val="010000"/>
        </w:rPr>
      </w:pPr>
      <w:r>
        <w:rPr>
          <w:rFonts w:ascii="Arial" w:cs="Arial" w:eastAsia="Arial" w:hAnsi="Arial"/>
          <w:sz w:val="12"/>
          <w:szCs w:val="12"/>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04" w:lineRule="exact"/>
        <w:rPr>
          <w:rFonts w:ascii="Arial" w:cs="Arial" w:eastAsia="Arial" w:hAnsi="Arial"/>
          <w:sz w:val="12"/>
          <w:szCs w:val="12"/>
          <w:color w:val="010000"/>
        </w:rPr>
      </w:pPr>
    </w:p>
    <w:p>
      <w:pPr>
        <w:jc w:val="both"/>
        <w:ind w:left="120" w:right="119" w:firstLine="879"/>
        <w:spacing w:after="0" w:line="227" w:lineRule="auto"/>
        <w:tabs>
          <w:tab w:leader="none" w:pos="1197" w:val="left"/>
        </w:tabs>
        <w:numPr>
          <w:ilvl w:val="0"/>
          <w:numId w:val="96"/>
        </w:numPr>
        <w:rPr>
          <w:rFonts w:ascii="Arial" w:cs="Arial" w:eastAsia="Arial" w:hAnsi="Arial"/>
          <w:sz w:val="12"/>
          <w:szCs w:val="12"/>
          <w:color w:val="010000"/>
        </w:rPr>
      </w:pPr>
      <w:r>
        <w:rPr>
          <w:rFonts w:ascii="Arial" w:cs="Arial" w:eastAsia="Arial" w:hAnsi="Arial"/>
          <w:sz w:val="12"/>
          <w:szCs w:val="12"/>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other Loan Documents to an assignee that shall assume such obligations (which assignee may be another Lender, if a Lender accepts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2.20 </w:t>
      </w:r>
      <w:r>
        <w:rPr>
          <w:rFonts w:ascii="Arial" w:cs="Arial" w:eastAsia="Arial" w:hAnsi="Arial"/>
          <w:sz w:val="13"/>
          <w:szCs w:val="13"/>
          <w:u w:val="single" w:color="auto"/>
          <w:color w:val="000000"/>
        </w:rPr>
        <w:t>Defaulting Lenders</w:t>
      </w:r>
      <w:r>
        <w:rPr>
          <w:rFonts w:ascii="Arial" w:cs="Arial" w:eastAsia="Arial" w:hAnsi="Arial"/>
          <w:sz w:val="13"/>
          <w:szCs w:val="13"/>
          <w:color w:val="000000"/>
        </w:rPr>
        <w:t>.</w:t>
      </w:r>
    </w:p>
    <w:p>
      <w:pPr>
        <w:spacing w:after="0" w:line="316" w:lineRule="exact"/>
        <w:rPr>
          <w:sz w:val="20"/>
          <w:szCs w:val="20"/>
          <w:color w:val="auto"/>
        </w:rPr>
      </w:pPr>
    </w:p>
    <w:p>
      <w:pPr>
        <w:ind w:left="120" w:right="119"/>
        <w:spacing w:after="0" w:line="254" w:lineRule="auto"/>
        <w:rPr>
          <w:sz w:val="20"/>
          <w:szCs w:val="20"/>
          <w:color w:val="auto"/>
        </w:rPr>
      </w:pPr>
      <w:r>
        <w:rPr>
          <w:rFonts w:ascii="Arial" w:cs="Arial" w:eastAsia="Arial" w:hAnsi="Arial"/>
          <w:sz w:val="13"/>
          <w:szCs w:val="13"/>
          <w:color w:val="auto"/>
        </w:rPr>
        <w:t>Notwithstanding any provision of this Agreement to the contrary, if any Lender becomes a Defaulting Lender, then the following provisions shall apply for so long as such Lender is a Defaulting Lender:</w:t>
      </w:r>
    </w:p>
    <w:p>
      <w:pPr>
        <w:spacing w:after="0" w:line="103" w:lineRule="exact"/>
        <w:rPr>
          <w:sz w:val="20"/>
          <w:szCs w:val="20"/>
          <w:color w:val="auto"/>
        </w:rPr>
      </w:pPr>
    </w:p>
    <w:p>
      <w:pPr>
        <w:ind w:left="1200" w:hanging="201"/>
        <w:spacing w:after="0"/>
        <w:tabs>
          <w:tab w:leader="none" w:pos="1200" w:val="left"/>
        </w:tabs>
        <w:numPr>
          <w:ilvl w:val="0"/>
          <w:numId w:val="97"/>
        </w:numPr>
        <w:rPr>
          <w:rFonts w:ascii="Arial" w:cs="Arial" w:eastAsia="Arial" w:hAnsi="Arial"/>
          <w:sz w:val="12"/>
          <w:szCs w:val="12"/>
          <w:color w:val="010000"/>
        </w:rPr>
      </w:pPr>
      <w:r>
        <w:rPr>
          <w:rFonts w:ascii="Arial" w:cs="Arial" w:eastAsia="Arial" w:hAnsi="Arial"/>
          <w:sz w:val="12"/>
          <w:szCs w:val="12"/>
          <w:color w:val="auto"/>
        </w:rPr>
        <w:t>fees shall cease to accrue on the unfunded portion of the Revolving Commitment of such Defaulting Lender pursuant to Section 2.12(a);</w:t>
      </w:r>
    </w:p>
    <w:p>
      <w:pPr>
        <w:spacing w:after="0" w:line="135" w:lineRule="exact"/>
        <w:rPr>
          <w:rFonts w:ascii="Arial" w:cs="Arial" w:eastAsia="Arial" w:hAnsi="Arial"/>
          <w:sz w:val="12"/>
          <w:szCs w:val="12"/>
          <w:color w:val="010000"/>
        </w:rPr>
      </w:pPr>
    </w:p>
    <w:p>
      <w:pPr>
        <w:jc w:val="both"/>
        <w:ind w:left="120" w:right="119" w:firstLine="879"/>
        <w:spacing w:after="0" w:line="218" w:lineRule="auto"/>
        <w:tabs>
          <w:tab w:leader="none" w:pos="1197" w:val="left"/>
        </w:tabs>
        <w:numPr>
          <w:ilvl w:val="0"/>
          <w:numId w:val="97"/>
        </w:numPr>
        <w:rPr>
          <w:rFonts w:ascii="Arial" w:cs="Arial" w:eastAsia="Arial" w:hAnsi="Arial"/>
          <w:sz w:val="13"/>
          <w:szCs w:val="13"/>
          <w:color w:val="010000"/>
        </w:rPr>
      </w:pPr>
      <w:r>
        <w:rPr>
          <w:rFonts w:ascii="Arial" w:cs="Arial" w:eastAsia="Arial" w:hAnsi="Arial"/>
          <w:sz w:val="13"/>
          <w:szCs w:val="13"/>
          <w:color w:val="auto"/>
        </w:rPr>
        <w:t>such Defaulting Lender shall not have the right to vote on any issue on which voting is required (other than to the extent expressly provided in Section 9.02(b)) and the Commitment and Revolving Exposure and, if applicable, Term Commitment and Term Loans of such Defaulting Lender shall not be included in determining whether the Required Lenders have taken or may take any action hereunder or under any other Loan Document; provided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8" w:name="page109"/>
    <w:bookmarkEnd w:id="108"/>
    <w:p>
      <w:pPr>
        <w:ind w:left="1200" w:hanging="201"/>
        <w:spacing w:after="0"/>
        <w:tabs>
          <w:tab w:leader="none" w:pos="1200" w:val="left"/>
        </w:tabs>
        <w:numPr>
          <w:ilvl w:val="0"/>
          <w:numId w:val="98"/>
        </w:numPr>
        <w:rPr>
          <w:rFonts w:ascii="Arial" w:cs="Arial" w:eastAsia="Arial" w:hAnsi="Arial"/>
          <w:sz w:val="13"/>
          <w:szCs w:val="13"/>
          <w:color w:val="010000"/>
        </w:rPr>
      </w:pPr>
      <w:r>
        <w:rPr>
          <w:rFonts w:ascii="Arial" w:cs="Arial" w:eastAsia="Arial" w:hAnsi="Arial"/>
          <w:sz w:val="13"/>
          <w:szCs w:val="13"/>
          <w:color w:val="auto"/>
        </w:rPr>
        <w:t>if any Swingline Exposure or LC Exposure exists at the time such Lender becomes a Defaulting Lender then:</w:t>
      </w:r>
    </w:p>
    <w:p>
      <w:pPr>
        <w:spacing w:after="0" w:line="124" w:lineRule="exact"/>
        <w:rPr>
          <w:rFonts w:ascii="Arial" w:cs="Arial" w:eastAsia="Arial" w:hAnsi="Arial"/>
          <w:sz w:val="13"/>
          <w:szCs w:val="13"/>
          <w:color w:val="010000"/>
        </w:rPr>
      </w:pPr>
    </w:p>
    <w:p>
      <w:pPr>
        <w:jc w:val="both"/>
        <w:ind w:left="120" w:right="119" w:firstLine="1317"/>
        <w:spacing w:after="0" w:line="216" w:lineRule="auto"/>
        <w:tabs>
          <w:tab w:leader="none" w:pos="1605" w:val="left"/>
        </w:tabs>
        <w:numPr>
          <w:ilvl w:val="1"/>
          <w:numId w:val="98"/>
        </w:numPr>
        <w:rPr>
          <w:rFonts w:ascii="Arial" w:cs="Arial" w:eastAsia="Arial" w:hAnsi="Arial"/>
          <w:sz w:val="13"/>
          <w:szCs w:val="13"/>
          <w:color w:val="010000"/>
        </w:rPr>
      </w:pPr>
      <w:r>
        <w:rPr>
          <w:rFonts w:ascii="Arial" w:cs="Arial" w:eastAsia="Arial" w:hAnsi="Arial"/>
          <w:sz w:val="13"/>
          <w:szCs w:val="13"/>
          <w:color w:val="auto"/>
        </w:rPr>
        <w:t>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(x) to the extent that the conditions set forth in Section 4.02 are satisfied at the time of such reallocation (and, unless the Borrower shall have otherwise notified the Administrative Agent at such time, the Borrower shall be deemed to have represented and warranted that such conditions are satisfied at such time) and (y) to the extent that such reallocation does not, as to any non-Defaulting Lender, cause such non-Defaulting Lender’s Revolving Exposure to exceed its Revolving Commitment;</w:t>
      </w:r>
    </w:p>
    <w:p>
      <w:pPr>
        <w:spacing w:after="0" w:line="104" w:lineRule="exact"/>
        <w:rPr>
          <w:rFonts w:ascii="Arial" w:cs="Arial" w:eastAsia="Arial" w:hAnsi="Arial"/>
          <w:sz w:val="13"/>
          <w:szCs w:val="13"/>
          <w:color w:val="010000"/>
        </w:rPr>
      </w:pPr>
    </w:p>
    <w:p>
      <w:pPr>
        <w:jc w:val="both"/>
        <w:ind w:left="120" w:right="119" w:firstLine="1317"/>
        <w:spacing w:after="0" w:line="222" w:lineRule="auto"/>
        <w:tabs>
          <w:tab w:leader="none" w:pos="1642" w:val="left"/>
        </w:tabs>
        <w:numPr>
          <w:ilvl w:val="1"/>
          <w:numId w:val="98"/>
        </w:numPr>
        <w:rPr>
          <w:rFonts w:ascii="Arial" w:cs="Arial" w:eastAsia="Arial" w:hAnsi="Arial"/>
          <w:sz w:val="13"/>
          <w:szCs w:val="13"/>
          <w:color w:val="010000"/>
        </w:rPr>
      </w:pPr>
      <w:r>
        <w:rPr>
          <w:rFonts w:ascii="Arial" w:cs="Arial" w:eastAsia="Arial" w:hAnsi="Arial"/>
          <w:sz w:val="13"/>
          <w:szCs w:val="13"/>
          <w:color w:val="auto"/>
        </w:rPr>
        <w:t xml:space="preserve">if the reallocation described in clause (i) above cannot, or can only partially, be effected, the Borrower shall within one (1) Business Day following notice by the Administrative Agent (x)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prepay such Swingline Exposure and (y) </w:t>
      </w:r>
      <w:r>
        <w:rPr>
          <w:rFonts w:ascii="Arial" w:cs="Arial" w:eastAsia="Arial" w:hAnsi="Arial"/>
          <w:sz w:val="13"/>
          <w:szCs w:val="13"/>
          <w:u w:val="single" w:color="auto"/>
          <w:color w:val="auto"/>
        </w:rPr>
        <w:t>second</w:t>
      </w:r>
      <w:r>
        <w:rPr>
          <w:rFonts w:ascii="Arial" w:cs="Arial" w:eastAsia="Arial" w:hAnsi="Arial"/>
          <w:sz w:val="13"/>
          <w:szCs w:val="13"/>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03" w:lineRule="exact"/>
        <w:rPr>
          <w:rFonts w:ascii="Arial" w:cs="Arial" w:eastAsia="Arial" w:hAnsi="Arial"/>
          <w:sz w:val="13"/>
          <w:szCs w:val="13"/>
          <w:color w:val="010000"/>
        </w:rPr>
      </w:pPr>
    </w:p>
    <w:p>
      <w:pPr>
        <w:jc w:val="both"/>
        <w:ind w:left="120" w:right="119" w:firstLine="1317"/>
        <w:spacing w:after="0" w:line="228" w:lineRule="auto"/>
        <w:tabs>
          <w:tab w:leader="none" w:pos="1679" w:val="left"/>
        </w:tabs>
        <w:numPr>
          <w:ilvl w:val="1"/>
          <w:numId w:val="98"/>
        </w:numPr>
        <w:rPr>
          <w:rFonts w:ascii="Arial" w:cs="Arial" w:eastAsia="Arial" w:hAnsi="Arial"/>
          <w:sz w:val="13"/>
          <w:szCs w:val="13"/>
          <w:color w:val="010000"/>
        </w:rPr>
      </w:pPr>
      <w:r>
        <w:rPr>
          <w:rFonts w:ascii="Arial" w:cs="Arial" w:eastAsia="Arial" w:hAnsi="Arial"/>
          <w:sz w:val="13"/>
          <w:szCs w:val="13"/>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02" w:lineRule="exact"/>
        <w:rPr>
          <w:rFonts w:ascii="Arial" w:cs="Arial" w:eastAsia="Arial" w:hAnsi="Arial"/>
          <w:sz w:val="13"/>
          <w:szCs w:val="13"/>
          <w:color w:val="010000"/>
        </w:rPr>
      </w:pPr>
    </w:p>
    <w:p>
      <w:pPr>
        <w:ind w:left="120" w:right="119" w:firstLine="1317"/>
        <w:spacing w:after="0" w:line="239" w:lineRule="auto"/>
        <w:tabs>
          <w:tab w:leader="none" w:pos="1672" w:val="left"/>
        </w:tabs>
        <w:numPr>
          <w:ilvl w:val="1"/>
          <w:numId w:val="98"/>
        </w:numPr>
        <w:rPr>
          <w:rFonts w:ascii="Arial" w:cs="Arial" w:eastAsia="Arial" w:hAnsi="Arial"/>
          <w:sz w:val="13"/>
          <w:szCs w:val="13"/>
          <w:color w:val="010000"/>
        </w:rPr>
      </w:pPr>
      <w:r>
        <w:rPr>
          <w:rFonts w:ascii="Arial" w:cs="Arial" w:eastAsia="Arial" w:hAnsi="Arial"/>
          <w:sz w:val="13"/>
          <w:szCs w:val="13"/>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03" w:lineRule="exact"/>
        <w:rPr>
          <w:rFonts w:ascii="Arial" w:cs="Arial" w:eastAsia="Arial" w:hAnsi="Arial"/>
          <w:sz w:val="13"/>
          <w:szCs w:val="13"/>
          <w:color w:val="010000"/>
        </w:rPr>
      </w:pPr>
    </w:p>
    <w:p>
      <w:pPr>
        <w:jc w:val="both"/>
        <w:ind w:left="120" w:right="119" w:firstLine="1317"/>
        <w:spacing w:after="0" w:line="222" w:lineRule="auto"/>
        <w:tabs>
          <w:tab w:leader="none" w:pos="1635" w:val="left"/>
        </w:tabs>
        <w:numPr>
          <w:ilvl w:val="1"/>
          <w:numId w:val="98"/>
        </w:numPr>
        <w:rPr>
          <w:rFonts w:ascii="Arial" w:cs="Arial" w:eastAsia="Arial" w:hAnsi="Arial"/>
          <w:sz w:val="13"/>
          <w:szCs w:val="13"/>
          <w:color w:val="010000"/>
        </w:rPr>
      </w:pPr>
      <w:r>
        <w:rPr>
          <w:rFonts w:ascii="Arial" w:cs="Arial" w:eastAsia="Arial" w:hAnsi="Arial"/>
          <w:sz w:val="13"/>
          <w:szCs w:val="13"/>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03" w:lineRule="exact"/>
        <w:rPr>
          <w:rFonts w:ascii="Arial" w:cs="Arial" w:eastAsia="Arial" w:hAnsi="Arial"/>
          <w:sz w:val="13"/>
          <w:szCs w:val="13"/>
          <w:color w:val="010000"/>
        </w:rPr>
      </w:pPr>
    </w:p>
    <w:p>
      <w:pPr>
        <w:jc w:val="both"/>
        <w:ind w:left="120" w:right="119" w:firstLine="879"/>
        <w:spacing w:after="0" w:line="216" w:lineRule="auto"/>
        <w:tabs>
          <w:tab w:leader="none" w:pos="1197" w:val="left"/>
        </w:tabs>
        <w:numPr>
          <w:ilvl w:val="0"/>
          <w:numId w:val="98"/>
        </w:numPr>
        <w:rPr>
          <w:rFonts w:ascii="Arial" w:cs="Arial" w:eastAsia="Arial" w:hAnsi="Arial"/>
          <w:sz w:val="13"/>
          <w:szCs w:val="13"/>
          <w:color w:val="010000"/>
        </w:rPr>
      </w:pPr>
      <w:r>
        <w:rPr>
          <w:rFonts w:ascii="Arial" w:cs="Arial" w:eastAsia="Arial" w:hAnsi="Arial"/>
          <w:sz w:val="13"/>
          <w:szCs w:val="13"/>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 in accordance with Section 2.20(c), and Swingline Exposure related to any such newly made Swingline Loan or LC Exposure related to any newly issued or increased Letter of Credit shall be allocated among non-Defaulting Lenders in a manner consistent with Section 2.20(c)(i) (and such Defaulting Lender shall not participate therein).</w:t>
      </w:r>
    </w:p>
    <w:p>
      <w:pPr>
        <w:spacing w:after="0" w:line="105"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9" w:name="page110"/>
    <w:bookmarkEnd w:id="109"/>
    <w:p>
      <w:pPr>
        <w:jc w:val="both"/>
        <w:ind w:left="120" w:right="119"/>
        <w:spacing w:after="0" w:line="254" w:lineRule="auto"/>
        <w:rPr>
          <w:sz w:val="20"/>
          <w:szCs w:val="20"/>
          <w:color w:val="auto"/>
        </w:rPr>
      </w:pPr>
      <w:r>
        <w:rPr>
          <w:rFonts w:ascii="Arial" w:cs="Arial" w:eastAsia="Arial" w:hAnsi="Arial"/>
          <w:sz w:val="13"/>
          <w:szCs w:val="13"/>
          <w:color w:val="auto"/>
        </w:rPr>
        <w:t>into arrangements with the Borrower or such Lender, satisfactory to the Swingline Lender or the Issuing Bank, as the case may be, to defease any risk to it in respect of such Lender hereunder.</w:t>
      </w:r>
    </w:p>
    <w:p>
      <w:pPr>
        <w:spacing w:after="0" w:line="10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14" w:lineRule="exact"/>
        <w:rPr>
          <w:sz w:val="20"/>
          <w:szCs w:val="20"/>
          <w:color w:val="auto"/>
        </w:rPr>
      </w:pPr>
    </w:p>
    <w:p>
      <w:pPr>
        <w:ind w:left="120" w:right="179" w:firstLine="438"/>
        <w:spacing w:after="0" w:line="246" w:lineRule="auto"/>
        <w:rPr>
          <w:sz w:val="20"/>
          <w:szCs w:val="20"/>
          <w:color w:val="auto"/>
        </w:rPr>
      </w:pPr>
      <w:r>
        <w:rPr>
          <w:rFonts w:ascii="Arial" w:cs="Arial" w:eastAsia="Arial" w:hAnsi="Arial"/>
          <w:sz w:val="12"/>
          <w:szCs w:val="12"/>
          <w:color w:val="010000"/>
        </w:rPr>
        <w:t xml:space="preserve">SECTION 2.21 </w:t>
      </w:r>
      <w:r>
        <w:rPr>
          <w:rFonts w:ascii="Arial" w:cs="Arial" w:eastAsia="Arial" w:hAnsi="Arial"/>
          <w:sz w:val="12"/>
          <w:szCs w:val="12"/>
          <w:u w:val="single" w:color="auto"/>
          <w:color w:val="000000"/>
        </w:rPr>
        <w:t>Returned Payments</w:t>
      </w:r>
      <w:r>
        <w:rPr>
          <w:rFonts w:ascii="Arial" w:cs="Arial" w:eastAsia="Arial" w:hAnsi="Arial"/>
          <w:sz w:val="12"/>
          <w:szCs w:val="12"/>
          <w:color w:val="000000"/>
        </w:rPr>
        <w:t>. If, after receipt of any payment which is applied to the payment of all or any part of the Obligations (including a</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1639570</wp:posOffset>
            </wp:positionH>
            <wp:positionV relativeFrom="paragraph">
              <wp:posOffset>-628650</wp:posOffset>
            </wp:positionV>
            <wp:extent cx="382968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29685" cy="5715"/>
                    </a:xfrm>
                    <a:prstGeom prst="rect">
                      <a:avLst/>
                    </a:prstGeom>
                    <a:noFill/>
                  </pic:spPr>
                </pic:pic>
              </a:graphicData>
            </a:graphic>
          </wp:anchor>
        </w:drawing>
      </w:r>
    </w:p>
    <w:p>
      <w:pPr>
        <w:spacing w:after="0" w:line="271" w:lineRule="exact"/>
        <w:rPr>
          <w:sz w:val="20"/>
          <w:szCs w:val="20"/>
          <w:color w:val="auto"/>
        </w:rPr>
      </w:pPr>
    </w:p>
    <w:p>
      <w:pPr>
        <w:ind w:left="120" w:right="139" w:firstLine="438"/>
        <w:spacing w:after="0" w:line="226" w:lineRule="auto"/>
        <w:rPr>
          <w:sz w:val="20"/>
          <w:szCs w:val="20"/>
          <w:color w:val="auto"/>
        </w:rPr>
      </w:pPr>
      <w:r>
        <w:rPr>
          <w:rFonts w:ascii="Arial" w:cs="Arial" w:eastAsia="Arial" w:hAnsi="Arial"/>
          <w:sz w:val="13"/>
          <w:szCs w:val="13"/>
          <w:color w:val="010000"/>
        </w:rPr>
        <w:t xml:space="preserve">SECTION 2.22 </w:t>
      </w:r>
      <w:r>
        <w:rPr>
          <w:rFonts w:ascii="Arial" w:cs="Arial" w:eastAsia="Arial" w:hAnsi="Arial"/>
          <w:sz w:val="13"/>
          <w:szCs w:val="13"/>
          <w:u w:val="single" w:color="auto"/>
          <w:color w:val="000000"/>
        </w:rPr>
        <w:t>Banking Services and Swap Agreements</w:t>
      </w:r>
      <w:r>
        <w:rPr>
          <w:rFonts w:ascii="Arial" w:cs="Arial" w:eastAsia="Arial" w:hAnsi="Arial"/>
          <w:sz w:val="13"/>
          <w:szCs w:val="13"/>
          <w:color w:val="000000"/>
        </w:rPr>
        <w:t>. Each Lender or Affiliate thereof providing Banking Services for, or having Swap Agreements</w:t>
      </w:r>
      <w:r>
        <w:rPr>
          <w:rFonts w:ascii="Arial" w:cs="Arial" w:eastAsia="Arial" w:hAnsi="Arial"/>
          <w:sz w:val="13"/>
          <w:szCs w:val="13"/>
          <w:color w:val="010000"/>
        </w:rPr>
        <w:t xml:space="preserve"> </w:t>
      </w:r>
      <w:r>
        <w:rPr>
          <w:rFonts w:ascii="Arial" w:cs="Arial" w:eastAsia="Arial" w:hAnsi="Arial"/>
          <w:sz w:val="13"/>
          <w:szCs w:val="13"/>
          <w:color w:val="000000"/>
        </w:rPr>
        <w:t>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010000"/>
        </w:rPr>
        <w:t>ARTICLE III</w:t>
      </w:r>
    </w:p>
    <w:p>
      <w:pPr>
        <w:spacing w:after="0" w:line="115" w:lineRule="exact"/>
        <w:rPr>
          <w:sz w:val="20"/>
          <w:szCs w:val="20"/>
          <w:color w:val="auto"/>
        </w:rPr>
      </w:pPr>
    </w:p>
    <w:p>
      <w:pPr>
        <w:ind w:left="3660"/>
        <w:spacing w:after="0"/>
        <w:rPr>
          <w:sz w:val="20"/>
          <w:szCs w:val="20"/>
          <w:color w:val="auto"/>
        </w:rPr>
      </w:pPr>
      <w:r>
        <w:rPr>
          <w:rFonts w:ascii="Arial" w:cs="Arial" w:eastAsia="Arial" w:hAnsi="Arial"/>
          <w:sz w:val="13"/>
          <w:szCs w:val="13"/>
          <w:u w:val="single" w:color="auto"/>
          <w:color w:val="auto"/>
        </w:rPr>
        <w:t>Representations and Warranties</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Each Loan Party represents and warrants to the Lenders that (and where applicable, agrees):</w:t>
      </w:r>
    </w:p>
    <w:p>
      <w:pPr>
        <w:spacing w:after="0" w:line="13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010000"/>
        </w:rPr>
        <w:t xml:space="preserve">SECTION 3.01 </w:t>
      </w:r>
      <w:r>
        <w:rPr>
          <w:rFonts w:ascii="Arial" w:cs="Arial" w:eastAsia="Arial" w:hAnsi="Arial"/>
          <w:sz w:val="13"/>
          <w:szCs w:val="13"/>
          <w:u w:val="single" w:color="auto"/>
          <w:color w:val="000000"/>
        </w:rPr>
        <w:t>Organization; Powers</w:t>
      </w:r>
      <w:r>
        <w:rPr>
          <w:rFonts w:ascii="Arial" w:cs="Arial" w:eastAsia="Arial" w:hAnsi="Arial"/>
          <w:sz w:val="13"/>
          <w:szCs w:val="13"/>
          <w:color w:val="000000"/>
        </w:rPr>
        <w:t>. Each Loan Party and each Subsidiary is duly organized, validly existing and in good standing under the laws of the</w:t>
      </w:r>
      <w:r>
        <w:rPr>
          <w:rFonts w:ascii="Arial" w:cs="Arial" w:eastAsia="Arial" w:hAnsi="Arial"/>
          <w:sz w:val="13"/>
          <w:szCs w:val="13"/>
          <w:color w:val="010000"/>
        </w:rPr>
        <w:t xml:space="preserve"> </w:t>
      </w:r>
      <w:r>
        <w:rPr>
          <w:rFonts w:ascii="Arial" w:cs="Arial" w:eastAsia="Arial" w:hAnsi="Arial"/>
          <w:sz w:val="13"/>
          <w:szCs w:val="13"/>
          <w:color w:val="000000"/>
        </w:rPr>
        <w:t>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w:t>
      </w:r>
      <w:r>
        <w:rPr>
          <w:rFonts w:ascii="Arial" w:cs="Arial" w:eastAsia="Arial" w:hAnsi="Arial"/>
          <w:sz w:val="13"/>
          <w:szCs w:val="13"/>
          <w:u w:val="single" w:color="auto"/>
          <w:color w:val="000000"/>
        </w:rPr>
        <w:t>diction</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where such qualification is required.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10" w:name="page111"/>
    <w:bookmarkEnd w:id="110"/>
    <w:p>
      <w:pPr>
        <w:ind w:left="120" w:right="199" w:firstLine="438"/>
        <w:spacing w:after="0" w:line="230" w:lineRule="auto"/>
        <w:rPr>
          <w:sz w:val="20"/>
          <w:szCs w:val="20"/>
          <w:color w:val="auto"/>
        </w:rPr>
      </w:pPr>
      <w:r>
        <w:rPr>
          <w:rFonts w:ascii="Arial" w:cs="Arial" w:eastAsia="Arial" w:hAnsi="Arial"/>
          <w:sz w:val="13"/>
          <w:szCs w:val="13"/>
          <w:color w:val="010000"/>
        </w:rPr>
        <w:t xml:space="preserve">SECTION 3.02 </w:t>
      </w:r>
      <w:r>
        <w:rPr>
          <w:rFonts w:ascii="Arial" w:cs="Arial" w:eastAsia="Arial" w:hAnsi="Arial"/>
          <w:sz w:val="13"/>
          <w:szCs w:val="13"/>
          <w:u w:val="single" w:color="auto"/>
          <w:color w:val="000000"/>
        </w:rPr>
        <w:t>Authorization; Enforceability</w:t>
      </w:r>
      <w:r>
        <w:rPr>
          <w:rFonts w:ascii="Arial" w:cs="Arial" w:eastAsia="Arial" w:hAnsi="Arial"/>
          <w:sz w:val="13"/>
          <w:szCs w:val="13"/>
          <w:color w:val="000000"/>
        </w:rPr>
        <w:t>. The Transactions are within each Loan Party</w:t>
      </w:r>
      <w:r>
        <w:rPr>
          <w:rFonts w:ascii="Arial" w:cs="Arial" w:eastAsia="Arial" w:hAnsi="Arial"/>
          <w:sz w:val="13"/>
          <w:szCs w:val="13"/>
          <w:u w:val="single" w:color="auto"/>
          <w:color w:val="000000"/>
        </w:rPr>
        <w:t>’s organizational powers and have been duly authorized by all</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necessary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96" w:lineRule="exact"/>
        <w:rPr>
          <w:sz w:val="20"/>
          <w:szCs w:val="20"/>
          <w:color w:val="auto"/>
        </w:rPr>
      </w:pPr>
    </w:p>
    <w:p>
      <w:pPr>
        <w:jc w:val="both"/>
        <w:ind w:left="120" w:right="199" w:firstLine="438"/>
        <w:spacing w:after="0" w:line="243" w:lineRule="auto"/>
        <w:rPr>
          <w:sz w:val="20"/>
          <w:szCs w:val="20"/>
          <w:color w:val="auto"/>
        </w:rPr>
      </w:pPr>
      <w:r>
        <w:rPr>
          <w:rFonts w:ascii="Arial" w:cs="Arial" w:eastAsia="Arial" w:hAnsi="Arial"/>
          <w:sz w:val="12"/>
          <w:szCs w:val="12"/>
          <w:color w:val="010000"/>
        </w:rPr>
        <w:t xml:space="preserve">SECTION 3.03 </w:t>
      </w:r>
      <w:r>
        <w:rPr>
          <w:rFonts w:ascii="Arial" w:cs="Arial" w:eastAsia="Arial" w:hAnsi="Arial"/>
          <w:sz w:val="12"/>
          <w:szCs w:val="12"/>
          <w:u w:val="single" w:color="auto"/>
          <w:color w:val="000000"/>
        </w:rPr>
        <w:t>Governmental Approvals; No Conflicts</w:t>
      </w:r>
      <w:r>
        <w:rPr>
          <w:rFonts w:ascii="Arial" w:cs="Arial" w:eastAsia="Arial" w:hAnsi="Arial"/>
          <w:sz w:val="12"/>
          <w:szCs w:val="12"/>
          <w:color w:val="000000"/>
        </w:rPr>
        <w:t>. The Transactions (a) do not require any consent or approval of, registration or filing with, or any</w:t>
      </w:r>
      <w:r>
        <w:rPr>
          <w:rFonts w:ascii="Arial" w:cs="Arial" w:eastAsia="Arial" w:hAnsi="Arial"/>
          <w:sz w:val="12"/>
          <w:szCs w:val="12"/>
          <w:color w:val="010000"/>
        </w:rPr>
        <w:t xml:space="preserve"> </w:t>
      </w:r>
      <w:r>
        <w:rPr>
          <w:rFonts w:ascii="Arial" w:cs="Arial" w:eastAsia="Arial" w:hAnsi="Arial"/>
          <w:sz w:val="12"/>
          <w:szCs w:val="12"/>
          <w:color w:val="000000"/>
        </w:rPr>
        <w:t xml:space="preserve">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w:t>
      </w:r>
      <w:r>
        <w:rPr>
          <w:rFonts w:ascii="Arial" w:cs="Arial" w:eastAsia="Arial" w:hAnsi="Arial"/>
          <w:sz w:val="12"/>
          <w:szCs w:val="12"/>
          <w:u w:val="single" w:color="auto"/>
          <w:color w:val="000000"/>
        </w:rPr>
        <w:t>the assets of any Loan Party or any</w:t>
      </w:r>
    </w:p>
    <w:p>
      <w:pPr>
        <w:ind w:left="120" w:right="159"/>
        <w:spacing w:after="0" w:line="231" w:lineRule="auto"/>
        <w:rPr>
          <w:sz w:val="20"/>
          <w:szCs w:val="20"/>
          <w:color w:val="auto"/>
        </w:rPr>
      </w:pPr>
      <w:r>
        <w:rPr>
          <w:rFonts w:ascii="Arial" w:cs="Arial" w:eastAsia="Arial" w:hAnsi="Arial"/>
          <w:sz w:val="13"/>
          <w:szCs w:val="13"/>
          <w:u w:val="single" w:color="auto"/>
          <w:color w:val="auto"/>
        </w:rPr>
        <w:t>Subsidiary, or give rise to a right thereunder to require any payment to be made by any Loan Party or any Subsidiary, except to the extent such violation could not reasonably be expected to result in a Material Adverse Effect, and (d) will not result in the creation or imposition of any Lien on any asset of any Loan Party or any Subsidiary, except Liens created pursuant to the Loan Documents.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3.04 </w:t>
      </w:r>
      <w:r>
        <w:rPr>
          <w:rFonts w:ascii="Arial" w:cs="Arial" w:eastAsia="Arial" w:hAnsi="Arial"/>
          <w:sz w:val="13"/>
          <w:szCs w:val="13"/>
          <w:u w:val="single" w:color="auto"/>
          <w:color w:val="000000"/>
        </w:rPr>
        <w:t>Financial Condition; No Material Adverse Change</w:t>
      </w:r>
      <w:r>
        <w:rPr>
          <w:rFonts w:ascii="Arial" w:cs="Arial" w:eastAsia="Arial" w:hAnsi="Arial"/>
          <w:sz w:val="13"/>
          <w:szCs w:val="13"/>
          <w:color w:val="000000"/>
        </w:rPr>
        <w:t>.</w:t>
      </w:r>
    </w:p>
    <w:p>
      <w:pPr>
        <w:spacing w:after="0" w:line="325" w:lineRule="exact"/>
        <w:rPr>
          <w:sz w:val="20"/>
          <w:szCs w:val="20"/>
          <w:color w:val="auto"/>
        </w:rPr>
      </w:pPr>
    </w:p>
    <w:p>
      <w:pPr>
        <w:jc w:val="both"/>
        <w:ind w:left="120" w:right="119" w:firstLine="879"/>
        <w:spacing w:after="0" w:line="138" w:lineRule="exact"/>
        <w:tabs>
          <w:tab w:leader="none" w:pos="1189" w:val="left"/>
        </w:tabs>
        <w:numPr>
          <w:ilvl w:val="0"/>
          <w:numId w:val="99"/>
        </w:numPr>
        <w:rPr>
          <w:rFonts w:ascii="Arial" w:cs="Arial" w:eastAsia="Arial" w:hAnsi="Arial"/>
          <w:sz w:val="12"/>
          <w:szCs w:val="12"/>
          <w:color w:val="010000"/>
        </w:rPr>
      </w:pPr>
      <w:r>
        <w:rPr>
          <w:rFonts w:ascii="Arial" w:cs="Arial" w:eastAsia="Arial" w:hAnsi="Arial"/>
          <w:sz w:val="12"/>
          <w:szCs w:val="12"/>
          <w:color w:val="auto"/>
        </w:rPr>
        <w:t>The Borrower has heretofore furnished to the Lenders its consolidated balance sheet and statements of income, stockholders equity and cash flows as of and for the fiscal year ended June 30, 2017, reported on by RSM US LLP, independent public accountants. Such financial statements present fairly, in all material respects, the financial position and results of operations and cash flows of the Borrower and its consolidated Subsidiaries as of such dates and for such periods in accordance with GAAP, subject to normal year</w:t>
      </w:r>
      <w:r>
        <w:rPr>
          <w:rFonts w:ascii="MS PGothic" w:cs="MS PGothic" w:eastAsia="MS PGothic" w:hAnsi="MS PGothic"/>
          <w:sz w:val="12"/>
          <w:szCs w:val="12"/>
          <w:color w:val="auto"/>
        </w:rPr>
        <w:t>‑</w:t>
      </w:r>
      <w:r>
        <w:rPr>
          <w:rFonts w:ascii="Arial" w:cs="Arial" w:eastAsia="Arial" w:hAnsi="Arial"/>
          <w:sz w:val="12"/>
          <w:szCs w:val="12"/>
          <w:color w:val="auto"/>
        </w:rPr>
        <w:t>end audit adjustments all of which, when taken as a whole, would not be materially adverse.</w:t>
      </w:r>
    </w:p>
    <w:p>
      <w:pPr>
        <w:spacing w:after="0" w:line="104" w:lineRule="exact"/>
        <w:rPr>
          <w:rFonts w:ascii="Arial" w:cs="Arial" w:eastAsia="Arial" w:hAnsi="Arial"/>
          <w:sz w:val="12"/>
          <w:szCs w:val="12"/>
          <w:color w:val="010000"/>
        </w:rPr>
      </w:pPr>
    </w:p>
    <w:p>
      <w:pPr>
        <w:ind w:left="1200" w:hanging="201"/>
        <w:spacing w:after="0"/>
        <w:tabs>
          <w:tab w:leader="none" w:pos="1200" w:val="left"/>
        </w:tabs>
        <w:numPr>
          <w:ilvl w:val="0"/>
          <w:numId w:val="99"/>
        </w:numPr>
        <w:rPr>
          <w:rFonts w:ascii="Arial" w:cs="Arial" w:eastAsia="Arial" w:hAnsi="Arial"/>
          <w:sz w:val="12"/>
          <w:szCs w:val="12"/>
          <w:color w:val="010000"/>
        </w:rPr>
      </w:pPr>
      <w:r>
        <w:rPr>
          <w:rFonts w:ascii="Arial" w:cs="Arial" w:eastAsia="Arial" w:hAnsi="Arial"/>
          <w:sz w:val="12"/>
          <w:szCs w:val="12"/>
          <w:color w:val="auto"/>
        </w:rPr>
        <w:t>No event, change or condition has occurred that has had, or could reasonably be expected to have, a Material Adverse Effect, since June 30,</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2017.</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3.05 </w:t>
      </w:r>
      <w:r>
        <w:rPr>
          <w:rFonts w:ascii="Arial" w:cs="Arial" w:eastAsia="Arial" w:hAnsi="Arial"/>
          <w:sz w:val="13"/>
          <w:szCs w:val="13"/>
          <w:u w:val="single" w:color="auto"/>
          <w:color w:val="000000"/>
        </w:rPr>
        <w:t>Properties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22" w:lineRule="auto"/>
        <w:tabs>
          <w:tab w:leader="none" w:pos="1189" w:val="left"/>
        </w:tabs>
        <w:numPr>
          <w:ilvl w:val="0"/>
          <w:numId w:val="100"/>
        </w:numPr>
        <w:rPr>
          <w:rFonts w:ascii="Arial" w:cs="Arial" w:eastAsia="Arial" w:hAnsi="Arial"/>
          <w:sz w:val="13"/>
          <w:szCs w:val="13"/>
          <w:color w:val="010000"/>
        </w:rPr>
      </w:pPr>
      <w:r>
        <w:rPr>
          <w:rFonts w:ascii="Arial" w:cs="Arial" w:eastAsia="Arial" w:hAnsi="Arial"/>
          <w:sz w:val="13"/>
          <w:szCs w:val="13"/>
          <w:color w:val="auto"/>
        </w:rPr>
        <w:t xml:space="preserve">As of the date of this Agreement, </w:t>
      </w:r>
      <w:r>
        <w:rPr>
          <w:rFonts w:ascii="Arial" w:cs="Arial" w:eastAsia="Arial" w:hAnsi="Arial"/>
          <w:sz w:val="13"/>
          <w:szCs w:val="13"/>
          <w:u w:val="single" w:color="auto"/>
          <w:color w:val="auto"/>
        </w:rPr>
        <w:t>Schedule 3.05</w:t>
      </w:r>
      <w:r>
        <w:rPr>
          <w:rFonts w:ascii="Arial" w:cs="Arial" w:eastAsia="Arial" w:hAnsi="Arial"/>
          <w:sz w:val="13"/>
          <w:szCs w:val="13"/>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Subsidiary has good and indefeasible title to, or valid leasehold interests in, all of its real and personal property, free of all Liens other than those permitted by Section 6.02.</w:t>
      </w:r>
    </w:p>
    <w:p>
      <w:pPr>
        <w:spacing w:after="0" w:line="103" w:lineRule="exact"/>
        <w:rPr>
          <w:rFonts w:ascii="Arial" w:cs="Arial" w:eastAsia="Arial" w:hAnsi="Arial"/>
          <w:sz w:val="13"/>
          <w:szCs w:val="13"/>
          <w:color w:val="010000"/>
        </w:rPr>
      </w:pPr>
    </w:p>
    <w:p>
      <w:pPr>
        <w:jc w:val="both"/>
        <w:ind w:left="120" w:right="119" w:firstLine="879"/>
        <w:spacing w:after="0" w:line="222" w:lineRule="auto"/>
        <w:tabs>
          <w:tab w:leader="none" w:pos="1197" w:val="left"/>
        </w:tabs>
        <w:numPr>
          <w:ilvl w:val="0"/>
          <w:numId w:val="100"/>
        </w:numPr>
        <w:rPr>
          <w:rFonts w:ascii="Arial" w:cs="Arial" w:eastAsia="Arial" w:hAnsi="Arial"/>
          <w:sz w:val="13"/>
          <w:szCs w:val="13"/>
          <w:color w:val="010000"/>
        </w:rPr>
      </w:pPr>
      <w:r>
        <w:rPr>
          <w:rFonts w:ascii="Arial" w:cs="Arial" w:eastAsia="Arial" w:hAnsi="Arial"/>
          <w:sz w:val="13"/>
          <w:szCs w:val="13"/>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Arial" w:cs="Arial" w:eastAsia="Arial" w:hAnsi="Arial"/>
          <w:sz w:val="13"/>
          <w:szCs w:val="13"/>
          <w:u w:val="single" w:color="auto"/>
          <w:color w:val="auto"/>
        </w:rPr>
        <w:t>Schedule 3.05</w:t>
      </w:r>
      <w:r>
        <w:rPr>
          <w:rFonts w:ascii="Arial" w:cs="Arial" w:eastAsia="Arial" w:hAnsi="Arial"/>
          <w:sz w:val="13"/>
          <w:szCs w:val="13"/>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3.06 </w:t>
      </w:r>
      <w:r>
        <w:rPr>
          <w:rFonts w:ascii="Arial" w:cs="Arial" w:eastAsia="Arial" w:hAnsi="Arial"/>
          <w:sz w:val="13"/>
          <w:szCs w:val="13"/>
          <w:u w:val="single" w:color="auto"/>
          <w:color w:val="000000"/>
        </w:rPr>
        <w:t>Litigation and Environmental Matters</w:t>
      </w:r>
      <w:r>
        <w:rPr>
          <w:rFonts w:ascii="Arial" w:cs="Arial" w:eastAsia="Arial" w:hAnsi="Arial"/>
          <w:sz w:val="13"/>
          <w:szCs w:val="13"/>
          <w:color w:val="000000"/>
        </w:rPr>
        <w:t>.</w:t>
      </w:r>
    </w:p>
    <w:p>
      <w:pPr>
        <w:spacing w:after="0" w:line="316" w:lineRule="exact"/>
        <w:rPr>
          <w:sz w:val="20"/>
          <w:szCs w:val="20"/>
          <w:color w:val="auto"/>
        </w:rPr>
      </w:pPr>
    </w:p>
    <w:p>
      <w:pPr>
        <w:ind w:left="120" w:right="119" w:firstLine="879"/>
        <w:spacing w:after="0" w:line="239" w:lineRule="auto"/>
        <w:tabs>
          <w:tab w:leader="none" w:pos="1189" w:val="left"/>
        </w:tabs>
        <w:numPr>
          <w:ilvl w:val="0"/>
          <w:numId w:val="101"/>
        </w:numPr>
        <w:rPr>
          <w:rFonts w:ascii="Arial" w:cs="Arial" w:eastAsia="Arial" w:hAnsi="Arial"/>
          <w:sz w:val="13"/>
          <w:szCs w:val="13"/>
          <w:color w:val="010000"/>
        </w:rPr>
      </w:pPr>
      <w:r>
        <w:rPr>
          <w:rFonts w:ascii="Arial" w:cs="Arial" w:eastAsia="Arial" w:hAnsi="Arial"/>
          <w:sz w:val="13"/>
          <w:szCs w:val="13"/>
          <w:color w:val="auto"/>
        </w:rPr>
        <w:t>There are no actions, suits or proceedings by or before any arbitrator or Governmental Authority pending against or, to the knowledge of any Loan Party, threatened against or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1" w:name="page112"/>
    <w:bookmarkEnd w:id="111"/>
    <w:p>
      <w:pPr>
        <w:ind w:left="120" w:right="119"/>
        <w:spacing w:after="0" w:line="232" w:lineRule="auto"/>
        <w:rPr>
          <w:sz w:val="20"/>
          <w:szCs w:val="20"/>
          <w:color w:val="auto"/>
        </w:rPr>
      </w:pPr>
      <w:r>
        <w:rPr>
          <w:rFonts w:ascii="Arial" w:cs="Arial" w:eastAsia="Arial" w:hAnsi="Arial"/>
          <w:sz w:val="12"/>
          <w:szCs w:val="12"/>
          <w:color w:val="auto"/>
        </w:rPr>
        <w:t xml:space="preserve">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set forth on </w:t>
      </w:r>
      <w:r>
        <w:rPr>
          <w:rFonts w:ascii="Arial" w:cs="Arial" w:eastAsia="Arial" w:hAnsi="Arial"/>
          <w:sz w:val="12"/>
          <w:szCs w:val="12"/>
          <w:u w:val="single" w:color="auto"/>
          <w:color w:val="auto"/>
        </w:rPr>
        <w:t>Schedule 3.06</w:t>
      </w:r>
      <w:r>
        <w:rPr>
          <w:rFonts w:ascii="Arial" w:cs="Arial" w:eastAsia="Arial" w:hAnsi="Arial"/>
          <w:sz w:val="12"/>
          <w:szCs w:val="12"/>
          <w:color w:val="auto"/>
        </w:rPr>
        <w:t>) or</w:t>
      </w:r>
    </w:p>
    <w:p>
      <w:pPr>
        <w:spacing w:after="0" w:line="1" w:lineRule="exact"/>
        <w:rPr>
          <w:sz w:val="20"/>
          <w:szCs w:val="20"/>
          <w:color w:val="auto"/>
        </w:rPr>
      </w:pPr>
    </w:p>
    <w:p>
      <w:pPr>
        <w:ind w:left="320" w:hanging="196"/>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that involve any Loan Document or the Transactions.</w:t>
      </w:r>
    </w:p>
    <w:p>
      <w:pPr>
        <w:spacing w:after="0" w:line="112" w:lineRule="exact"/>
        <w:rPr>
          <w:rFonts w:ascii="Arial" w:cs="Arial" w:eastAsia="Arial" w:hAnsi="Arial"/>
          <w:sz w:val="13"/>
          <w:szCs w:val="13"/>
          <w:color w:val="auto"/>
        </w:rPr>
      </w:pPr>
    </w:p>
    <w:p>
      <w:pPr>
        <w:jc w:val="both"/>
        <w:ind w:left="120" w:right="119" w:firstLine="879"/>
        <w:spacing w:after="0" w:line="234" w:lineRule="auto"/>
        <w:tabs>
          <w:tab w:leader="none" w:pos="1197" w:val="left"/>
        </w:tabs>
        <w:numPr>
          <w:ilvl w:val="1"/>
          <w:numId w:val="102"/>
        </w:numPr>
        <w:rPr>
          <w:rFonts w:ascii="Arial" w:cs="Arial" w:eastAsia="Arial" w:hAnsi="Arial"/>
          <w:sz w:val="12"/>
          <w:szCs w:val="12"/>
          <w:color w:val="010000"/>
        </w:rPr>
      </w:pPr>
      <w:r>
        <w:rPr>
          <w:rFonts w:ascii="Arial" w:cs="Arial" w:eastAsia="Arial" w:hAnsi="Arial"/>
          <w:sz w:val="12"/>
          <w:szCs w:val="12"/>
          <w:color w:val="auto"/>
        </w:rPr>
        <w:t>Except for the Disclosed Matters, (i) no Loan Party or any Subsidiary has received notice of any claim with respect to any Environmental Liability or knows of any basis for any Environmental Liability which, in either case, could reasonably be expected, individually or in the aggregate, to result in a Material Adverse Effect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04" w:lineRule="exact"/>
        <w:rPr>
          <w:rFonts w:ascii="Arial" w:cs="Arial" w:eastAsia="Arial" w:hAnsi="Arial"/>
          <w:sz w:val="12"/>
          <w:szCs w:val="12"/>
          <w:color w:val="010000"/>
        </w:rPr>
      </w:pPr>
    </w:p>
    <w:p>
      <w:pPr>
        <w:ind w:left="120" w:right="119" w:firstLine="879"/>
        <w:spacing w:after="0" w:line="239" w:lineRule="auto"/>
        <w:tabs>
          <w:tab w:leader="none" w:pos="1189" w:val="left"/>
        </w:tabs>
        <w:numPr>
          <w:ilvl w:val="1"/>
          <w:numId w:val="102"/>
        </w:numPr>
        <w:rPr>
          <w:rFonts w:ascii="Arial" w:cs="Arial" w:eastAsia="Arial" w:hAnsi="Arial"/>
          <w:sz w:val="13"/>
          <w:szCs w:val="13"/>
          <w:color w:val="010000"/>
        </w:rPr>
      </w:pPr>
      <w:r>
        <w:rPr>
          <w:rFonts w:ascii="Arial" w:cs="Arial" w:eastAsia="Arial" w:hAnsi="Arial"/>
          <w:sz w:val="13"/>
          <w:szCs w:val="13"/>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010000"/>
        </w:rPr>
        <w:t xml:space="preserve">SECTION 3.07 </w:t>
      </w:r>
      <w:r>
        <w:rPr>
          <w:rFonts w:ascii="Arial" w:cs="Arial" w:eastAsia="Arial" w:hAnsi="Arial"/>
          <w:sz w:val="13"/>
          <w:szCs w:val="13"/>
          <w:u w:val="single" w:color="auto"/>
          <w:color w:val="000000"/>
        </w:rPr>
        <w:t>Compliance with Laws and Agreements; No Default</w:t>
      </w:r>
      <w:r>
        <w:rPr>
          <w:rFonts w:ascii="Arial" w:cs="Arial" w:eastAsia="Arial" w:hAnsi="Arial"/>
          <w:sz w:val="13"/>
          <w:szCs w:val="13"/>
          <w:color w:val="000000"/>
        </w:rPr>
        <w:t>. Except where the failure to do so, individually or in the aggregate, could not</w:t>
      </w:r>
    </w:p>
    <w:p>
      <w:pPr>
        <w:ind w:left="120"/>
        <w:spacing w:after="0" w:line="237" w:lineRule="auto"/>
        <w:rPr>
          <w:sz w:val="20"/>
          <w:szCs w:val="20"/>
          <w:color w:val="auto"/>
        </w:rPr>
      </w:pPr>
      <w:r>
        <w:rPr>
          <w:rFonts w:ascii="Arial" w:cs="Arial" w:eastAsia="Arial" w:hAnsi="Arial"/>
          <w:sz w:val="12"/>
          <w:szCs w:val="12"/>
          <w:color w:val="auto"/>
        </w:rPr>
        <w:t>reasonably be expected to result in a Material Adverse Effect, each Loan Party and each Subsidiary is in compliance with (</w:t>
      </w:r>
      <w:r>
        <w:rPr>
          <w:rFonts w:ascii="Arial" w:cs="Arial" w:eastAsia="Arial" w:hAnsi="Arial"/>
          <w:sz w:val="12"/>
          <w:szCs w:val="12"/>
          <w:u w:val="single" w:color="auto"/>
          <w:color w:val="auto"/>
        </w:rPr>
        <w:t>a) all Requirements of Law applicable to</w:t>
      </w:r>
    </w:p>
    <w:p>
      <w:pPr>
        <w:spacing w:after="0" w:line="1" w:lineRule="exact"/>
        <w:rPr>
          <w:sz w:val="20"/>
          <w:szCs w:val="20"/>
          <w:color w:val="auto"/>
        </w:rPr>
      </w:pPr>
    </w:p>
    <w:p>
      <w:pPr>
        <w:ind w:left="120" w:right="539"/>
        <w:spacing w:after="0" w:line="237" w:lineRule="auto"/>
        <w:rPr>
          <w:sz w:val="20"/>
          <w:szCs w:val="20"/>
          <w:color w:val="auto"/>
        </w:rPr>
      </w:pPr>
      <w:r>
        <w:rPr>
          <w:rFonts w:ascii="Arial" w:cs="Arial" w:eastAsia="Arial" w:hAnsi="Arial"/>
          <w:sz w:val="13"/>
          <w:szCs w:val="13"/>
          <w:u w:val="single" w:color="auto"/>
          <w:color w:val="auto"/>
        </w:rPr>
        <w:t>it or its property and (b) all indentures, agreements and other instruments binding upon it or its property. No Default or Event of Default has occurred and is continuing.</w:t>
      </w:r>
    </w:p>
    <w:p>
      <w:pPr>
        <w:spacing w:after="0" w:line="295" w:lineRule="exact"/>
        <w:rPr>
          <w:sz w:val="20"/>
          <w:szCs w:val="20"/>
          <w:color w:val="auto"/>
        </w:rPr>
      </w:pPr>
    </w:p>
    <w:p>
      <w:pPr>
        <w:ind w:left="120" w:right="279" w:firstLine="438"/>
        <w:spacing w:after="0" w:line="254" w:lineRule="auto"/>
        <w:rPr>
          <w:sz w:val="20"/>
          <w:szCs w:val="20"/>
          <w:color w:val="auto"/>
        </w:rPr>
      </w:pPr>
      <w:r>
        <w:rPr>
          <w:rFonts w:ascii="Arial" w:cs="Arial" w:eastAsia="Arial" w:hAnsi="Arial"/>
          <w:sz w:val="13"/>
          <w:szCs w:val="13"/>
          <w:color w:val="010000"/>
        </w:rPr>
        <w:t xml:space="preserve">SECTION 3.08 </w:t>
      </w:r>
      <w:r>
        <w:rPr>
          <w:rFonts w:ascii="Arial" w:cs="Arial" w:eastAsia="Arial" w:hAnsi="Arial"/>
          <w:sz w:val="13"/>
          <w:szCs w:val="13"/>
          <w:u w:val="single" w:color="auto"/>
          <w:color w:val="000000"/>
        </w:rPr>
        <w:t>Investment Company Status</w:t>
      </w:r>
      <w:r>
        <w:rPr>
          <w:rFonts w:ascii="Arial" w:cs="Arial" w:eastAsia="Arial" w:hAnsi="Arial"/>
          <w:sz w:val="13"/>
          <w:szCs w:val="13"/>
          <w:color w:val="000000"/>
        </w:rPr>
        <w:t>. No Loan Party or any Subsidiary is an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“investment company” as defined in, or subject to regulation under,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the Investment Company Act of 1940.</w:t>
      </w:r>
    </w:p>
    <w:p>
      <w:pPr>
        <w:spacing w:after="0" w:line="295" w:lineRule="exact"/>
        <w:rPr>
          <w:sz w:val="20"/>
          <w:szCs w:val="20"/>
          <w:color w:val="auto"/>
        </w:rPr>
      </w:pPr>
    </w:p>
    <w:p>
      <w:pPr>
        <w:ind w:left="120" w:right="159" w:firstLine="438"/>
        <w:spacing w:after="0" w:line="230" w:lineRule="auto"/>
        <w:rPr>
          <w:sz w:val="20"/>
          <w:szCs w:val="20"/>
          <w:color w:val="auto"/>
        </w:rPr>
      </w:pPr>
      <w:r>
        <w:rPr>
          <w:rFonts w:ascii="Arial" w:cs="Arial" w:eastAsia="Arial" w:hAnsi="Arial"/>
          <w:sz w:val="13"/>
          <w:szCs w:val="13"/>
          <w:color w:val="010000"/>
        </w:rPr>
        <w:t xml:space="preserve">SECTION 3.09 </w:t>
      </w:r>
      <w:r>
        <w:rPr>
          <w:rFonts w:ascii="Arial" w:cs="Arial" w:eastAsia="Arial" w:hAnsi="Arial"/>
          <w:sz w:val="13"/>
          <w:szCs w:val="13"/>
          <w:u w:val="single" w:color="auto"/>
          <w:color w:val="000000"/>
        </w:rPr>
        <w:t>Taxes</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Except as set forth in Schedule 3.09, each Loan Party and each Subsidiary has timely filed or caused to be filed all federal, state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and material local. Tax returns and reports (or timely extensions therefor) required to have been filed and has paid or caused to be paid all federal, state and material local Taxes required to have been paid by it, except Taxes that are being contested in good faith by appropriate proceedings and for which such Loan Party or such Subsidiary, as applicable, has set aside on its books adequate reserves. No tax liens have been filed and no claims are being asserted with respect to any such taxes.</w:t>
      </w:r>
    </w:p>
    <w:p>
      <w:pPr>
        <w:spacing w:after="0" w:line="296" w:lineRule="exact"/>
        <w:rPr>
          <w:sz w:val="20"/>
          <w:szCs w:val="20"/>
          <w:color w:val="auto"/>
        </w:rPr>
      </w:pPr>
    </w:p>
    <w:p>
      <w:pPr>
        <w:ind w:left="120" w:right="179" w:firstLine="438"/>
        <w:spacing w:after="0" w:line="244" w:lineRule="auto"/>
        <w:rPr>
          <w:sz w:val="20"/>
          <w:szCs w:val="20"/>
          <w:color w:val="auto"/>
        </w:rPr>
      </w:pPr>
      <w:r>
        <w:rPr>
          <w:rFonts w:ascii="Arial" w:cs="Arial" w:eastAsia="Arial" w:hAnsi="Arial"/>
          <w:sz w:val="12"/>
          <w:szCs w:val="12"/>
          <w:color w:val="010000"/>
        </w:rPr>
        <w:t xml:space="preserve">SECTION 3.10 </w:t>
      </w:r>
      <w:r>
        <w:rPr>
          <w:rFonts w:ascii="Arial" w:cs="Arial" w:eastAsia="Arial" w:hAnsi="Arial"/>
          <w:sz w:val="12"/>
          <w:szCs w:val="12"/>
          <w:u w:val="single" w:color="auto"/>
          <w:color w:val="000000"/>
        </w:rPr>
        <w:t>ERISA</w:t>
      </w:r>
      <w:r>
        <w:rPr>
          <w:rFonts w:ascii="Arial" w:cs="Arial" w:eastAsia="Arial" w:hAnsi="Arial"/>
          <w:sz w:val="12"/>
          <w:szCs w:val="12"/>
          <w:color w:val="000000"/>
        </w:rPr>
        <w:t>. No ERISA Event has occurred or is reasonably expected to occur that, when taken together with all other such ERISA Events for</w:t>
      </w:r>
      <w:r>
        <w:rPr>
          <w:rFonts w:ascii="Arial" w:cs="Arial" w:eastAsia="Arial" w:hAnsi="Arial"/>
          <w:sz w:val="12"/>
          <w:szCs w:val="12"/>
          <w:color w:val="010000"/>
        </w:rPr>
        <w:t xml:space="preserve"> </w:t>
      </w:r>
      <w:r>
        <w:rPr>
          <w:rFonts w:ascii="Arial" w:cs="Arial" w:eastAsia="Arial" w:hAnsi="Arial"/>
          <w:sz w:val="12"/>
          <w:szCs w:val="12"/>
          <w:color w:val="000000"/>
        </w:rPr>
        <w:t>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or subsequent recodification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-3810</wp:posOffset>
            </wp:positionV>
            <wp:extent cx="9829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ind w:left="120" w:right="439"/>
        <w:spacing w:after="0" w:line="237" w:lineRule="auto"/>
        <w:rPr>
          <w:sz w:val="20"/>
          <w:szCs w:val="20"/>
          <w:color w:val="auto"/>
        </w:rPr>
      </w:pPr>
      <w:r>
        <w:rPr>
          <w:rFonts w:ascii="Arial" w:cs="Arial" w:eastAsia="Arial" w:hAnsi="Arial"/>
          <w:sz w:val="13"/>
          <w:szCs w:val="13"/>
          <w:u w:val="single" w:color="auto"/>
          <w:color w:val="auto"/>
        </w:rPr>
        <w:t>thereof, as applicable) did not, as of the date of the most recent financial statements reflecting such amounts, exceed the fair market value of the assets of such Plan.</w:t>
      </w:r>
    </w:p>
    <w:p>
      <w:pPr>
        <w:spacing w:after="0" w:line="295" w:lineRule="exact"/>
        <w:rPr>
          <w:sz w:val="20"/>
          <w:szCs w:val="20"/>
          <w:color w:val="auto"/>
        </w:rPr>
      </w:pPr>
    </w:p>
    <w:p>
      <w:pPr>
        <w:ind w:left="120" w:right="159" w:firstLine="438"/>
        <w:spacing w:after="0" w:line="230" w:lineRule="auto"/>
        <w:rPr>
          <w:sz w:val="20"/>
          <w:szCs w:val="20"/>
          <w:color w:val="auto"/>
        </w:rPr>
      </w:pPr>
      <w:r>
        <w:rPr>
          <w:rFonts w:ascii="Arial" w:cs="Arial" w:eastAsia="Arial" w:hAnsi="Arial"/>
          <w:sz w:val="13"/>
          <w:szCs w:val="13"/>
          <w:color w:val="010000"/>
        </w:rPr>
        <w:t xml:space="preserve">SECTION 3.11 </w:t>
      </w:r>
      <w:r>
        <w:rPr>
          <w:rFonts w:ascii="Arial" w:cs="Arial" w:eastAsia="Arial" w:hAnsi="Arial"/>
          <w:sz w:val="13"/>
          <w:szCs w:val="13"/>
          <w:u w:val="single" w:color="auto"/>
          <w:color w:val="000000"/>
        </w:rPr>
        <w:t>Disclosure</w:t>
      </w:r>
      <w:r>
        <w:rPr>
          <w:rFonts w:ascii="Arial" w:cs="Arial" w:eastAsia="Arial" w:hAnsi="Arial"/>
          <w:sz w:val="13"/>
          <w:szCs w:val="13"/>
          <w:color w:val="000000"/>
        </w:rPr>
        <w:t>. The Loan Parties have disclosed to the Lenders all agreements, instruments and corporate or other restrictions to which any</w:t>
      </w:r>
      <w:r>
        <w:rPr>
          <w:rFonts w:ascii="Arial" w:cs="Arial" w:eastAsia="Arial" w:hAnsi="Arial"/>
          <w:sz w:val="13"/>
          <w:szCs w:val="13"/>
          <w:color w:val="010000"/>
        </w:rPr>
        <w:t xml:space="preserve"> </w:t>
      </w:r>
      <w:r>
        <w:rPr>
          <w:rFonts w:ascii="Arial" w:cs="Arial" w:eastAsia="Arial" w:hAnsi="Arial"/>
          <w:sz w:val="13"/>
          <w:szCs w:val="13"/>
          <w:color w:val="000000"/>
        </w:rPr>
        <w:t>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12" w:name="page113"/>
    <w:bookmarkEnd w:id="112"/>
    <w:p>
      <w:pPr>
        <w:jc w:val="both"/>
        <w:ind w:left="120" w:right="199"/>
        <w:spacing w:after="0" w:line="266" w:lineRule="auto"/>
        <w:rPr>
          <w:sz w:val="20"/>
          <w:szCs w:val="20"/>
          <w:color w:val="auto"/>
        </w:rPr>
      </w:pPr>
      <w:r>
        <w:rPr>
          <w:rFonts w:ascii="Arial" w:cs="Arial" w:eastAsia="Arial" w:hAnsi="Arial"/>
          <w:sz w:val="12"/>
          <w:szCs w:val="12"/>
          <w:u w:val="single" w:color="auto"/>
          <w:color w:val="auto"/>
        </w:rPr>
        <w:t>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280" w:lineRule="exact"/>
        <w:rPr>
          <w:sz w:val="20"/>
          <w:szCs w:val="20"/>
          <w:color w:val="auto"/>
        </w:rPr>
      </w:pPr>
    </w:p>
    <w:p>
      <w:pPr>
        <w:ind w:left="120" w:right="359" w:firstLine="438"/>
        <w:spacing w:after="0" w:line="244" w:lineRule="auto"/>
        <w:rPr>
          <w:sz w:val="20"/>
          <w:szCs w:val="20"/>
          <w:color w:val="auto"/>
        </w:rPr>
      </w:pPr>
      <w:r>
        <w:rPr>
          <w:rFonts w:ascii="Arial" w:cs="Arial" w:eastAsia="Arial" w:hAnsi="Arial"/>
          <w:sz w:val="12"/>
          <w:szCs w:val="12"/>
          <w:color w:val="010000"/>
        </w:rPr>
        <w:t xml:space="preserve">SECTION 3.12 </w:t>
      </w:r>
      <w:r>
        <w:rPr>
          <w:rFonts w:ascii="Arial" w:cs="Arial" w:eastAsia="Arial" w:hAnsi="Arial"/>
          <w:sz w:val="12"/>
          <w:szCs w:val="12"/>
          <w:u w:val="single" w:color="auto"/>
          <w:color w:val="000000"/>
        </w:rPr>
        <w:t>Material Agreements</w:t>
      </w:r>
      <w:r>
        <w:rPr>
          <w:rFonts w:ascii="Arial" w:cs="Arial" w:eastAsia="Arial" w:hAnsi="Arial"/>
          <w:sz w:val="12"/>
          <w:szCs w:val="12"/>
          <w:color w:val="000000"/>
        </w:rPr>
        <w:t>. All material agreements and contracts to which any Loan Party or any Subsidiary is a party or is bound as of the</w:t>
      </w:r>
      <w:r>
        <w:rPr>
          <w:rFonts w:ascii="Arial" w:cs="Arial" w:eastAsia="Arial" w:hAnsi="Arial"/>
          <w:sz w:val="12"/>
          <w:szCs w:val="12"/>
          <w:color w:val="010000"/>
        </w:rPr>
        <w:t xml:space="preserve"> </w:t>
      </w:r>
      <w:r>
        <w:rPr>
          <w:rFonts w:ascii="Arial" w:cs="Arial" w:eastAsia="Arial" w:hAnsi="Arial"/>
          <w:sz w:val="12"/>
          <w:szCs w:val="12"/>
          <w:color w:val="000000"/>
        </w:rPr>
        <w:t>date of this Agreement are listed on Schedule 3.12. No Loan Party or any Subsidiary is in default in the performance, observance or fulfillment of any of the obligations, covenants or conditions contained in (i) any material agreement to which it is a party or (ii) any agreement or instrument evidencing or governing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Indebtedness</w:t>
      </w:r>
      <w:r>
        <w:rPr>
          <w:rFonts w:ascii="Arial" w:cs="Arial" w:eastAsia="Arial" w:hAnsi="Arial"/>
          <w:sz w:val="13"/>
          <w:szCs w:val="13"/>
          <w:u w:val="single" w:color="auto"/>
          <w:color w:val="auto"/>
        </w:rPr>
        <w:t>, except, in either case, where such default could not reasonably be expected to result in a Material Adverse Effect.</w:t>
      </w:r>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3.13 </w:t>
      </w:r>
      <w:r>
        <w:rPr>
          <w:rFonts w:ascii="Arial" w:cs="Arial" w:eastAsia="Arial" w:hAnsi="Arial"/>
          <w:sz w:val="13"/>
          <w:szCs w:val="13"/>
          <w:u w:val="single" w:color="auto"/>
          <w:color w:val="000000"/>
        </w:rPr>
        <w:t>Solvency</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14" w:lineRule="auto"/>
        <w:tabs>
          <w:tab w:leader="none" w:pos="1189" w:val="left"/>
        </w:tabs>
        <w:numPr>
          <w:ilvl w:val="0"/>
          <w:numId w:val="103"/>
        </w:numPr>
        <w:rPr>
          <w:rFonts w:ascii="Arial" w:cs="Arial" w:eastAsia="Arial" w:hAnsi="Arial"/>
          <w:sz w:val="13"/>
          <w:szCs w:val="13"/>
          <w:color w:val="010000"/>
        </w:rPr>
      </w:pPr>
      <w:r>
        <w:rPr>
          <w:rFonts w:ascii="Arial" w:cs="Arial" w:eastAsia="Arial" w:hAnsi="Arial"/>
          <w:sz w:val="13"/>
          <w:szCs w:val="13"/>
          <w:color w:val="auto"/>
        </w:rPr>
        <w:t>Immediately after the consummation of the Transactions to occur on the Effective Date, (i) the fair value of the assets of the Loan Parties, taken as a whole, at a fair valuation, will exceed their debts and liabilities, subordinated, contingent or otherwise, taken as a whole; (ii) the present fair saleable value of the property of the Loan Parties, taken as a whole, will be greater than the amount that will be required to pay the probable liability of their debts and other liabilities, subordinated, contingent or otherwise, taken as a whole, as such debts and other liabilities become absolute and matured; (iii) the Loan Parties, taken as a whole, will be able to pay their debts and liabilities, subordinated, contingent or otherwise, as such debts and liabilities become absolute and matured, taken as a whole; and (iv) the Loan Parties will not have unreasonably small capital, taken as a whole, with which to conduct the business in which they are engaged as such business is now conducted and is proposed to be conducted after the Effective Date.</w:t>
      </w:r>
    </w:p>
    <w:p>
      <w:pPr>
        <w:spacing w:after="0" w:line="106" w:lineRule="exact"/>
        <w:rPr>
          <w:rFonts w:ascii="Arial" w:cs="Arial" w:eastAsia="Arial" w:hAnsi="Arial"/>
          <w:sz w:val="13"/>
          <w:szCs w:val="13"/>
          <w:color w:val="010000"/>
        </w:rPr>
      </w:pPr>
    </w:p>
    <w:p>
      <w:pPr>
        <w:jc w:val="both"/>
        <w:ind w:left="120" w:right="119" w:firstLine="879"/>
        <w:spacing w:after="0" w:line="250" w:lineRule="auto"/>
        <w:tabs>
          <w:tab w:leader="none" w:pos="1197" w:val="left"/>
        </w:tabs>
        <w:numPr>
          <w:ilvl w:val="0"/>
          <w:numId w:val="103"/>
        </w:numPr>
        <w:rPr>
          <w:rFonts w:ascii="Arial" w:cs="Arial" w:eastAsia="Arial" w:hAnsi="Arial"/>
          <w:sz w:val="12"/>
          <w:szCs w:val="12"/>
          <w:color w:val="010000"/>
        </w:rPr>
      </w:pPr>
      <w:r>
        <w:rPr>
          <w:rFonts w:ascii="Arial" w:cs="Arial" w:eastAsia="Arial" w:hAnsi="Arial"/>
          <w:sz w:val="12"/>
          <w:szCs w:val="12"/>
          <w:color w:val="auto"/>
        </w:rPr>
        <w:t>Loan Parties do not intend to and the Loan Parties do not believe that the Loan Parties and their Subsidiaries, taken as a whole, will, incur debts beyond their ability, taken as a whole, to pay such debts as they mature, taking into account the timing of and amounts of cash to be received by any Loan Party or any such Subsidiary and the timing of the amounts of cash to be payable on or in respect of their Indebtedness or the Indebtedness of any such Subsidiary.</w:t>
      </w:r>
    </w:p>
    <w:p>
      <w:pPr>
        <w:spacing w:after="0" w:line="98" w:lineRule="exact"/>
        <w:rPr>
          <w:sz w:val="20"/>
          <w:szCs w:val="20"/>
          <w:color w:val="auto"/>
        </w:rPr>
      </w:pPr>
    </w:p>
    <w:p>
      <w:pPr>
        <w:ind w:left="120" w:right="239" w:firstLine="438"/>
        <w:spacing w:after="0" w:line="233" w:lineRule="auto"/>
        <w:rPr>
          <w:sz w:val="20"/>
          <w:szCs w:val="20"/>
          <w:color w:val="auto"/>
        </w:rPr>
      </w:pPr>
      <w:r>
        <w:rPr>
          <w:rFonts w:ascii="Arial" w:cs="Arial" w:eastAsia="Arial" w:hAnsi="Arial"/>
          <w:sz w:val="13"/>
          <w:szCs w:val="13"/>
          <w:color w:val="010000"/>
        </w:rPr>
        <w:t xml:space="preserve">SECTION 3.14 </w:t>
      </w:r>
      <w:r>
        <w:rPr>
          <w:rFonts w:ascii="Arial" w:cs="Arial" w:eastAsia="Arial" w:hAnsi="Arial"/>
          <w:sz w:val="13"/>
          <w:szCs w:val="13"/>
          <w:u w:val="single" w:color="auto"/>
          <w:color w:val="000000"/>
        </w:rPr>
        <w:t>Insurance</w:t>
      </w:r>
      <w:r>
        <w:rPr>
          <w:rFonts w:ascii="Arial" w:cs="Arial" w:eastAsia="Arial" w:hAnsi="Arial"/>
          <w:sz w:val="13"/>
          <w:szCs w:val="13"/>
          <w:color w:val="000000"/>
        </w:rPr>
        <w:t>. Schedule 3.14 sets forth a description of all insurance maintained by or on behalf of the Loan Parties and their Subsidiaries as</w:t>
      </w:r>
      <w:r>
        <w:rPr>
          <w:rFonts w:ascii="Arial" w:cs="Arial" w:eastAsia="Arial" w:hAnsi="Arial"/>
          <w:sz w:val="13"/>
          <w:szCs w:val="13"/>
          <w:color w:val="010000"/>
        </w:rPr>
        <w:t xml:space="preserve"> </w:t>
      </w:r>
      <w:r>
        <w:rPr>
          <w:rFonts w:ascii="Arial" w:cs="Arial" w:eastAsia="Arial" w:hAnsi="Arial"/>
          <w:sz w:val="13"/>
          <w:szCs w:val="13"/>
          <w:color w:val="000000"/>
        </w:rPr>
        <w:t>of the Effective Date. As of the Effective Date, all premiums in respect of such insurance have been paid. The Loan Parties believe that the insurance maintained by or on behalf of the Loan Parties and their Subsidiaries is adequate and is customary for companies engaged in the same or similar businesses operating in the same or similar locations.</w:t>
      </w:r>
    </w:p>
    <w:p>
      <w:pPr>
        <w:spacing w:after="0" w:line="295" w:lineRule="exact"/>
        <w:rPr>
          <w:sz w:val="20"/>
          <w:szCs w:val="20"/>
          <w:color w:val="auto"/>
        </w:rPr>
      </w:pPr>
    </w:p>
    <w:p>
      <w:pPr>
        <w:ind w:left="120" w:right="159" w:firstLine="438"/>
        <w:spacing w:after="0" w:line="228" w:lineRule="auto"/>
        <w:rPr>
          <w:sz w:val="20"/>
          <w:szCs w:val="20"/>
          <w:color w:val="auto"/>
        </w:rPr>
      </w:pPr>
      <w:r>
        <w:rPr>
          <w:rFonts w:ascii="Arial" w:cs="Arial" w:eastAsia="Arial" w:hAnsi="Arial"/>
          <w:sz w:val="13"/>
          <w:szCs w:val="13"/>
          <w:color w:val="010000"/>
        </w:rPr>
        <w:t xml:space="preserve">SECTION 3.15 </w:t>
      </w:r>
      <w:r>
        <w:rPr>
          <w:rFonts w:ascii="Arial" w:cs="Arial" w:eastAsia="Arial" w:hAnsi="Arial"/>
          <w:sz w:val="13"/>
          <w:szCs w:val="13"/>
          <w:u w:val="single" w:color="auto"/>
          <w:color w:val="000000"/>
        </w:rPr>
        <w:t>Capitalization and Subsidiaries</w:t>
      </w:r>
      <w:r>
        <w:rPr>
          <w:rFonts w:ascii="Arial" w:cs="Arial" w:eastAsia="Arial" w:hAnsi="Arial"/>
          <w:sz w:val="13"/>
          <w:szCs w:val="13"/>
          <w:color w:val="000000"/>
        </w:rPr>
        <w:t>. Schedule 3.15 sets forth (a) a correct and complete list of the name and relationship to the Borrower of</w:t>
      </w:r>
      <w:r>
        <w:rPr>
          <w:rFonts w:ascii="Arial" w:cs="Arial" w:eastAsia="Arial" w:hAnsi="Arial"/>
          <w:sz w:val="13"/>
          <w:szCs w:val="13"/>
          <w:color w:val="010000"/>
        </w:rPr>
        <w:t xml:space="preserve"> </w:t>
      </w:r>
      <w:r>
        <w:rPr>
          <w:rFonts w:ascii="Arial" w:cs="Arial" w:eastAsia="Arial" w:hAnsi="Arial"/>
          <w:sz w:val="13"/>
          <w:szCs w:val="13"/>
          <w:color w:val="000000"/>
        </w:rPr>
        <w:t xml:space="preserve">each Subsidiary, (b) a true and complete listing of each class of each of </w:t>
      </w:r>
      <w:r>
        <w:rPr>
          <w:rFonts w:ascii="Arial" w:cs="Arial" w:eastAsia="Arial" w:hAnsi="Arial"/>
          <w:sz w:val="13"/>
          <w:szCs w:val="13"/>
          <w:u w:val="single" w:color="auto"/>
          <w:color w:val="000000"/>
        </w:rPr>
        <w:t>Borrower’s Subsidiaries’ authorized Equity Interests, of which all of such issued Equity</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Interests are validly issued, outstanding, fully paid and non-assessable (to the extent such concepts are relevant with respect to such ownership interests), and owned beneficially and of record by the Persons identified on Schedule 3.15, and (c) the type of entity of the Borrower and each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306" w:lineRule="exact"/>
        <w:rPr>
          <w:sz w:val="20"/>
          <w:szCs w:val="20"/>
          <w:color w:val="auto"/>
        </w:rPr>
      </w:pPr>
    </w:p>
    <w:p>
      <w:pPr>
        <w:ind w:left="120" w:right="399" w:firstLine="438"/>
        <w:spacing w:after="0" w:line="254" w:lineRule="auto"/>
        <w:rPr>
          <w:sz w:val="20"/>
          <w:szCs w:val="20"/>
          <w:color w:val="auto"/>
        </w:rPr>
      </w:pPr>
      <w:r>
        <w:rPr>
          <w:rFonts w:ascii="Arial" w:cs="Arial" w:eastAsia="Arial" w:hAnsi="Arial"/>
          <w:sz w:val="13"/>
          <w:szCs w:val="13"/>
          <w:color w:val="010000"/>
        </w:rPr>
        <w:t xml:space="preserve">SECTION 3.16 </w:t>
      </w:r>
      <w:r>
        <w:rPr>
          <w:rFonts w:ascii="Arial" w:cs="Arial" w:eastAsia="Arial" w:hAnsi="Arial"/>
          <w:sz w:val="13"/>
          <w:szCs w:val="13"/>
          <w:u w:val="single" w:color="auto"/>
          <w:color w:val="000000"/>
        </w:rPr>
        <w:t>Security Interest in Collateral</w:t>
      </w:r>
      <w:r>
        <w:rPr>
          <w:rFonts w:ascii="Arial" w:cs="Arial" w:eastAsia="Arial" w:hAnsi="Arial"/>
          <w:sz w:val="13"/>
          <w:szCs w:val="13"/>
          <w:color w:val="000000"/>
        </w:rPr>
        <w:t>. The provisions of this Agreement and the other Loan Documents create legal and valid Liens on all the</w:t>
      </w:r>
      <w:r>
        <w:rPr>
          <w:rFonts w:ascii="Arial" w:cs="Arial" w:eastAsia="Arial" w:hAnsi="Arial"/>
          <w:sz w:val="13"/>
          <w:szCs w:val="13"/>
          <w:color w:val="010000"/>
        </w:rPr>
        <w:t xml:space="preserve"> </w:t>
      </w:r>
      <w:r>
        <w:rPr>
          <w:rFonts w:ascii="Arial" w:cs="Arial" w:eastAsia="Arial" w:hAnsi="Arial"/>
          <w:sz w:val="13"/>
          <w:szCs w:val="13"/>
          <w:color w:val="000000"/>
        </w:rPr>
        <w:t>Collateral in favor of the Administrative Agent, for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13" w:name="page114"/>
    <w:bookmarkEnd w:id="113"/>
    <w:p>
      <w:pPr>
        <w:ind w:left="120" w:right="139"/>
        <w:spacing w:after="0" w:line="230" w:lineRule="auto"/>
        <w:rPr>
          <w:sz w:val="20"/>
          <w:szCs w:val="20"/>
          <w:color w:val="auto"/>
        </w:rPr>
      </w:pPr>
      <w:r>
        <w:rPr>
          <w:rFonts w:ascii="Arial" w:cs="Arial" w:eastAsia="Arial" w:hAnsi="Arial"/>
          <w:sz w:val="13"/>
          <w:szCs w:val="13"/>
          <w:u w:val="single" w:color="auto"/>
          <w:color w:val="auto"/>
        </w:rPr>
        <w:t>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spacing w:after="0" w:line="296" w:lineRule="exact"/>
        <w:rPr>
          <w:sz w:val="20"/>
          <w:szCs w:val="20"/>
          <w:color w:val="auto"/>
        </w:rPr>
      </w:pPr>
    </w:p>
    <w:p>
      <w:pPr>
        <w:ind w:left="120" w:right="159" w:firstLine="438"/>
        <w:spacing w:after="0" w:line="252" w:lineRule="auto"/>
        <w:rPr>
          <w:sz w:val="20"/>
          <w:szCs w:val="20"/>
          <w:color w:val="auto"/>
        </w:rPr>
      </w:pPr>
      <w:r>
        <w:rPr>
          <w:rFonts w:ascii="Arial" w:cs="Arial" w:eastAsia="Arial" w:hAnsi="Arial"/>
          <w:sz w:val="12"/>
          <w:szCs w:val="12"/>
          <w:color w:val="010000"/>
        </w:rPr>
        <w:t xml:space="preserve">SECTION 3.17 </w:t>
      </w:r>
      <w:r>
        <w:rPr>
          <w:rFonts w:ascii="Arial" w:cs="Arial" w:eastAsia="Arial" w:hAnsi="Arial"/>
          <w:sz w:val="12"/>
          <w:szCs w:val="12"/>
          <w:u w:val="single" w:color="auto"/>
          <w:color w:val="000000"/>
        </w:rPr>
        <w:t>Employment Matters</w:t>
      </w:r>
      <w:r>
        <w:rPr>
          <w:rFonts w:ascii="Arial" w:cs="Arial" w:eastAsia="Arial" w:hAnsi="Arial"/>
          <w:sz w:val="12"/>
          <w:szCs w:val="12"/>
          <w:color w:val="000000"/>
        </w:rPr>
        <w:t>. As of the Effective Date, there are no strikes, lockouts or slowdowns against any Loan Party or any Subsidiary</w:t>
      </w:r>
      <w:r>
        <w:rPr>
          <w:rFonts w:ascii="Arial" w:cs="Arial" w:eastAsia="Arial" w:hAnsi="Arial"/>
          <w:sz w:val="12"/>
          <w:szCs w:val="12"/>
          <w:color w:val="010000"/>
        </w:rPr>
        <w:t xml:space="preserve"> </w:t>
      </w:r>
      <w:r>
        <w:rPr>
          <w:rFonts w:ascii="Arial" w:cs="Arial" w:eastAsia="Arial" w:hAnsi="Arial"/>
          <w:sz w:val="12"/>
          <w:szCs w:val="12"/>
          <w:color w:val="000000"/>
        </w:rPr>
        <w:t>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297" w:lineRule="exact"/>
        <w:rPr>
          <w:sz w:val="20"/>
          <w:szCs w:val="20"/>
          <w:color w:val="auto"/>
        </w:rPr>
      </w:pPr>
    </w:p>
    <w:p>
      <w:pPr>
        <w:ind w:left="120" w:right="319" w:firstLine="438"/>
        <w:spacing w:after="0" w:line="254" w:lineRule="auto"/>
        <w:rPr>
          <w:sz w:val="20"/>
          <w:szCs w:val="20"/>
          <w:color w:val="auto"/>
        </w:rPr>
      </w:pPr>
      <w:r>
        <w:rPr>
          <w:rFonts w:ascii="Arial" w:cs="Arial" w:eastAsia="Arial" w:hAnsi="Arial"/>
          <w:sz w:val="13"/>
          <w:szCs w:val="13"/>
          <w:color w:val="010000"/>
        </w:rPr>
        <w:t xml:space="preserve">SECTION 3.18 </w:t>
      </w:r>
      <w:r>
        <w:rPr>
          <w:rFonts w:ascii="Arial" w:cs="Arial" w:eastAsia="Arial" w:hAnsi="Arial"/>
          <w:sz w:val="13"/>
          <w:szCs w:val="13"/>
          <w:u w:val="single" w:color="auto"/>
          <w:color w:val="000000"/>
        </w:rPr>
        <w:t>Federal Reserve Regulations. No part of the proceeds of any Loan or Letter of Credit has been used or will be used, whether directly or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indirectly, for any purpose that entails a violation of any of the Regulations of the Board, including Regulations T, U and X.</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010000"/>
        </w:rPr>
        <w:t xml:space="preserve">SECTION 3.19 </w:t>
      </w:r>
      <w:r>
        <w:rPr>
          <w:rFonts w:ascii="Arial" w:cs="Arial" w:eastAsia="Arial" w:hAnsi="Arial"/>
          <w:sz w:val="13"/>
          <w:szCs w:val="13"/>
          <w:u w:val="single" w:color="auto"/>
          <w:color w:val="000000"/>
        </w:rPr>
        <w:t>Use of Proceeds. The proceeds of the Loans have been used and will be used, whether directly or indirectly as set forth in Section</w:t>
      </w:r>
    </w:p>
    <w:p>
      <w:pPr>
        <w:ind w:left="120"/>
        <w:spacing w:after="0"/>
        <w:rPr>
          <w:sz w:val="20"/>
          <w:szCs w:val="20"/>
          <w:color w:val="auto"/>
        </w:rPr>
      </w:pPr>
      <w:r>
        <w:rPr>
          <w:rFonts w:ascii="Arial" w:cs="Arial" w:eastAsia="Arial" w:hAnsi="Arial"/>
          <w:sz w:val="13"/>
          <w:szCs w:val="13"/>
          <w:u w:val="single" w:color="auto"/>
          <w:color w:val="auto"/>
        </w:rPr>
        <w:t>5.08.</w:t>
      </w:r>
    </w:p>
    <w:p>
      <w:pPr>
        <w:spacing w:after="0" w:line="304" w:lineRule="exact"/>
        <w:rPr>
          <w:sz w:val="20"/>
          <w:szCs w:val="20"/>
          <w:color w:val="auto"/>
        </w:rPr>
      </w:pPr>
    </w:p>
    <w:p>
      <w:pPr>
        <w:ind w:left="120" w:right="219" w:firstLine="438"/>
        <w:spacing w:after="0" w:line="254" w:lineRule="auto"/>
        <w:rPr>
          <w:sz w:val="20"/>
          <w:szCs w:val="20"/>
          <w:color w:val="auto"/>
        </w:rPr>
      </w:pPr>
      <w:r>
        <w:rPr>
          <w:rFonts w:ascii="Arial" w:cs="Arial" w:eastAsia="Arial" w:hAnsi="Arial"/>
          <w:sz w:val="13"/>
          <w:szCs w:val="13"/>
          <w:color w:val="010000"/>
        </w:rPr>
        <w:t xml:space="preserve">SECTION 3.20 </w:t>
      </w:r>
      <w:r>
        <w:rPr>
          <w:rFonts w:ascii="Arial" w:cs="Arial" w:eastAsia="Arial" w:hAnsi="Arial"/>
          <w:sz w:val="13"/>
          <w:szCs w:val="13"/>
          <w:u w:val="single" w:color="auto"/>
          <w:color w:val="000000"/>
        </w:rPr>
        <w:t>No Burdensome Restrictions. No Loan Party is subject to any Burdensome Restrictions except Burdensome Restrictions permitted under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6.10.</w:t>
      </w:r>
    </w:p>
    <w:p>
      <w:pPr>
        <w:spacing w:after="0" w:line="295" w:lineRule="exact"/>
        <w:rPr>
          <w:sz w:val="20"/>
          <w:szCs w:val="20"/>
          <w:color w:val="auto"/>
        </w:rPr>
      </w:pPr>
    </w:p>
    <w:p>
      <w:pPr>
        <w:ind w:left="120" w:right="219" w:firstLine="438"/>
        <w:spacing w:after="0" w:line="247" w:lineRule="auto"/>
        <w:rPr>
          <w:sz w:val="20"/>
          <w:szCs w:val="20"/>
          <w:color w:val="auto"/>
        </w:rPr>
      </w:pPr>
      <w:r>
        <w:rPr>
          <w:rFonts w:ascii="Arial" w:cs="Arial" w:eastAsia="Arial" w:hAnsi="Arial"/>
          <w:sz w:val="12"/>
          <w:szCs w:val="12"/>
          <w:color w:val="010000"/>
        </w:rPr>
        <w:t xml:space="preserve">SECTION 3.21 </w:t>
      </w:r>
      <w:r>
        <w:rPr>
          <w:rFonts w:ascii="Arial" w:cs="Arial" w:eastAsia="Arial" w:hAnsi="Arial"/>
          <w:sz w:val="12"/>
          <w:szCs w:val="12"/>
          <w:u w:val="single" w:color="auto"/>
          <w:color w:val="000000"/>
        </w:rPr>
        <w:t>Anti-Corruption Laws and Sanctions</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Each Loan Party has implemented and maintains in effect policies and procedures designed to</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3.22 </w:t>
      </w:r>
      <w:r>
        <w:rPr>
          <w:rFonts w:ascii="Arial" w:cs="Arial" w:eastAsia="Arial" w:hAnsi="Arial"/>
          <w:sz w:val="13"/>
          <w:szCs w:val="13"/>
          <w:u w:val="single" w:color="auto"/>
          <w:color w:val="000000"/>
        </w:rPr>
        <w:t>EEA Financial Institutions</w:t>
      </w:r>
      <w:r>
        <w:rPr>
          <w:rFonts w:ascii="Arial" w:cs="Arial" w:eastAsia="Arial" w:hAnsi="Arial"/>
          <w:sz w:val="13"/>
          <w:szCs w:val="13"/>
          <w:color w:val="000000"/>
        </w:rPr>
        <w:t>. No Loan Party is an EEA Financial Institution.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010000"/>
        </w:rPr>
        <w:t>ARTICLE IV</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Conditions</w:t>
      </w:r>
    </w:p>
    <w:p>
      <w:pPr>
        <w:spacing w:after="0" w:line="51" w:lineRule="exact"/>
        <w:rPr>
          <w:sz w:val="20"/>
          <w:szCs w:val="20"/>
          <w:color w:val="auto"/>
        </w:rPr>
      </w:pPr>
    </w:p>
    <w:p>
      <w:pPr>
        <w:ind w:left="120" w:right="539" w:firstLine="438"/>
        <w:spacing w:after="0" w:line="254" w:lineRule="auto"/>
        <w:rPr>
          <w:sz w:val="20"/>
          <w:szCs w:val="20"/>
          <w:color w:val="auto"/>
        </w:rPr>
      </w:pPr>
      <w:r>
        <w:rPr>
          <w:rFonts w:ascii="Arial" w:cs="Arial" w:eastAsia="Arial" w:hAnsi="Arial"/>
          <w:sz w:val="13"/>
          <w:szCs w:val="13"/>
          <w:color w:val="010000"/>
        </w:rPr>
        <w:t xml:space="preserve">SECTION 4.01 </w:t>
      </w:r>
      <w:r>
        <w:rPr>
          <w:rFonts w:ascii="Arial" w:cs="Arial" w:eastAsia="Arial" w:hAnsi="Arial"/>
          <w:sz w:val="13"/>
          <w:szCs w:val="13"/>
          <w:u w:val="single" w:color="auto"/>
          <w:color w:val="000000"/>
        </w:rPr>
        <w:t>Effective Date</w:t>
      </w:r>
      <w:r>
        <w:rPr>
          <w:rFonts w:ascii="Arial" w:cs="Arial" w:eastAsia="Arial" w:hAnsi="Arial"/>
          <w:sz w:val="13"/>
          <w:szCs w:val="13"/>
          <w:color w:val="000000"/>
        </w:rPr>
        <w:t>. The obligations of the Lenders to make Loans and of the Issuing Bank to issue Letters of Credit hereunder shall not</w:t>
      </w:r>
      <w:r>
        <w:rPr>
          <w:rFonts w:ascii="Arial" w:cs="Arial" w:eastAsia="Arial" w:hAnsi="Arial"/>
          <w:sz w:val="13"/>
          <w:szCs w:val="13"/>
          <w:color w:val="010000"/>
        </w:rPr>
        <w:t xml:space="preserve"> </w:t>
      </w:r>
      <w:r>
        <w:rPr>
          <w:rFonts w:ascii="Arial" w:cs="Arial" w:eastAsia="Arial" w:hAnsi="Arial"/>
          <w:sz w:val="13"/>
          <w:szCs w:val="13"/>
          <w:color w:val="000000"/>
        </w:rPr>
        <w:t>become effective until the date on which each of the following conditions is satisfied (or waived in accordance with Section 9.02):</w:t>
      </w:r>
    </w:p>
    <w:p>
      <w:pPr>
        <w:spacing w:after="0" w:line="295" w:lineRule="exact"/>
        <w:rPr>
          <w:sz w:val="20"/>
          <w:szCs w:val="20"/>
          <w:color w:val="auto"/>
        </w:rPr>
      </w:pPr>
    </w:p>
    <w:p>
      <w:pPr>
        <w:ind w:left="120" w:right="119" w:firstLine="879"/>
        <w:spacing w:after="0" w:line="239" w:lineRule="auto"/>
        <w:tabs>
          <w:tab w:leader="none" w:pos="1189" w:val="left"/>
        </w:tabs>
        <w:numPr>
          <w:ilvl w:val="0"/>
          <w:numId w:val="104"/>
        </w:numPr>
        <w:rPr>
          <w:rFonts w:ascii="Arial" w:cs="Arial" w:eastAsia="Arial" w:hAnsi="Arial"/>
          <w:sz w:val="13"/>
          <w:szCs w:val="13"/>
          <w:color w:val="010000"/>
        </w:rPr>
      </w:pPr>
      <w:r>
        <w:rPr>
          <w:rFonts w:ascii="Arial" w:cs="Arial" w:eastAsia="Arial" w:hAnsi="Arial"/>
          <w:sz w:val="13"/>
          <w:szCs w:val="13"/>
          <w:u w:val="single" w:color="auto"/>
          <w:color w:val="auto"/>
        </w:rPr>
        <w:t>Credit Agreement and Loan Documents</w:t>
      </w:r>
      <w:r>
        <w:rPr>
          <w:rFonts w:ascii="Arial" w:cs="Arial" w:eastAsia="Arial" w:hAnsi="Arial"/>
          <w:sz w:val="13"/>
          <w:szCs w:val="13"/>
          <w:color w:val="auto"/>
        </w:rPr>
        <w:t>. The Administrative Agent (or its counsel) shall have received (i) from each party hereto either (A) a counterpart of this Agreement signed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14" w:name="page115"/>
    <w:bookmarkEnd w:id="114"/>
    <w:p>
      <w:pPr>
        <w:jc w:val="both"/>
        <w:ind w:left="120" w:right="119"/>
        <w:spacing w:after="0" w:line="218" w:lineRule="auto"/>
        <w:rPr>
          <w:sz w:val="20"/>
          <w:szCs w:val="20"/>
          <w:color w:val="auto"/>
        </w:rPr>
      </w:pPr>
      <w:r>
        <w:rPr>
          <w:rFonts w:ascii="Arial" w:cs="Arial" w:eastAsia="Arial" w:hAnsi="Arial"/>
          <w:sz w:val="13"/>
          <w:szCs w:val="13"/>
          <w:color w:val="auto"/>
        </w:rPr>
        <w:t>on behalf of such party or (B) written evidence satisfactory to the Administrative Agent (which may include fax or other electronic transmission of a signed signature page of this Agreement) that such party has signed a counterpart of this Agreement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w:t>
      </w:r>
    </w:p>
    <w:p>
      <w:pPr>
        <w:spacing w:after="0" w:line="105" w:lineRule="exact"/>
        <w:rPr>
          <w:sz w:val="20"/>
          <w:szCs w:val="20"/>
          <w:color w:val="auto"/>
        </w:rPr>
      </w:pPr>
    </w:p>
    <w:p>
      <w:pPr>
        <w:ind w:left="120" w:right="119" w:firstLine="879"/>
        <w:spacing w:after="0" w:line="239" w:lineRule="auto"/>
        <w:tabs>
          <w:tab w:leader="none" w:pos="1197" w:val="left"/>
        </w:tabs>
        <w:numPr>
          <w:ilvl w:val="0"/>
          <w:numId w:val="105"/>
        </w:numPr>
        <w:rPr>
          <w:rFonts w:ascii="Arial" w:cs="Arial" w:eastAsia="Arial" w:hAnsi="Arial"/>
          <w:sz w:val="13"/>
          <w:szCs w:val="13"/>
          <w:color w:val="010000"/>
        </w:rPr>
      </w:pPr>
      <w:r>
        <w:rPr>
          <w:rFonts w:ascii="Arial" w:cs="Arial" w:eastAsia="Arial" w:hAnsi="Arial"/>
          <w:sz w:val="13"/>
          <w:szCs w:val="13"/>
          <w:u w:val="single" w:color="auto"/>
          <w:color w:val="auto"/>
        </w:rPr>
        <w:t>Financial Statements and Projections</w:t>
      </w:r>
      <w:r>
        <w:rPr>
          <w:rFonts w:ascii="Arial" w:cs="Arial" w:eastAsia="Arial" w:hAnsi="Arial"/>
          <w:sz w:val="13"/>
          <w:szCs w:val="13"/>
          <w:color w:val="auto"/>
        </w:rPr>
        <w:t>. The Lenders shall have received (i) audited consolidated financial statements of the Borrower and its Subsidiaries for the 2016 and 2017 fiscal years and (ii) satisfactory Projections through June 30, 2022.</w:t>
      </w:r>
    </w:p>
    <w:p>
      <w:pPr>
        <w:spacing w:after="0" w:line="104" w:lineRule="exact"/>
        <w:rPr>
          <w:sz w:val="20"/>
          <w:szCs w:val="20"/>
          <w:color w:val="auto"/>
        </w:rPr>
      </w:pPr>
    </w:p>
    <w:p>
      <w:pPr>
        <w:jc w:val="both"/>
        <w:ind w:left="120" w:right="119" w:firstLine="875"/>
        <w:spacing w:after="0" w:line="228" w:lineRule="auto"/>
        <w:rPr>
          <w:sz w:val="20"/>
          <w:szCs w:val="20"/>
          <w:color w:val="auto"/>
        </w:rPr>
      </w:pPr>
      <w:r>
        <w:rPr>
          <w:rFonts w:ascii="Arial" w:cs="Arial" w:eastAsia="Arial" w:hAnsi="Arial"/>
          <w:sz w:val="13"/>
          <w:szCs w:val="13"/>
          <w:color w:val="010000"/>
        </w:rPr>
        <w:t xml:space="preserve">(c) </w:t>
      </w:r>
      <w:r>
        <w:rPr>
          <w:rFonts w:ascii="Arial" w:cs="Arial" w:eastAsia="Arial" w:hAnsi="Arial"/>
          <w:sz w:val="13"/>
          <w:szCs w:val="13"/>
          <w:u w:val="single" w:color="auto"/>
          <w:color w:val="000000"/>
        </w:rPr>
        <w:t>Opinions of Counsel.</w:t>
      </w:r>
      <w:r>
        <w:rPr>
          <w:rFonts w:ascii="Arial" w:cs="Arial" w:eastAsia="Arial" w:hAnsi="Arial"/>
          <w:sz w:val="13"/>
          <w:szCs w:val="13"/>
          <w:color w:val="010000"/>
        </w:rPr>
        <w:t xml:space="preserve"> </w:t>
      </w:r>
      <w:r>
        <w:rPr>
          <w:rFonts w:ascii="Arial" w:cs="Arial" w:eastAsia="Arial" w:hAnsi="Arial"/>
          <w:sz w:val="13"/>
          <w:szCs w:val="13"/>
          <w:color w:val="000000"/>
        </w:rPr>
        <w:t>Favorable written legal opinion of Lurio &amp; Associates, P.C. and applicable local counsel in the</w:t>
      </w:r>
      <w:r>
        <w:rPr>
          <w:rFonts w:ascii="Arial" w:cs="Arial" w:eastAsia="Arial" w:hAnsi="Arial"/>
          <w:sz w:val="13"/>
          <w:szCs w:val="13"/>
          <w:color w:val="010000"/>
        </w:rPr>
        <w:t xml:space="preserve"> </w:t>
      </w:r>
      <w:r>
        <w:rPr>
          <w:rFonts w:ascii="Arial" w:cs="Arial" w:eastAsia="Arial" w:hAnsi="Arial"/>
          <w:sz w:val="13"/>
          <w:szCs w:val="13"/>
          <w:color w:val="000000"/>
        </w:rPr>
        <w:t>jurisdictions of organization of the Loan Parties addressed to the Administrative Agent and each of the Lenders, and covering such customary matters relating to the Loan Parties, the Loan Documents and the transactions contemplated therein as the Administrative Agent shall reasonably request.</w:t>
      </w:r>
    </w:p>
    <w:p>
      <w:pPr>
        <w:spacing w:after="0" w:line="103" w:lineRule="exact"/>
        <w:rPr>
          <w:sz w:val="20"/>
          <w:szCs w:val="20"/>
          <w:color w:val="auto"/>
        </w:rPr>
      </w:pPr>
    </w:p>
    <w:p>
      <w:pPr>
        <w:jc w:val="both"/>
        <w:ind w:left="120" w:right="119" w:firstLine="879"/>
        <w:spacing w:after="0" w:line="213" w:lineRule="auto"/>
        <w:tabs>
          <w:tab w:leader="none" w:pos="1197" w:val="left"/>
        </w:tabs>
        <w:numPr>
          <w:ilvl w:val="0"/>
          <w:numId w:val="106"/>
        </w:numPr>
        <w:rPr>
          <w:rFonts w:ascii="Arial" w:cs="Arial" w:eastAsia="Arial" w:hAnsi="Arial"/>
          <w:sz w:val="13"/>
          <w:szCs w:val="13"/>
          <w:color w:val="010000"/>
        </w:rPr>
      </w:pPr>
      <w:r>
        <w:rPr>
          <w:rFonts w:ascii="Arial" w:cs="Arial" w:eastAsia="Arial" w:hAnsi="Arial"/>
          <w:sz w:val="13"/>
          <w:szCs w:val="13"/>
          <w:u w:val="single" w:color="auto"/>
          <w:color w:val="auto"/>
        </w:rPr>
        <w:t>Secretary Certificates; Certified Certificate of Incorporation; Good Standing Certificates</w:t>
      </w:r>
      <w:r>
        <w:rPr>
          <w:rFonts w:ascii="Arial" w:cs="Arial" w:eastAsia="Arial" w:hAnsi="Arial"/>
          <w:sz w:val="13"/>
          <w:szCs w:val="13"/>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05"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106"/>
        </w:numPr>
        <w:rPr>
          <w:rFonts w:ascii="Arial" w:cs="Arial" w:eastAsia="Arial" w:hAnsi="Arial"/>
          <w:sz w:val="13"/>
          <w:szCs w:val="13"/>
          <w:color w:val="010000"/>
        </w:rPr>
      </w:pPr>
      <w:r>
        <w:rPr>
          <w:rFonts w:ascii="Arial" w:cs="Arial" w:eastAsia="Arial" w:hAnsi="Arial"/>
          <w:sz w:val="13"/>
          <w:szCs w:val="13"/>
          <w:u w:val="single" w:color="auto"/>
          <w:color w:val="auto"/>
        </w:rPr>
        <w:t>Closing Certificate</w:t>
      </w:r>
      <w:r>
        <w:rPr>
          <w:rFonts w:ascii="Arial" w:cs="Arial" w:eastAsia="Arial" w:hAnsi="Arial"/>
          <w:sz w:val="13"/>
          <w:szCs w:val="13"/>
          <w:color w:val="auto"/>
        </w:rPr>
        <w:t>. The Administrative Agent shall have received a certificate, signed by the chief financial officer of the Borrower and each other Loan Party, dated as of the Effective Date, after giving effect to the initial Loans, the Cantaloupe Acquisition, and the other Transactions hereunder,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75" w:val="left"/>
        </w:tabs>
        <w:numPr>
          <w:ilvl w:val="0"/>
          <w:numId w:val="106"/>
        </w:numPr>
        <w:rPr>
          <w:rFonts w:ascii="Arial" w:cs="Arial" w:eastAsia="Arial" w:hAnsi="Arial"/>
          <w:sz w:val="13"/>
          <w:szCs w:val="13"/>
          <w:color w:val="010000"/>
        </w:rPr>
      </w:pPr>
      <w:r>
        <w:rPr>
          <w:rFonts w:ascii="Arial" w:cs="Arial" w:eastAsia="Arial" w:hAnsi="Arial"/>
          <w:sz w:val="13"/>
          <w:szCs w:val="13"/>
          <w:u w:val="single" w:color="auto"/>
          <w:color w:val="auto"/>
        </w:rPr>
        <w:t>Approvals</w:t>
      </w:r>
      <w:r>
        <w:rPr>
          <w:rFonts w:ascii="Arial" w:cs="Arial" w:eastAsia="Arial" w:hAnsi="Arial"/>
          <w:sz w:val="13"/>
          <w:szCs w:val="13"/>
          <w:color w:val="auto"/>
        </w:rPr>
        <w:t>. All governmental and third party approvals necessary in connection with the financing contemplated hereby, the Cantaloupe Acquisition, and the other Transactions, if any, and the continuing operations of the Loan Parties and their Subsidiaries (including shareholder approvals, if any) shall have been obtained on terms satisfactory to the Administrative Agent and shall be in full force and effect.</w:t>
      </w:r>
    </w:p>
    <w:p>
      <w:pPr>
        <w:spacing w:after="0" w:line="102" w:lineRule="exact"/>
        <w:rPr>
          <w:rFonts w:ascii="Arial" w:cs="Arial" w:eastAsia="Arial" w:hAnsi="Arial"/>
          <w:sz w:val="13"/>
          <w:szCs w:val="13"/>
          <w:color w:val="010000"/>
        </w:rPr>
      </w:pPr>
    </w:p>
    <w:p>
      <w:pPr>
        <w:jc w:val="both"/>
        <w:ind w:left="120" w:right="119" w:firstLine="879"/>
        <w:spacing w:after="0" w:line="222" w:lineRule="auto"/>
        <w:tabs>
          <w:tab w:leader="none" w:pos="1197" w:val="left"/>
        </w:tabs>
        <w:numPr>
          <w:ilvl w:val="0"/>
          <w:numId w:val="106"/>
        </w:numPr>
        <w:rPr>
          <w:rFonts w:ascii="Arial" w:cs="Arial" w:eastAsia="Arial" w:hAnsi="Arial"/>
          <w:sz w:val="13"/>
          <w:szCs w:val="13"/>
          <w:color w:val="010000"/>
        </w:rPr>
      </w:pPr>
      <w:r>
        <w:rPr>
          <w:rFonts w:ascii="Arial" w:cs="Arial" w:eastAsia="Arial" w:hAnsi="Arial"/>
          <w:sz w:val="13"/>
          <w:szCs w:val="13"/>
          <w:u w:val="single" w:color="auto"/>
          <w:color w:val="auto"/>
        </w:rPr>
        <w:t>Fees</w:t>
      </w:r>
      <w:r>
        <w:rPr>
          <w:rFonts w:ascii="Arial" w:cs="Arial" w:eastAsia="Arial" w:hAnsi="Arial"/>
          <w:sz w:val="13"/>
          <w:szCs w:val="13"/>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06"/>
        </w:numPr>
        <w:rPr>
          <w:rFonts w:ascii="Arial" w:cs="Arial" w:eastAsia="Arial" w:hAnsi="Arial"/>
          <w:sz w:val="13"/>
          <w:szCs w:val="13"/>
          <w:color w:val="010000"/>
        </w:rPr>
      </w:pPr>
      <w:r>
        <w:rPr>
          <w:rFonts w:ascii="Arial" w:cs="Arial" w:eastAsia="Arial" w:hAnsi="Arial"/>
          <w:sz w:val="13"/>
          <w:szCs w:val="13"/>
          <w:u w:val="single" w:color="auto"/>
          <w:color w:val="auto"/>
        </w:rPr>
        <w:t>Lien Searches</w:t>
      </w:r>
      <w:r>
        <w:rPr>
          <w:rFonts w:ascii="Arial" w:cs="Arial" w:eastAsia="Arial" w:hAnsi="Arial"/>
          <w:sz w:val="13"/>
          <w:szCs w:val="13"/>
          <w:color w:val="auto"/>
        </w:rPr>
        <w:t>. The Administrative Agent shall have received the results of a recent lien search in the jurisdiction of organization of each Loan Party and each jurisdiction where assets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15" w:name="page116"/>
    <w:bookmarkEnd w:id="115"/>
    <w:p>
      <w:pPr>
        <w:ind w:left="120" w:right="119"/>
        <w:spacing w:after="0" w:line="239" w:lineRule="auto"/>
        <w:rPr>
          <w:sz w:val="20"/>
          <w:szCs w:val="20"/>
          <w:color w:val="auto"/>
        </w:rPr>
      </w:pPr>
      <w:r>
        <w:rPr>
          <w:rFonts w:ascii="Arial" w:cs="Arial" w:eastAsia="Arial" w:hAnsi="Arial"/>
          <w:sz w:val="13"/>
          <w:szCs w:val="13"/>
          <w:color w:val="auto"/>
        </w:rPr>
        <w:t>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04" w:lineRule="exact"/>
        <w:rPr>
          <w:sz w:val="20"/>
          <w:szCs w:val="20"/>
          <w:color w:val="auto"/>
        </w:rPr>
      </w:pPr>
    </w:p>
    <w:p>
      <w:pPr>
        <w:jc w:val="both"/>
        <w:ind w:left="120" w:right="119" w:firstLine="879"/>
        <w:spacing w:after="0" w:line="250" w:lineRule="auto"/>
        <w:tabs>
          <w:tab w:leader="none" w:pos="1167" w:val="left"/>
        </w:tabs>
        <w:numPr>
          <w:ilvl w:val="0"/>
          <w:numId w:val="107"/>
        </w:numPr>
        <w:rPr>
          <w:rFonts w:ascii="Arial" w:cs="Arial" w:eastAsia="Arial" w:hAnsi="Arial"/>
          <w:sz w:val="12"/>
          <w:szCs w:val="12"/>
          <w:color w:val="010000"/>
        </w:rPr>
      </w:pPr>
      <w:r>
        <w:rPr>
          <w:rFonts w:ascii="Arial" w:cs="Arial" w:eastAsia="Arial" w:hAnsi="Arial"/>
          <w:sz w:val="12"/>
          <w:szCs w:val="12"/>
          <w:u w:val="single" w:color="auto"/>
          <w:color w:val="auto"/>
        </w:rPr>
        <w:t>Pay-Off Letter</w:t>
      </w:r>
      <w:r>
        <w:rPr>
          <w:rFonts w:ascii="Arial" w:cs="Arial" w:eastAsia="Arial" w:hAnsi="Arial"/>
          <w:sz w:val="12"/>
          <w:szCs w:val="12"/>
          <w:color w:val="auto"/>
        </w:rPr>
        <w:t>. The Administrative Agent shall have received satisfactory pay-off letters for all existing Indebtedness required to be repaid on the Effective Date and which confirms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97" w:lineRule="exact"/>
        <w:rPr>
          <w:rFonts w:ascii="Arial" w:cs="Arial" w:eastAsia="Arial" w:hAnsi="Arial"/>
          <w:sz w:val="12"/>
          <w:szCs w:val="12"/>
          <w:color w:val="010000"/>
        </w:rPr>
      </w:pPr>
    </w:p>
    <w:p>
      <w:pPr>
        <w:jc w:val="both"/>
        <w:ind w:left="120" w:right="119" w:firstLine="879"/>
        <w:spacing w:after="0" w:line="228" w:lineRule="auto"/>
        <w:tabs>
          <w:tab w:leader="none" w:pos="1167"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Funding Account</w:t>
      </w:r>
      <w:r>
        <w:rPr>
          <w:rFonts w:ascii="Arial" w:cs="Arial" w:eastAsia="Arial" w:hAnsi="Arial"/>
          <w:sz w:val="13"/>
          <w:szCs w:val="13"/>
          <w:color w:val="auto"/>
        </w:rPr>
        <w:t>. The Administrative Agent shall have received a notice setting forth the deposit account of the Borrower (the “</w:t>
      </w:r>
      <w:r>
        <w:rPr>
          <w:rFonts w:ascii="Arial" w:cs="Arial" w:eastAsia="Arial" w:hAnsi="Arial"/>
          <w:sz w:val="13"/>
          <w:szCs w:val="13"/>
          <w:u w:val="single" w:color="auto"/>
          <w:color w:val="auto"/>
        </w:rPr>
        <w:t>Funding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Account</w:t>
      </w:r>
      <w:r>
        <w:rPr>
          <w:rFonts w:ascii="Arial" w:cs="Arial" w:eastAsia="Arial" w:hAnsi="Arial"/>
          <w:sz w:val="13"/>
          <w:szCs w:val="13"/>
          <w:color w:val="auto"/>
        </w:rPr>
        <w:t>”) to which the Administrative Agent is authorized by the Borrower to transfer the proceeds of any Borrowings requested or authorized pursuant to this Agreement.</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Solvency</w:t>
      </w:r>
      <w:r>
        <w:rPr>
          <w:rFonts w:ascii="Arial" w:cs="Arial" w:eastAsia="Arial" w:hAnsi="Arial"/>
          <w:sz w:val="13"/>
          <w:szCs w:val="13"/>
          <w:color w:val="auto"/>
        </w:rPr>
        <w:t>. The Administrative Agent shall have received a solvency certificate signed by a Financial Officer dated the Effective Date in form and substance reasonably satisfactory to the Administrative Agent.</w:t>
      </w:r>
    </w:p>
    <w:p>
      <w:pPr>
        <w:spacing w:after="0" w:line="103" w:lineRule="exact"/>
        <w:rPr>
          <w:rFonts w:ascii="Arial" w:cs="Arial" w:eastAsia="Arial" w:hAnsi="Arial"/>
          <w:sz w:val="13"/>
          <w:szCs w:val="13"/>
          <w:color w:val="010000"/>
        </w:rPr>
      </w:pPr>
    </w:p>
    <w:p>
      <w:pPr>
        <w:jc w:val="both"/>
        <w:ind w:left="120" w:right="119" w:firstLine="879"/>
        <w:spacing w:after="0" w:line="222" w:lineRule="auto"/>
        <w:tabs>
          <w:tab w:leader="none" w:pos="1167"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Pledged Equity Interests; Stock Powers; Pledged Notes</w:t>
      </w:r>
      <w:r>
        <w:rPr>
          <w:rFonts w:ascii="Arial" w:cs="Arial" w:eastAsia="Arial" w:hAnsi="Arial"/>
          <w:sz w:val="13"/>
          <w:szCs w:val="13"/>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03" w:lineRule="exact"/>
        <w:rPr>
          <w:rFonts w:ascii="Arial" w:cs="Arial" w:eastAsia="Arial" w:hAnsi="Arial"/>
          <w:sz w:val="13"/>
          <w:szCs w:val="13"/>
          <w:color w:val="010000"/>
        </w:rPr>
      </w:pPr>
    </w:p>
    <w:p>
      <w:pPr>
        <w:jc w:val="both"/>
        <w:ind w:left="120" w:right="119" w:firstLine="879"/>
        <w:spacing w:after="0" w:line="222" w:lineRule="auto"/>
        <w:tabs>
          <w:tab w:leader="none" w:pos="1234"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Filings, Registrations and Recordings</w:t>
      </w:r>
      <w:r>
        <w:rPr>
          <w:rFonts w:ascii="Arial" w:cs="Arial" w:eastAsia="Arial" w:hAnsi="Arial"/>
          <w:sz w:val="13"/>
          <w:szCs w:val="13"/>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03" w:lineRule="exact"/>
        <w:rPr>
          <w:rFonts w:ascii="Arial" w:cs="Arial" w:eastAsia="Arial" w:hAnsi="Arial"/>
          <w:sz w:val="13"/>
          <w:szCs w:val="13"/>
          <w:color w:val="010000"/>
        </w:rPr>
      </w:pPr>
    </w:p>
    <w:p>
      <w:pPr>
        <w:ind w:left="120" w:right="119" w:firstLine="879"/>
        <w:spacing w:after="0" w:line="279" w:lineRule="auto"/>
        <w:tabs>
          <w:tab w:leader="none" w:pos="1197" w:val="left"/>
        </w:tabs>
        <w:numPr>
          <w:ilvl w:val="0"/>
          <w:numId w:val="107"/>
        </w:numPr>
        <w:rPr>
          <w:rFonts w:ascii="Arial" w:cs="Arial" w:eastAsia="Arial" w:hAnsi="Arial"/>
          <w:sz w:val="12"/>
          <w:szCs w:val="12"/>
          <w:color w:val="010000"/>
        </w:rPr>
      </w:pPr>
      <w:r>
        <w:rPr>
          <w:rFonts w:ascii="Arial" w:cs="Arial" w:eastAsia="Arial" w:hAnsi="Arial"/>
          <w:sz w:val="12"/>
          <w:szCs w:val="12"/>
          <w:u w:val="single" w:color="auto"/>
          <w:color w:val="auto"/>
        </w:rPr>
        <w:t>Insurance</w:t>
      </w:r>
      <w:r>
        <w:rPr>
          <w:rFonts w:ascii="Arial" w:cs="Arial" w:eastAsia="Arial" w:hAnsi="Arial"/>
          <w:sz w:val="12"/>
          <w:szCs w:val="12"/>
          <w:color w:val="auto"/>
        </w:rPr>
        <w:t>. The Administrative Agent shall have received evidence of insurance coverage in form, scope, and substance reasonably satisfactory to the Administrative Agent and otherwise in compliance with the terms of Section 5.10 of this Agreement and Section 4.12 of the Security Agreement.</w:t>
      </w:r>
    </w:p>
    <w:p>
      <w:pPr>
        <w:spacing w:after="0" w:line="80" w:lineRule="exact"/>
        <w:rPr>
          <w:rFonts w:ascii="Arial" w:cs="Arial" w:eastAsia="Arial" w:hAnsi="Arial"/>
          <w:sz w:val="12"/>
          <w:szCs w:val="12"/>
          <w:color w:val="010000"/>
        </w:rPr>
      </w:pPr>
    </w:p>
    <w:p>
      <w:pPr>
        <w:jc w:val="both"/>
        <w:ind w:left="120" w:right="119" w:firstLine="879"/>
        <w:spacing w:after="0" w:line="222" w:lineRule="auto"/>
        <w:tabs>
          <w:tab w:leader="none" w:pos="1197"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Due Diligence</w:t>
      </w:r>
      <w:r>
        <w:rPr>
          <w:rFonts w:ascii="Arial" w:cs="Arial" w:eastAsia="Arial" w:hAnsi="Arial"/>
          <w:sz w:val="13"/>
          <w:szCs w:val="13"/>
          <w:color w:val="auto"/>
        </w:rPr>
        <w:t>. The Administrative Agent and its counsel shall have completed all business and legal due diligence with respect to the Borrower and its Subsidiaries and Cantaloupe Systems and its Subsidiaries, including, without limitation, receipt of a quality of earnings reports with respect to Cantaloupe Systems, approval of the final corporate structure, approval of the terms of any agreements with Affiliates, and one or more meetings with the Borrower’s management team, in each case, the results of which shall be satisfactory to Administrative Agent in its sole discretion.</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07"/>
        </w:numPr>
        <w:rPr>
          <w:rFonts w:ascii="Arial" w:cs="Arial" w:eastAsia="Arial" w:hAnsi="Arial"/>
          <w:sz w:val="13"/>
          <w:szCs w:val="13"/>
          <w:color w:val="010000"/>
        </w:rPr>
      </w:pPr>
      <w:r>
        <w:rPr>
          <w:rFonts w:ascii="Arial" w:cs="Arial" w:eastAsia="Arial" w:hAnsi="Arial"/>
          <w:sz w:val="13"/>
          <w:szCs w:val="13"/>
          <w:u w:val="single" w:color="auto"/>
          <w:color w:val="auto"/>
        </w:rPr>
        <w:t>Cantaloupe Acquisition</w:t>
      </w:r>
      <w:r>
        <w:rPr>
          <w:rFonts w:ascii="Arial" w:cs="Arial" w:eastAsia="Arial" w:hAnsi="Arial"/>
          <w:sz w:val="13"/>
          <w:szCs w:val="13"/>
          <w:color w:val="auto"/>
        </w:rPr>
        <w:t>.</w:t>
      </w:r>
    </w:p>
    <w:p>
      <w:pPr>
        <w:spacing w:after="0" w:line="124" w:lineRule="exact"/>
        <w:rPr>
          <w:rFonts w:ascii="Arial" w:cs="Arial" w:eastAsia="Arial" w:hAnsi="Arial"/>
          <w:sz w:val="13"/>
          <w:szCs w:val="13"/>
          <w:color w:val="010000"/>
        </w:rPr>
      </w:pPr>
    </w:p>
    <w:p>
      <w:pPr>
        <w:jc w:val="both"/>
        <w:ind w:left="120" w:right="119" w:firstLine="1317"/>
        <w:spacing w:after="0" w:line="228" w:lineRule="auto"/>
        <w:tabs>
          <w:tab w:leader="none" w:pos="1605" w:val="left"/>
        </w:tabs>
        <w:numPr>
          <w:ilvl w:val="1"/>
          <w:numId w:val="107"/>
        </w:numPr>
        <w:rPr>
          <w:rFonts w:ascii="Arial" w:cs="Arial" w:eastAsia="Arial" w:hAnsi="Arial"/>
          <w:sz w:val="13"/>
          <w:szCs w:val="13"/>
          <w:color w:val="010000"/>
        </w:rPr>
      </w:pPr>
      <w:r>
        <w:rPr>
          <w:rFonts w:ascii="Arial" w:cs="Arial" w:eastAsia="Arial" w:hAnsi="Arial"/>
          <w:sz w:val="13"/>
          <w:szCs w:val="13"/>
          <w:color w:val="auto"/>
        </w:rPr>
        <w:t>All conditions precedent to the consummation of the Cantaloupe Acquisition shall be satisfied or waived by the Administrative Agent and the Cantaloupe Acquisition shall have been consummated substantially concurrently with or before the making of the initial Loans hereunder, substantially in accordance with the terms of the Cantaloupe Acquisition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16" w:name="page117"/>
    <w:bookmarkEnd w:id="116"/>
    <w:p>
      <w:pPr>
        <w:jc w:val="both"/>
        <w:ind w:left="120" w:right="119" w:firstLine="1317"/>
        <w:spacing w:after="0" w:line="228" w:lineRule="auto"/>
        <w:tabs>
          <w:tab w:leader="none" w:pos="1642" w:val="left"/>
        </w:tabs>
        <w:numPr>
          <w:ilvl w:val="1"/>
          <w:numId w:val="108"/>
        </w:numPr>
        <w:rPr>
          <w:rFonts w:ascii="Arial" w:cs="Arial" w:eastAsia="Arial" w:hAnsi="Arial"/>
          <w:sz w:val="13"/>
          <w:szCs w:val="13"/>
          <w:color w:val="010000"/>
        </w:rPr>
      </w:pPr>
      <w:r>
        <w:rPr>
          <w:rFonts w:ascii="Arial" w:cs="Arial" w:eastAsia="Arial" w:hAnsi="Arial"/>
          <w:sz w:val="13"/>
          <w:szCs w:val="13"/>
          <w:color w:val="auto"/>
        </w:rPr>
        <w:t>Administrative Agent shall have received certified, executed copies of all material writings, agreements, and other material documents relating to, or executed in connection with, the Cantaloupe Acquisition, each of which shall be in form and substance reasonably satisfactory to Administrative Agent.</w:t>
      </w:r>
    </w:p>
    <w:p>
      <w:pPr>
        <w:spacing w:after="0" w:line="102" w:lineRule="exact"/>
        <w:rPr>
          <w:rFonts w:ascii="Arial" w:cs="Arial" w:eastAsia="Arial" w:hAnsi="Arial"/>
          <w:sz w:val="13"/>
          <w:szCs w:val="13"/>
          <w:color w:val="010000"/>
        </w:rPr>
      </w:pPr>
    </w:p>
    <w:p>
      <w:pPr>
        <w:ind w:left="1200" w:hanging="201"/>
        <w:spacing w:after="0"/>
        <w:tabs>
          <w:tab w:leader="none" w:pos="1200" w:val="left"/>
        </w:tabs>
        <w:numPr>
          <w:ilvl w:val="0"/>
          <w:numId w:val="109"/>
        </w:numPr>
        <w:rPr>
          <w:rFonts w:ascii="Arial" w:cs="Arial" w:eastAsia="Arial" w:hAnsi="Arial"/>
          <w:sz w:val="13"/>
          <w:szCs w:val="13"/>
          <w:color w:val="010000"/>
        </w:rPr>
      </w:pPr>
      <w:r>
        <w:rPr>
          <w:rFonts w:ascii="Arial" w:cs="Arial" w:eastAsia="Arial" w:hAnsi="Arial"/>
          <w:sz w:val="13"/>
          <w:szCs w:val="13"/>
          <w:u w:val="single" w:color="auto"/>
          <w:color w:val="auto"/>
        </w:rPr>
        <w:t>Subordinated Debt</w:t>
      </w:r>
      <w:r>
        <w:rPr>
          <w:rFonts w:ascii="Arial" w:cs="Arial" w:eastAsia="Arial" w:hAnsi="Arial"/>
          <w:sz w:val="13"/>
          <w:szCs w:val="13"/>
          <w:color w:val="auto"/>
        </w:rPr>
        <w:t>.</w:t>
      </w:r>
    </w:p>
    <w:p>
      <w:pPr>
        <w:spacing w:after="0" w:line="124" w:lineRule="exact"/>
        <w:rPr>
          <w:rFonts w:ascii="Arial" w:cs="Arial" w:eastAsia="Arial" w:hAnsi="Arial"/>
          <w:sz w:val="13"/>
          <w:szCs w:val="13"/>
          <w:color w:val="010000"/>
        </w:rPr>
      </w:pPr>
    </w:p>
    <w:p>
      <w:pPr>
        <w:ind w:left="120" w:right="119" w:firstLine="1317"/>
        <w:spacing w:after="0" w:line="279" w:lineRule="auto"/>
        <w:tabs>
          <w:tab w:leader="none" w:pos="1605" w:val="left"/>
        </w:tabs>
        <w:numPr>
          <w:ilvl w:val="1"/>
          <w:numId w:val="109"/>
        </w:numPr>
        <w:rPr>
          <w:rFonts w:ascii="Arial" w:cs="Arial" w:eastAsia="Arial" w:hAnsi="Arial"/>
          <w:sz w:val="12"/>
          <w:szCs w:val="12"/>
          <w:color w:val="010000"/>
        </w:rPr>
      </w:pPr>
      <w:r>
        <w:rPr>
          <w:rFonts w:ascii="Arial" w:cs="Arial" w:eastAsia="Arial" w:hAnsi="Arial"/>
          <w:sz w:val="12"/>
          <w:szCs w:val="12"/>
          <w:color w:val="auto"/>
        </w:rPr>
        <w:t>The Administrative Agent shall be satisfied with the terms and conditions of the Specified Subordinated Debt, and the documentation evidencing the Specified Subordinated Debt shall otherwise be in form and substance satisfactory to the Administrative Agent and the Lenders.</w:t>
      </w:r>
    </w:p>
    <w:p>
      <w:pPr>
        <w:spacing w:after="0" w:line="80" w:lineRule="exact"/>
        <w:rPr>
          <w:sz w:val="20"/>
          <w:szCs w:val="20"/>
          <w:color w:val="auto"/>
        </w:rPr>
      </w:pPr>
    </w:p>
    <w:p>
      <w:pPr>
        <w:ind w:left="120" w:right="119" w:firstLine="1317"/>
        <w:spacing w:after="0" w:line="239" w:lineRule="auto"/>
        <w:tabs>
          <w:tab w:leader="none" w:pos="1642" w:val="left"/>
        </w:tabs>
        <w:numPr>
          <w:ilvl w:val="1"/>
          <w:numId w:val="110"/>
        </w:numPr>
        <w:rPr>
          <w:rFonts w:ascii="Arial" w:cs="Arial" w:eastAsia="Arial" w:hAnsi="Arial"/>
          <w:sz w:val="13"/>
          <w:szCs w:val="13"/>
          <w:color w:val="010000"/>
        </w:rPr>
      </w:pPr>
      <w:r>
        <w:rPr>
          <w:rFonts w:ascii="Arial" w:cs="Arial" w:eastAsia="Arial" w:hAnsi="Arial"/>
          <w:sz w:val="13"/>
          <w:szCs w:val="13"/>
          <w:color w:val="auto"/>
        </w:rPr>
        <w:t>The Specified Subordinated Debt Documents shall have been executed and be in full force and effect and Administrative Agent shall have received evidence that the Specified Subordinated Debt shall have been funded to or on behalf of Borrower.</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75" w:val="left"/>
        </w:tabs>
        <w:numPr>
          <w:ilvl w:val="0"/>
          <w:numId w:val="111"/>
        </w:numPr>
        <w:rPr>
          <w:rFonts w:ascii="Arial" w:cs="Arial" w:eastAsia="Arial" w:hAnsi="Arial"/>
          <w:sz w:val="13"/>
          <w:szCs w:val="13"/>
          <w:color w:val="010000"/>
        </w:rPr>
      </w:pPr>
      <w:r>
        <w:rPr>
          <w:rFonts w:ascii="Arial" w:cs="Arial" w:eastAsia="Arial" w:hAnsi="Arial"/>
          <w:sz w:val="13"/>
          <w:szCs w:val="13"/>
          <w:u w:val="single" w:color="auto"/>
          <w:color w:val="auto"/>
        </w:rPr>
        <w:t>USA PATRIOT Act, Etc</w:t>
      </w:r>
      <w:r>
        <w:rPr>
          <w:rFonts w:ascii="Arial" w:cs="Arial" w:eastAsia="Arial" w:hAnsi="Arial"/>
          <w:sz w:val="13"/>
          <w:szCs w:val="13"/>
          <w:color w:val="auto"/>
        </w:rPr>
        <w:t>. The Administrative Agent and Lenders shall have received all documentation and other information required by bank regulatory authorities under applicable “know your customer” and anti-money laundering rules and regulations, including USA PATRIOT Act, and a properly completed and signed IRS Form W-8 or W-9, as applicable, for each Loan Party.</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82" w:val="left"/>
        </w:tabs>
        <w:numPr>
          <w:ilvl w:val="0"/>
          <w:numId w:val="111"/>
        </w:numPr>
        <w:rPr>
          <w:rFonts w:ascii="Arial" w:cs="Arial" w:eastAsia="Arial" w:hAnsi="Arial"/>
          <w:sz w:val="13"/>
          <w:szCs w:val="13"/>
          <w:color w:val="010000"/>
        </w:rPr>
      </w:pPr>
      <w:r>
        <w:rPr>
          <w:rFonts w:ascii="Arial" w:cs="Arial" w:eastAsia="Arial" w:hAnsi="Arial"/>
          <w:sz w:val="13"/>
          <w:szCs w:val="13"/>
          <w:u w:val="single" w:color="auto"/>
          <w:color w:val="auto"/>
        </w:rPr>
        <w:t>Other Documents</w:t>
      </w:r>
      <w:r>
        <w:rPr>
          <w:rFonts w:ascii="Arial" w:cs="Arial" w:eastAsia="Arial" w:hAnsi="Arial"/>
          <w:sz w:val="13"/>
          <w:szCs w:val="13"/>
          <w:color w:val="auto"/>
        </w:rPr>
        <w:t>. The Administrative Agent shall have received such other documents as the Administrative Agent, the Issuing Bank, any Lender or their respective counsel may have reasonably requested.</w:t>
      </w:r>
    </w:p>
    <w:p>
      <w:pPr>
        <w:spacing w:after="0" w:line="104" w:lineRule="exact"/>
        <w:rPr>
          <w:sz w:val="20"/>
          <w:szCs w:val="20"/>
          <w:color w:val="auto"/>
        </w:rPr>
      </w:pPr>
    </w:p>
    <w:p>
      <w:pPr>
        <w:ind w:left="120" w:right="359" w:firstLine="438"/>
        <w:spacing w:after="0" w:line="254" w:lineRule="auto"/>
        <w:rPr>
          <w:sz w:val="20"/>
          <w:szCs w:val="20"/>
          <w:color w:val="auto"/>
        </w:rPr>
      </w:pPr>
      <w:r>
        <w:rPr>
          <w:rFonts w:ascii="Arial" w:cs="Arial" w:eastAsia="Arial" w:hAnsi="Arial"/>
          <w:sz w:val="13"/>
          <w:szCs w:val="13"/>
          <w:color w:val="010000"/>
        </w:rPr>
        <w:t xml:space="preserve">SECTION 4.02 </w:t>
      </w:r>
      <w:r>
        <w:rPr>
          <w:rFonts w:ascii="Arial" w:cs="Arial" w:eastAsia="Arial" w:hAnsi="Arial"/>
          <w:sz w:val="13"/>
          <w:szCs w:val="13"/>
          <w:u w:val="single" w:color="auto"/>
          <w:color w:val="000000"/>
        </w:rPr>
        <w:t>Each Credit Event</w:t>
      </w:r>
      <w:r>
        <w:rPr>
          <w:rFonts w:ascii="Arial" w:cs="Arial" w:eastAsia="Arial" w:hAnsi="Arial"/>
          <w:sz w:val="13"/>
          <w:szCs w:val="13"/>
          <w:color w:val="000000"/>
        </w:rPr>
        <w:t>. The obligation of each Lender to make a Loan on the occasion of any Borrowing, and of the Issuing Bank to issue,</w:t>
      </w:r>
      <w:r>
        <w:rPr>
          <w:rFonts w:ascii="Arial" w:cs="Arial" w:eastAsia="Arial" w:hAnsi="Arial"/>
          <w:sz w:val="13"/>
          <w:szCs w:val="13"/>
          <w:color w:val="010000"/>
        </w:rPr>
        <w:t xml:space="preserve"> </w:t>
      </w:r>
      <w:r>
        <w:rPr>
          <w:rFonts w:ascii="Arial" w:cs="Arial" w:eastAsia="Arial" w:hAnsi="Arial"/>
          <w:sz w:val="13"/>
          <w:szCs w:val="13"/>
          <w:color w:val="000000"/>
        </w:rPr>
        <w:t>amend, renew or extend any Letter of Credit, is subject to the satisfaction of the following conditions:</w:t>
      </w:r>
    </w:p>
    <w:p>
      <w:pPr>
        <w:spacing w:after="0" w:line="285" w:lineRule="exact"/>
        <w:rPr>
          <w:sz w:val="20"/>
          <w:szCs w:val="20"/>
          <w:color w:val="auto"/>
        </w:rPr>
      </w:pPr>
    </w:p>
    <w:p>
      <w:pPr>
        <w:jc w:val="both"/>
        <w:ind w:left="120" w:right="119" w:firstLine="879"/>
        <w:spacing w:after="0" w:line="218" w:lineRule="auto"/>
        <w:tabs>
          <w:tab w:leader="none" w:pos="1189" w:val="left"/>
        </w:tabs>
        <w:numPr>
          <w:ilvl w:val="0"/>
          <w:numId w:val="112"/>
        </w:numPr>
        <w:rPr>
          <w:rFonts w:ascii="Arial" w:cs="Arial" w:eastAsia="Arial" w:hAnsi="Arial"/>
          <w:sz w:val="13"/>
          <w:szCs w:val="13"/>
          <w:color w:val="010000"/>
        </w:rPr>
      </w:pPr>
      <w:r>
        <w:rPr>
          <w:rFonts w:ascii="Arial" w:cs="Arial" w:eastAsia="Arial" w:hAnsi="Arial"/>
          <w:sz w:val="13"/>
          <w:szCs w:val="13"/>
          <w:color w:val="auto"/>
        </w:rPr>
        <w:t>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12"/>
        </w:numPr>
        <w:rPr>
          <w:rFonts w:ascii="Arial" w:cs="Arial" w:eastAsia="Arial" w:hAnsi="Arial"/>
          <w:sz w:val="13"/>
          <w:szCs w:val="13"/>
          <w:color w:val="010000"/>
        </w:rPr>
      </w:pPr>
      <w:r>
        <w:rPr>
          <w:rFonts w:ascii="Arial" w:cs="Arial" w:eastAsia="Arial" w:hAnsi="Arial"/>
          <w:sz w:val="13"/>
          <w:szCs w:val="13"/>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12"/>
        </w:numPr>
        <w:rPr>
          <w:rFonts w:ascii="Arial" w:cs="Arial" w:eastAsia="Arial" w:hAnsi="Arial"/>
          <w:sz w:val="12"/>
          <w:szCs w:val="12"/>
          <w:color w:val="010000"/>
        </w:rPr>
      </w:pPr>
      <w:r>
        <w:rPr>
          <w:rFonts w:ascii="Arial" w:cs="Arial" w:eastAsia="Arial" w:hAnsi="Arial"/>
          <w:sz w:val="12"/>
          <w:szCs w:val="12"/>
          <w:color w:val="auto"/>
        </w:rPr>
        <w:t>After giving effect to any Borrowing or the issuance, amendment, renewal or extension of any Letter of Credit, Availability shall not be less</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than zero.</w:t>
      </w:r>
    </w:p>
    <w:p>
      <w:pPr>
        <w:spacing w:after="0" w:line="112" w:lineRule="exact"/>
        <w:rPr>
          <w:sz w:val="20"/>
          <w:szCs w:val="20"/>
          <w:color w:val="auto"/>
        </w:rPr>
      </w:pPr>
    </w:p>
    <w:p>
      <w:pPr>
        <w:jc w:val="both"/>
        <w:ind w:left="120" w:right="119"/>
        <w:spacing w:after="0" w:line="254" w:lineRule="auto"/>
        <w:rPr>
          <w:sz w:val="20"/>
          <w:szCs w:val="20"/>
          <w:color w:val="auto"/>
        </w:rPr>
      </w:pPr>
      <w:r>
        <w:rPr>
          <w:rFonts w:ascii="Arial" w:cs="Arial" w:eastAsia="Arial" w:hAnsi="Arial"/>
          <w:sz w:val="13"/>
          <w:szCs w:val="13"/>
          <w:color w:val="auto"/>
        </w:rPr>
        <w:t>Each Borrowing and each issuance, amendment, renewal or extension of a Letter of Credit shall be deemed to constitute a representation and warranty by the Borrower on the date thereof as to the matters specified in paragraphs (a) and (b) and (c) of this Section.</w:t>
      </w:r>
    </w:p>
    <w:p>
      <w:pPr>
        <w:spacing w:after="0" w:line="103" w:lineRule="exact"/>
        <w:rPr>
          <w:sz w:val="20"/>
          <w:szCs w:val="20"/>
          <w:color w:val="auto"/>
        </w:rPr>
      </w:pPr>
    </w:p>
    <w:p>
      <w:pPr>
        <w:jc w:val="both"/>
        <w:ind w:left="120" w:right="119"/>
        <w:spacing w:after="0" w:line="237" w:lineRule="auto"/>
        <w:rPr>
          <w:sz w:val="20"/>
          <w:szCs w:val="20"/>
          <w:color w:val="auto"/>
        </w:rPr>
      </w:pPr>
      <w:r>
        <w:rPr>
          <w:rFonts w:ascii="Arial" w:cs="Arial" w:eastAsia="Arial" w:hAnsi="Arial"/>
          <w:sz w:val="13"/>
          <w:szCs w:val="13"/>
          <w:color w:val="auto"/>
        </w:rPr>
        <w:t>Notwithstanding the failure to satisfy the conditions precedent set forth in paragraphs (a) or (b) or (c) of this Section, unless otherwise directed by the Required Lenders, the Administrative Agent may, but shall have no obligation to, continue to make Loans and an Issuing Bank may, but shall have no obligation to, issue, amend, renew or extend, or cause to be issued, amended, renewed or extended, any Letter of Credit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7" w:name="page118"/>
    <w:bookmarkEnd w:id="117"/>
    <w:p>
      <w:pPr>
        <w:ind w:left="120" w:right="119"/>
        <w:spacing w:after="0" w:line="254" w:lineRule="auto"/>
        <w:rPr>
          <w:sz w:val="20"/>
          <w:szCs w:val="20"/>
          <w:color w:val="auto"/>
        </w:rPr>
      </w:pPr>
      <w:r>
        <w:rPr>
          <w:rFonts w:ascii="Arial" w:cs="Arial" w:eastAsia="Arial" w:hAnsi="Arial"/>
          <w:sz w:val="13"/>
          <w:szCs w:val="13"/>
          <w:color w:val="auto"/>
        </w:rPr>
        <w:t>for the ratable account and risk of the Lenders from time to time if the Administrative Agent believes that making such Loans or issuing, amending, renewing or extending, or causing the issuance, amendment, renewal or extension of, any such Letter of Credit is in the best interests of the Lenders.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010000"/>
        </w:rPr>
        <w:t>ARTICLE V</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Affirmative Covenants</w:t>
      </w:r>
    </w:p>
    <w:p>
      <w:pPr>
        <w:spacing w:after="0" w:line="51" w:lineRule="exact"/>
        <w:rPr>
          <w:sz w:val="20"/>
          <w:szCs w:val="20"/>
          <w:color w:val="auto"/>
        </w:rPr>
      </w:pPr>
    </w:p>
    <w:p>
      <w:pPr>
        <w:ind w:left="120" w:right="119" w:firstLine="875"/>
        <w:spacing w:after="0" w:line="254" w:lineRule="auto"/>
        <w:rPr>
          <w:sz w:val="20"/>
          <w:szCs w:val="20"/>
          <w:color w:val="auto"/>
        </w:rPr>
      </w:pPr>
      <w:r>
        <w:rPr>
          <w:rFonts w:ascii="Arial" w:cs="Arial" w:eastAsia="Arial" w:hAnsi="Arial"/>
          <w:sz w:val="13"/>
          <w:szCs w:val="13"/>
          <w:color w:val="auto"/>
        </w:rPr>
        <w:t>Until all of the Secured Obligations shall have been Paid in Full, each Loan Party executing this Agreement covenants and agrees, jointly and severally with all of the other Loan Parties, with the Lenders that: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2"/>
          <w:szCs w:val="12"/>
          <w:color w:val="010000"/>
        </w:rPr>
        <w:t xml:space="preserve">SECTION 5.01 </w:t>
      </w:r>
      <w:r>
        <w:rPr>
          <w:rFonts w:ascii="Arial" w:cs="Arial" w:eastAsia="Arial" w:hAnsi="Arial"/>
          <w:sz w:val="12"/>
          <w:szCs w:val="12"/>
          <w:u w:val="single" w:color="auto"/>
          <w:color w:val="000000"/>
        </w:rPr>
        <w:t>Financial Statements and Other Information</w:t>
      </w:r>
      <w:r>
        <w:rPr>
          <w:rFonts w:ascii="Arial" w:cs="Arial" w:eastAsia="Arial" w:hAnsi="Arial"/>
          <w:sz w:val="12"/>
          <w:szCs w:val="12"/>
          <w:color w:val="000000"/>
        </w:rPr>
        <w:t>. The Borrower will furnish to the Administrative Agent and each Lender, including their</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Public-Siders:</w:t>
      </w:r>
    </w:p>
    <w:p>
      <w:pPr>
        <w:spacing w:after="0" w:line="304" w:lineRule="exact"/>
        <w:rPr>
          <w:sz w:val="20"/>
          <w:szCs w:val="20"/>
          <w:color w:val="auto"/>
        </w:rPr>
      </w:pPr>
    </w:p>
    <w:p>
      <w:pPr>
        <w:jc w:val="both"/>
        <w:ind w:left="120" w:right="119" w:firstLine="879"/>
        <w:spacing w:after="0" w:line="234" w:lineRule="auto"/>
        <w:tabs>
          <w:tab w:leader="none" w:pos="1189" w:val="left"/>
        </w:tabs>
        <w:numPr>
          <w:ilvl w:val="0"/>
          <w:numId w:val="113"/>
        </w:numPr>
        <w:rPr>
          <w:rFonts w:ascii="Arial" w:cs="Arial" w:eastAsia="Arial" w:hAnsi="Arial"/>
          <w:sz w:val="12"/>
          <w:szCs w:val="12"/>
          <w:color w:val="010000"/>
        </w:rPr>
      </w:pPr>
      <w:r>
        <w:rPr>
          <w:rFonts w:ascii="Arial" w:cs="Arial" w:eastAsia="Arial" w:hAnsi="Arial"/>
          <w:sz w:val="12"/>
          <w:szCs w:val="12"/>
          <w:color w:val="auto"/>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acceptable to the Administrative Agent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spacing w:after="0" w:line="104" w:lineRule="exact"/>
        <w:rPr>
          <w:rFonts w:ascii="Arial" w:cs="Arial" w:eastAsia="Arial" w:hAnsi="Arial"/>
          <w:sz w:val="12"/>
          <w:szCs w:val="12"/>
          <w:color w:val="010000"/>
        </w:rPr>
      </w:pPr>
    </w:p>
    <w:p>
      <w:pPr>
        <w:jc w:val="both"/>
        <w:ind w:left="120" w:right="119" w:firstLine="879"/>
        <w:spacing w:after="0" w:line="237" w:lineRule="auto"/>
        <w:tabs>
          <w:tab w:leader="none" w:pos="1197" w:val="left"/>
        </w:tabs>
        <w:numPr>
          <w:ilvl w:val="0"/>
          <w:numId w:val="113"/>
        </w:numPr>
        <w:rPr>
          <w:rFonts w:ascii="Arial" w:cs="Arial" w:eastAsia="Arial" w:hAnsi="Arial"/>
          <w:sz w:val="12"/>
          <w:szCs w:val="12"/>
          <w:color w:val="010000"/>
        </w:rPr>
      </w:pPr>
      <w:r>
        <w:rPr>
          <w:rFonts w:ascii="Arial" w:cs="Arial" w:eastAsia="Arial" w:hAnsi="Arial"/>
          <w:sz w:val="12"/>
          <w:szCs w:val="12"/>
          <w:color w:val="auto"/>
        </w:rPr>
        <w:t>within forty-five (45) days after the end of each fiscal quarter of the Borrower,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02" w:lineRule="exact"/>
        <w:rPr>
          <w:rFonts w:ascii="Arial" w:cs="Arial" w:eastAsia="Arial" w:hAnsi="Arial"/>
          <w:sz w:val="12"/>
          <w:szCs w:val="12"/>
          <w:color w:val="010000"/>
        </w:rPr>
      </w:pPr>
    </w:p>
    <w:p>
      <w:pPr>
        <w:jc w:val="both"/>
        <w:ind w:left="120" w:right="119" w:firstLine="879"/>
        <w:spacing w:after="0" w:line="230" w:lineRule="auto"/>
        <w:tabs>
          <w:tab w:leader="none" w:pos="1189" w:val="left"/>
        </w:tabs>
        <w:numPr>
          <w:ilvl w:val="0"/>
          <w:numId w:val="113"/>
        </w:numPr>
        <w:rPr>
          <w:rFonts w:ascii="Arial" w:cs="Arial" w:eastAsia="Arial" w:hAnsi="Arial"/>
          <w:sz w:val="12"/>
          <w:szCs w:val="12"/>
          <w:color w:val="010000"/>
        </w:rPr>
      </w:pPr>
      <w:r>
        <w:rPr>
          <w:rFonts w:ascii="Arial" w:cs="Arial" w:eastAsia="Arial" w:hAnsi="Arial"/>
          <w:sz w:val="12"/>
          <w:szCs w:val="12"/>
          <w:color w:val="auto"/>
        </w:rPr>
        <w:t>concurrently with any delivery of financial statements under clause (a) or (b) above (collectively or individually, as the context requires, the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xml:space="preserve">”), a certificate of a Financial Officer in substantially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(i) certifying, in the case of the Financial Statements delivered under clause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 setting forth the amount of proceeds from Qualified Factor Accounts owing to Qualified Factors that are maintained in a Deposit Account of any Loan Party as of the date of such certificate;</w:t>
      </w:r>
    </w:p>
    <w:p>
      <w:pPr>
        <w:spacing w:after="0" w:line="104" w:lineRule="exact"/>
        <w:rPr>
          <w:rFonts w:ascii="Arial" w:cs="Arial" w:eastAsia="Arial" w:hAnsi="Arial"/>
          <w:sz w:val="12"/>
          <w:szCs w:val="12"/>
          <w:color w:val="010000"/>
        </w:rPr>
      </w:pPr>
    </w:p>
    <w:p>
      <w:pPr>
        <w:ind w:left="1200" w:hanging="201"/>
        <w:spacing w:after="0"/>
        <w:tabs>
          <w:tab w:leader="none" w:pos="1200" w:val="left"/>
        </w:tabs>
        <w:numPr>
          <w:ilvl w:val="0"/>
          <w:numId w:val="113"/>
        </w:numPr>
        <w:rPr>
          <w:rFonts w:ascii="Arial" w:cs="Arial" w:eastAsia="Arial" w:hAnsi="Arial"/>
          <w:sz w:val="13"/>
          <w:szCs w:val="13"/>
          <w:color w:val="010000"/>
        </w:rPr>
      </w:pPr>
      <w:r>
        <w:rPr>
          <w:rFonts w:ascii="Arial" w:cs="Arial" w:eastAsia="Arial" w:hAnsi="Arial"/>
          <w:sz w:val="13"/>
          <w:szCs w:val="13"/>
          <w:color w:val="auto"/>
        </w:rPr>
        <w:t>[Reserved];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18" w:name="page119"/>
    <w:bookmarkEnd w:id="118"/>
    <w:p>
      <w:pPr>
        <w:jc w:val="both"/>
        <w:ind w:left="120" w:right="119" w:firstLine="879"/>
        <w:spacing w:after="0" w:line="228" w:lineRule="auto"/>
        <w:tabs>
          <w:tab w:leader="none" w:pos="1189" w:val="left"/>
        </w:tabs>
        <w:numPr>
          <w:ilvl w:val="0"/>
          <w:numId w:val="114"/>
        </w:numPr>
        <w:rPr>
          <w:rFonts w:ascii="Arial" w:cs="Arial" w:eastAsia="Arial" w:hAnsi="Arial"/>
          <w:sz w:val="13"/>
          <w:szCs w:val="13"/>
          <w:color w:val="010000"/>
        </w:rPr>
      </w:pPr>
      <w:r>
        <w:rPr>
          <w:rFonts w:ascii="Arial" w:cs="Arial" w:eastAsia="Arial" w:hAnsi="Arial"/>
          <w:sz w:val="13"/>
          <w:szCs w:val="13"/>
          <w:color w:val="auto"/>
        </w:rPr>
        <w:t>as soon as available, but in any event no later than thirty (30) days after the end of each fiscal year of the Borrower, a copy of the plan and forecast (including a projected consolidated balance sheet, income statement and cash flow statement) of the Borrower for each quarter of the upcoming fiscal year (the “</w:t>
      </w:r>
      <w:r>
        <w:rPr>
          <w:rFonts w:ascii="Arial" w:cs="Arial" w:eastAsia="Arial" w:hAnsi="Arial"/>
          <w:sz w:val="13"/>
          <w:szCs w:val="13"/>
          <w:u w:val="single" w:color="auto"/>
          <w:color w:val="auto"/>
        </w:rPr>
        <w:t>Projections</w:t>
      </w:r>
      <w:r>
        <w:rPr>
          <w:rFonts w:ascii="Arial" w:cs="Arial" w:eastAsia="Arial" w:hAnsi="Arial"/>
          <w:sz w:val="13"/>
          <w:szCs w:val="13"/>
          <w:color w:val="auto"/>
        </w:rPr>
        <w:t>”) in form reasonably satisfactory to the Administrative Agent;</w:t>
      </w:r>
    </w:p>
    <w:p>
      <w:pPr>
        <w:spacing w:after="0" w:line="102" w:lineRule="exact"/>
        <w:rPr>
          <w:rFonts w:ascii="Arial" w:cs="Arial" w:eastAsia="Arial" w:hAnsi="Arial"/>
          <w:sz w:val="13"/>
          <w:szCs w:val="13"/>
          <w:color w:val="010000"/>
        </w:rPr>
      </w:pPr>
    </w:p>
    <w:p>
      <w:pPr>
        <w:ind w:left="1180" w:hanging="181"/>
        <w:spacing w:after="0"/>
        <w:tabs>
          <w:tab w:leader="none" w:pos="1180" w:val="left"/>
        </w:tabs>
        <w:numPr>
          <w:ilvl w:val="0"/>
          <w:numId w:val="114"/>
        </w:numPr>
        <w:rPr>
          <w:rFonts w:ascii="Arial" w:cs="Arial" w:eastAsia="Arial" w:hAnsi="Arial"/>
          <w:sz w:val="13"/>
          <w:szCs w:val="13"/>
          <w:color w:val="010000"/>
        </w:rPr>
      </w:pPr>
      <w:r>
        <w:rPr>
          <w:rFonts w:ascii="Arial" w:cs="Arial" w:eastAsia="Arial" w:hAnsi="Arial"/>
          <w:sz w:val="13"/>
          <w:szCs w:val="13"/>
          <w:color w:val="auto"/>
        </w:rPr>
        <w:t>[Reserved];</w:t>
      </w:r>
    </w:p>
    <w:p>
      <w:pPr>
        <w:spacing w:after="0" w:line="124"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14"/>
        </w:numPr>
        <w:rPr>
          <w:rFonts w:ascii="Arial" w:cs="Arial" w:eastAsia="Arial" w:hAnsi="Arial"/>
          <w:sz w:val="13"/>
          <w:szCs w:val="13"/>
          <w:color w:val="010000"/>
        </w:rPr>
      </w:pPr>
      <w:r>
        <w:rPr>
          <w:rFonts w:ascii="Arial" w:cs="Arial" w:eastAsia="Arial" w:hAnsi="Arial"/>
          <w:sz w:val="13"/>
          <w:szCs w:val="13"/>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w:t>
      </w:r>
    </w:p>
    <w:p>
      <w:pPr>
        <w:spacing w:after="0" w:line="102"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14"/>
        </w:numPr>
        <w:rPr>
          <w:rFonts w:ascii="Arial" w:cs="Arial" w:eastAsia="Arial" w:hAnsi="Arial"/>
          <w:sz w:val="13"/>
          <w:szCs w:val="13"/>
          <w:color w:val="010000"/>
        </w:rPr>
      </w:pPr>
      <w:r>
        <w:rPr>
          <w:rFonts w:ascii="Arial" w:cs="Arial" w:eastAsia="Arial" w:hAnsi="Arial"/>
          <w:sz w:val="13"/>
          <w:szCs w:val="13"/>
          <w:color w:val="auto"/>
        </w:rPr>
        <w:t>promptly following any request therefor,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w:t>
      </w:r>
    </w:p>
    <w:p>
      <w:pPr>
        <w:spacing w:after="0" w:line="102" w:lineRule="exact"/>
        <w:rPr>
          <w:rFonts w:ascii="Arial" w:cs="Arial" w:eastAsia="Arial" w:hAnsi="Arial"/>
          <w:sz w:val="13"/>
          <w:szCs w:val="13"/>
          <w:color w:val="010000"/>
        </w:rPr>
      </w:pPr>
    </w:p>
    <w:p>
      <w:pPr>
        <w:jc w:val="both"/>
        <w:ind w:left="120" w:right="119" w:firstLine="879"/>
        <w:spacing w:after="0" w:line="216" w:lineRule="auto"/>
        <w:tabs>
          <w:tab w:leader="none" w:pos="1167" w:val="left"/>
        </w:tabs>
        <w:numPr>
          <w:ilvl w:val="0"/>
          <w:numId w:val="114"/>
        </w:numPr>
        <w:rPr>
          <w:rFonts w:ascii="Arial" w:cs="Arial" w:eastAsia="Arial" w:hAnsi="Arial"/>
          <w:sz w:val="13"/>
          <w:szCs w:val="13"/>
          <w:color w:val="010000"/>
        </w:rPr>
      </w:pPr>
      <w:r>
        <w:rPr>
          <w:rFonts w:ascii="Arial" w:cs="Arial" w:eastAsia="Arial" w:hAnsi="Arial"/>
          <w:sz w:val="13"/>
          <w:szCs w:val="13"/>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105" w:lineRule="exact"/>
        <w:rPr>
          <w:sz w:val="20"/>
          <w:szCs w:val="20"/>
          <w:color w:val="auto"/>
        </w:rPr>
      </w:pPr>
    </w:p>
    <w:p>
      <w:pPr>
        <w:jc w:val="both"/>
        <w:ind w:left="120" w:right="119"/>
        <w:spacing w:after="0" w:line="228" w:lineRule="auto"/>
        <w:rPr>
          <w:sz w:val="20"/>
          <w:szCs w:val="20"/>
          <w:color w:val="auto"/>
        </w:rPr>
      </w:pPr>
      <w:r>
        <w:rPr>
          <w:rFonts w:ascii="Arial" w:cs="Arial" w:eastAsia="Arial" w:hAnsi="Arial"/>
          <w:sz w:val="12"/>
          <w:szCs w:val="12"/>
          <w:color w:val="auto"/>
        </w:rPr>
        <w:t>Documents required to be delivered pursuant to Section 5.10(a), (b) or (g)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sponsored by the Administrative Agent); provided that: (A) upon written request by the Administrative Agent, the Borrower shall deliver paper copies of such documents to the Administrative Agent or any Lender upon its request to the Borrower to deliver such paper copies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08" w:lineRule="exact"/>
        <w:rPr>
          <w:sz w:val="20"/>
          <w:szCs w:val="20"/>
          <w:color w:val="auto"/>
        </w:rPr>
      </w:pPr>
    </w:p>
    <w:p>
      <w:pPr>
        <w:ind w:left="120" w:right="239" w:firstLine="438"/>
        <w:spacing w:after="0" w:line="254" w:lineRule="auto"/>
        <w:rPr>
          <w:sz w:val="20"/>
          <w:szCs w:val="20"/>
          <w:color w:val="auto"/>
        </w:rPr>
      </w:pPr>
      <w:r>
        <w:rPr>
          <w:rFonts w:ascii="Arial" w:cs="Arial" w:eastAsia="Arial" w:hAnsi="Arial"/>
          <w:sz w:val="13"/>
          <w:szCs w:val="13"/>
          <w:color w:val="010000"/>
        </w:rPr>
        <w:t xml:space="preserve">SECTION 5.02 </w:t>
      </w:r>
      <w:r>
        <w:rPr>
          <w:rFonts w:ascii="Arial" w:cs="Arial" w:eastAsia="Arial" w:hAnsi="Arial"/>
          <w:sz w:val="13"/>
          <w:szCs w:val="13"/>
          <w:u w:val="single" w:color="auto"/>
          <w:color w:val="000000"/>
        </w:rPr>
        <w:t>Notices of Material Events</w:t>
      </w:r>
      <w:r>
        <w:rPr>
          <w:rFonts w:ascii="Arial" w:cs="Arial" w:eastAsia="Arial" w:hAnsi="Arial"/>
          <w:sz w:val="13"/>
          <w:szCs w:val="13"/>
          <w:color w:val="000000"/>
        </w:rPr>
        <w:t>. The Borrower will furnish to the Administrative Agent and each Lender prompt (but in any event within any</w:t>
      </w:r>
      <w:r>
        <w:rPr>
          <w:rFonts w:ascii="Arial" w:cs="Arial" w:eastAsia="Arial" w:hAnsi="Arial"/>
          <w:sz w:val="13"/>
          <w:szCs w:val="13"/>
          <w:color w:val="010000"/>
        </w:rPr>
        <w:t xml:space="preserve"> </w:t>
      </w:r>
      <w:r>
        <w:rPr>
          <w:rFonts w:ascii="Arial" w:cs="Arial" w:eastAsia="Arial" w:hAnsi="Arial"/>
          <w:sz w:val="13"/>
          <w:szCs w:val="13"/>
          <w:color w:val="000000"/>
        </w:rPr>
        <w:t>time period that may be specified below) written notice of the following:</w:t>
      </w:r>
    </w:p>
    <w:p>
      <w:pPr>
        <w:spacing w:after="0" w:line="285" w:lineRule="exact"/>
        <w:rPr>
          <w:sz w:val="20"/>
          <w:szCs w:val="20"/>
          <w:color w:val="auto"/>
        </w:rPr>
      </w:pPr>
    </w:p>
    <w:p>
      <w:pPr>
        <w:ind w:left="1200" w:hanging="201"/>
        <w:spacing w:after="0"/>
        <w:tabs>
          <w:tab w:leader="none" w:pos="1200" w:val="left"/>
        </w:tabs>
        <w:numPr>
          <w:ilvl w:val="0"/>
          <w:numId w:val="115"/>
        </w:numPr>
        <w:rPr>
          <w:rFonts w:ascii="Arial" w:cs="Arial" w:eastAsia="Arial" w:hAnsi="Arial"/>
          <w:sz w:val="13"/>
          <w:szCs w:val="13"/>
          <w:color w:val="010000"/>
        </w:rPr>
      </w:pPr>
      <w:r>
        <w:rPr>
          <w:rFonts w:ascii="Arial" w:cs="Arial" w:eastAsia="Arial" w:hAnsi="Arial"/>
          <w:sz w:val="13"/>
          <w:szCs w:val="13"/>
          <w:color w:val="auto"/>
        </w:rPr>
        <w:t>the occurrence of any Default;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9" w:name="page120"/>
    <w:bookmarkEnd w:id="119"/>
    <w:p>
      <w:pPr>
        <w:jc w:val="both"/>
        <w:ind w:left="120" w:right="119" w:firstLine="879"/>
        <w:spacing w:after="0" w:line="218" w:lineRule="auto"/>
        <w:tabs>
          <w:tab w:leader="none" w:pos="1197"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receipt of any notice of any investigation by a Governmental Authority or any litigation or proceeding commenced or threatened against any Loan Party or any Subsidiary that (i) in the good faith estimate of the Borrower could result in damages in excess of $500,000, (ii) alleges criminal misconduct by any Loan Party or any Subsidiary, (v) alleges the material violation of, or seeks to impose material remedies under, any Environmental Law or related Requirement of Law, or seeks to impose material Environmental Liability or (vi) asserts liability on the part of any Loan Party or any Subsidiary in excess of $500,000 in respect of any tax, fee, assessment, or other governmental charge;</w:t>
      </w:r>
    </w:p>
    <w:p>
      <w:pPr>
        <w:spacing w:after="0" w:line="105"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the occurrence of any ERISA Event that, alone or together with any other ERISA Events that have occurred, could reasonably be expected to result in liability of the Loan Parties and their Subsidiaries in an aggregate amount exceeding $500,000;</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within two (2) Business Days after the occurrence thereof, any Loan Party entering into a Swap Agreement or an amendment to a Swap Agreement, together with copies of all agreements evidencing such Swap Agreement or amendment; and</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16"/>
        </w:numPr>
        <w:rPr>
          <w:rFonts w:ascii="Arial" w:cs="Arial" w:eastAsia="Arial" w:hAnsi="Arial"/>
          <w:sz w:val="13"/>
          <w:szCs w:val="13"/>
          <w:color w:val="010000"/>
        </w:rPr>
      </w:pPr>
      <w:r>
        <w:rPr>
          <w:rFonts w:ascii="Arial" w:cs="Arial" w:eastAsia="Arial" w:hAnsi="Arial"/>
          <w:sz w:val="13"/>
          <w:szCs w:val="13"/>
          <w:color w:val="auto"/>
        </w:rPr>
        <w:t>any other development that results in, or could reasonably be expected to result in, a Material Adverse Effect.</w:t>
      </w:r>
    </w:p>
    <w:p>
      <w:pPr>
        <w:spacing w:after="0" w:line="124" w:lineRule="exact"/>
        <w:rPr>
          <w:sz w:val="20"/>
          <w:szCs w:val="20"/>
          <w:color w:val="auto"/>
        </w:rPr>
      </w:pPr>
    </w:p>
    <w:p>
      <w:pPr>
        <w:ind w:left="120" w:right="119"/>
        <w:spacing w:after="0" w:line="254" w:lineRule="auto"/>
        <w:rPr>
          <w:sz w:val="20"/>
          <w:szCs w:val="20"/>
          <w:color w:val="auto"/>
        </w:rPr>
      </w:pPr>
      <w:r>
        <w:rPr>
          <w:rFonts w:ascii="Arial" w:cs="Arial" w:eastAsia="Arial" w:hAnsi="Arial"/>
          <w:sz w:val="13"/>
          <w:szCs w:val="13"/>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03" w:lineRule="exact"/>
        <w:rPr>
          <w:sz w:val="20"/>
          <w:szCs w:val="20"/>
          <w:color w:val="auto"/>
        </w:rPr>
      </w:pPr>
    </w:p>
    <w:p>
      <w:pPr>
        <w:ind w:left="120" w:right="139" w:firstLine="438"/>
        <w:spacing w:after="0" w:line="244" w:lineRule="auto"/>
        <w:rPr>
          <w:sz w:val="20"/>
          <w:szCs w:val="20"/>
          <w:color w:val="auto"/>
        </w:rPr>
      </w:pPr>
      <w:r>
        <w:rPr>
          <w:rFonts w:ascii="Arial" w:cs="Arial" w:eastAsia="Arial" w:hAnsi="Arial"/>
          <w:sz w:val="12"/>
          <w:szCs w:val="12"/>
          <w:color w:val="010000"/>
        </w:rPr>
        <w:t xml:space="preserve">SECTION 5.03 </w:t>
      </w:r>
      <w:r>
        <w:rPr>
          <w:rFonts w:ascii="Arial" w:cs="Arial" w:eastAsia="Arial" w:hAnsi="Arial"/>
          <w:sz w:val="12"/>
          <w:szCs w:val="12"/>
          <w:u w:val="single" w:color="auto"/>
          <w:color w:val="000000"/>
        </w:rPr>
        <w:t>Existence; Conduct of Business</w:t>
      </w:r>
      <w:r>
        <w:rPr>
          <w:rFonts w:ascii="Arial" w:cs="Arial" w:eastAsia="Arial" w:hAnsi="Arial"/>
          <w:sz w:val="12"/>
          <w:szCs w:val="12"/>
          <w:color w:val="000000"/>
        </w:rPr>
        <w:t>. Each Loan Party will, and will cause each Subsidiary to, (a) do or cause to be done all things necessary to</w:t>
      </w:r>
      <w:r>
        <w:rPr>
          <w:rFonts w:ascii="Arial" w:cs="Arial" w:eastAsia="Arial" w:hAnsi="Arial"/>
          <w:sz w:val="12"/>
          <w:szCs w:val="12"/>
          <w:color w:val="010000"/>
        </w:rPr>
        <w:t xml:space="preserve"> </w:t>
      </w:r>
      <w:r>
        <w:rPr>
          <w:rFonts w:ascii="Arial" w:cs="Arial" w:eastAsia="Arial" w:hAnsi="Arial"/>
          <w:sz w:val="12"/>
          <w:szCs w:val="12"/>
          <w:color w:val="000000"/>
        </w:rPr>
        <w:t>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w:t>
      </w:r>
    </w:p>
    <w:p>
      <w:pPr>
        <w:spacing w:after="0" w:line="2" w:lineRule="exact"/>
        <w:rPr>
          <w:sz w:val="20"/>
          <w:szCs w:val="20"/>
          <w:color w:val="auto"/>
        </w:rPr>
      </w:pPr>
    </w:p>
    <w:p>
      <w:pPr>
        <w:ind w:left="120" w:right="339"/>
        <w:spacing w:after="0" w:line="231" w:lineRule="auto"/>
        <w:rPr>
          <w:sz w:val="20"/>
          <w:szCs w:val="20"/>
          <w:color w:val="auto"/>
        </w:rPr>
      </w:pPr>
      <w:r>
        <w:rPr>
          <w:rFonts w:ascii="Arial" w:cs="Arial" w:eastAsia="Arial" w:hAnsi="Arial"/>
          <w:sz w:val="13"/>
          <w:szCs w:val="13"/>
          <w:color w:val="auto"/>
        </w:rPr>
        <w:t>jurisdiction in which its business is conducted</w:t>
      </w:r>
      <w:r>
        <w:rPr>
          <w:rFonts w:ascii="Arial" w:cs="Arial" w:eastAsia="Arial" w:hAnsi="Arial"/>
          <w:sz w:val="13"/>
          <w:szCs w:val="13"/>
          <w:u w:val="single" w:color="auto"/>
          <w:color w:val="auto"/>
        </w:rPr>
        <w:t>, except where the failure to do so could not be reasonably expected to result in a Material Adverse Exchange;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295" w:lineRule="exact"/>
        <w:rPr>
          <w:sz w:val="20"/>
          <w:szCs w:val="20"/>
          <w:color w:val="auto"/>
        </w:rPr>
      </w:pPr>
    </w:p>
    <w:p>
      <w:pPr>
        <w:ind w:left="120" w:right="199" w:firstLine="438"/>
        <w:spacing w:after="0" w:line="227" w:lineRule="auto"/>
        <w:rPr>
          <w:sz w:val="20"/>
          <w:szCs w:val="20"/>
          <w:color w:val="auto"/>
        </w:rPr>
      </w:pPr>
      <w:r>
        <w:rPr>
          <w:rFonts w:ascii="Arial" w:cs="Arial" w:eastAsia="Arial" w:hAnsi="Arial"/>
          <w:sz w:val="13"/>
          <w:szCs w:val="13"/>
          <w:color w:val="010000"/>
        </w:rPr>
        <w:t xml:space="preserve">SECTION 5.04 </w:t>
      </w:r>
      <w:r>
        <w:rPr>
          <w:rFonts w:ascii="Arial" w:cs="Arial" w:eastAsia="Arial" w:hAnsi="Arial"/>
          <w:sz w:val="13"/>
          <w:szCs w:val="13"/>
          <w:u w:val="single" w:color="auto"/>
          <w:color w:val="000000"/>
        </w:rPr>
        <w:t>Payment of Obligations</w:t>
      </w:r>
      <w:r>
        <w:rPr>
          <w:rFonts w:ascii="Arial" w:cs="Arial" w:eastAsia="Arial" w:hAnsi="Arial"/>
          <w:sz w:val="13"/>
          <w:szCs w:val="13"/>
          <w:color w:val="000000"/>
        </w:rPr>
        <w:t>. Each Loan Party will, and will cause each Subsidiary to, pay or discharge all Material Indebtedness and all other</w:t>
      </w:r>
      <w:r>
        <w:rPr>
          <w:rFonts w:ascii="Arial" w:cs="Arial" w:eastAsia="Arial" w:hAnsi="Arial"/>
          <w:sz w:val="13"/>
          <w:szCs w:val="13"/>
          <w:color w:val="010000"/>
        </w:rPr>
        <w:t xml:space="preserve"> </w:t>
      </w:r>
      <w:r>
        <w:rPr>
          <w:rFonts w:ascii="Arial" w:cs="Arial" w:eastAsia="Arial" w:hAnsi="Arial"/>
          <w:sz w:val="13"/>
          <w:szCs w:val="13"/>
          <w:color w:val="000000"/>
        </w:rPr>
        <w:t xml:space="preserve">material liabilities and obligations, including </w:t>
      </w:r>
      <w:r>
        <w:rPr>
          <w:rFonts w:ascii="Arial" w:cs="Arial" w:eastAsia="Arial" w:hAnsi="Arial"/>
          <w:sz w:val="13"/>
          <w:szCs w:val="13"/>
          <w:u w:val="single" w:color="auto"/>
          <w:color w:val="000000"/>
        </w:rPr>
        <w:t>federal, state and material local Taxes, before the same shall become delinquent or in default (subject to any notice</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and cure period), except (i) as set forth on Schedule 3.09 and (ii) where (a) the validity or amount thereof is being contested in good faith by appropriate proceedings, (b) such Loan Party has set aside on its books adequate reserves with respect thereto in accordance with GAAP and (c) the failure to make payment pending such contest could not reasonably be expected to result in a Material Adverse Effect; provided, however, that each Loan Party will, and will cause each Subsidiary to, remit withholding taxes and other payroll taxes to appropriate Governmental Authorities as and when claimed to be due, notwithstanding the foregoing exceptions.</w:t>
      </w:r>
    </w:p>
    <w:p>
      <w:pPr>
        <w:spacing w:after="0" w:line="296" w:lineRule="exact"/>
        <w:rPr>
          <w:sz w:val="20"/>
          <w:szCs w:val="20"/>
          <w:color w:val="auto"/>
        </w:rPr>
      </w:pPr>
    </w:p>
    <w:p>
      <w:pPr>
        <w:ind w:left="120" w:right="119" w:firstLine="438"/>
        <w:spacing w:after="0" w:line="254" w:lineRule="auto"/>
        <w:rPr>
          <w:sz w:val="20"/>
          <w:szCs w:val="20"/>
          <w:color w:val="auto"/>
        </w:rPr>
      </w:pPr>
      <w:r>
        <w:rPr>
          <w:rFonts w:ascii="Arial" w:cs="Arial" w:eastAsia="Arial" w:hAnsi="Arial"/>
          <w:sz w:val="13"/>
          <w:szCs w:val="13"/>
          <w:color w:val="010000"/>
        </w:rPr>
        <w:t xml:space="preserve">SECTION 5.05 </w:t>
      </w:r>
      <w:r>
        <w:rPr>
          <w:rFonts w:ascii="Arial" w:cs="Arial" w:eastAsia="Arial" w:hAnsi="Arial"/>
          <w:sz w:val="13"/>
          <w:szCs w:val="13"/>
          <w:u w:val="single" w:color="auto"/>
          <w:color w:val="000000"/>
        </w:rPr>
        <w:t>Maintenance of Properties</w:t>
      </w:r>
      <w:r>
        <w:rPr>
          <w:rFonts w:ascii="Arial" w:cs="Arial" w:eastAsia="Arial" w:hAnsi="Arial"/>
          <w:sz w:val="13"/>
          <w:szCs w:val="13"/>
          <w:color w:val="000000"/>
        </w:rPr>
        <w:t>. Each Loan Party will, and will cause each Subsidiary to, keep and maintain all property material to the conduct</w:t>
      </w:r>
      <w:r>
        <w:rPr>
          <w:rFonts w:ascii="Arial" w:cs="Arial" w:eastAsia="Arial" w:hAnsi="Arial"/>
          <w:sz w:val="13"/>
          <w:szCs w:val="13"/>
          <w:color w:val="010000"/>
        </w:rPr>
        <w:t xml:space="preserve"> </w:t>
      </w:r>
      <w:r>
        <w:rPr>
          <w:rFonts w:ascii="Arial" w:cs="Arial" w:eastAsia="Arial" w:hAnsi="Arial"/>
          <w:sz w:val="13"/>
          <w:szCs w:val="13"/>
          <w:color w:val="000000"/>
        </w:rPr>
        <w:t>of its business in good working order and condition, ordinary wear and tear excepted.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2"/>
          <w:szCs w:val="12"/>
          <w:color w:val="010000"/>
        </w:rPr>
        <w:t xml:space="preserve">SECTION 5.06 </w:t>
      </w:r>
      <w:r>
        <w:rPr>
          <w:rFonts w:ascii="Arial" w:cs="Arial" w:eastAsia="Arial" w:hAnsi="Arial"/>
          <w:sz w:val="12"/>
          <w:szCs w:val="12"/>
          <w:u w:val="single" w:color="auto"/>
          <w:color w:val="000000"/>
        </w:rPr>
        <w:t>Books and Records; Inspection Rights</w:t>
      </w:r>
      <w:r>
        <w:rPr>
          <w:rFonts w:ascii="Arial" w:cs="Arial" w:eastAsia="Arial" w:hAnsi="Arial"/>
          <w:sz w:val="12"/>
          <w:szCs w:val="12"/>
          <w:color w:val="000000"/>
        </w:rPr>
        <w:t>. Each Loan Party will, and will cause each Subsidiary to, (a) keep proper books of record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account in which full, true and correct entries </w:t>
      </w:r>
      <w:r>
        <w:rPr>
          <w:rFonts w:ascii="Arial" w:cs="Arial" w:eastAsia="Arial" w:hAnsi="Arial"/>
          <w:sz w:val="12"/>
          <w:szCs w:val="12"/>
          <w:u w:val="single" w:color="auto"/>
          <w:color w:val="auto"/>
        </w:rPr>
        <w:t>in all material respects are made of all dealings and transactions in relation to its business and activities and (b)</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20" w:name="page121"/>
    <w:bookmarkEnd w:id="120"/>
    <w:p>
      <w:pPr>
        <w:ind w:left="120" w:right="199"/>
        <w:spacing w:after="0" w:line="245" w:lineRule="auto"/>
        <w:rPr>
          <w:sz w:val="20"/>
          <w:szCs w:val="20"/>
          <w:color w:val="auto"/>
        </w:rPr>
      </w:pPr>
      <w:r>
        <w:rPr>
          <w:rFonts w:ascii="Arial" w:cs="Arial" w:eastAsia="Arial" w:hAnsi="Arial"/>
          <w:sz w:val="12"/>
          <w:szCs w:val="12"/>
          <w:u w:val="single" w:color="auto"/>
          <w:color w:val="auto"/>
        </w:rPr>
        <w:t>permit any representatives designated by the Administrative Agent or any Lender (including employees of the Administrative Agent, any Lender or any consultants, accountants, lawyers, agents and appraisers retained by the Administrative Agent) during normal business hours, upon reasonable prior notice, to visit and inspect its properties, conduct at the Loan Party’s premises field examinations of the Loan Party’s assets, liabilities, books and records, including examining and making extracts from its books and records, environmental assessment reports and Phase I or Phase II studies, and to discuss its affairs, finances and condition with its officers and independent accountants (in the presences of its officers), all at such reasonable times and as often as reasonably requested, provided that unless an Event of Default exists or the Administrative Agent believes in good faith that an Event of Default may exist Administrative Agent and the Lenders will not make the inspections and examinations pursuant to this clause (b) more than once per year without the prior consent of the Borrower.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292" w:lineRule="exact"/>
        <w:rPr>
          <w:sz w:val="20"/>
          <w:szCs w:val="20"/>
          <w:color w:val="auto"/>
        </w:rPr>
      </w:pPr>
    </w:p>
    <w:p>
      <w:pPr>
        <w:ind w:left="120" w:right="159" w:firstLine="438"/>
        <w:spacing w:after="0" w:line="252" w:lineRule="auto"/>
        <w:rPr>
          <w:sz w:val="20"/>
          <w:szCs w:val="20"/>
          <w:color w:val="auto"/>
        </w:rPr>
      </w:pPr>
      <w:r>
        <w:rPr>
          <w:rFonts w:ascii="Arial" w:cs="Arial" w:eastAsia="Arial" w:hAnsi="Arial"/>
          <w:sz w:val="12"/>
          <w:szCs w:val="12"/>
          <w:color w:val="010000"/>
        </w:rPr>
        <w:t xml:space="preserve">SECTION 5.07 </w:t>
      </w:r>
      <w:r>
        <w:rPr>
          <w:rFonts w:ascii="Arial" w:cs="Arial" w:eastAsia="Arial" w:hAnsi="Arial"/>
          <w:sz w:val="12"/>
          <w:szCs w:val="12"/>
          <w:u w:val="single" w:color="auto"/>
          <w:color w:val="000000"/>
        </w:rPr>
        <w:t>Compliance with Laws and Material Contractual Obligations</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Each Loan Party will, and will cause each Subsidiary to, (a) comply with</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each Requirement of Law applicable to it or its property (including without limitation Environmental Laws) and (b) perform in all material respects its obligations under material agreements to which it is a party ,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5.08 </w:t>
      </w:r>
      <w:r>
        <w:rPr>
          <w:rFonts w:ascii="Arial" w:cs="Arial" w:eastAsia="Arial" w:hAnsi="Arial"/>
          <w:sz w:val="13"/>
          <w:szCs w:val="13"/>
          <w:u w:val="single" w:color="auto"/>
          <w:color w:val="000000"/>
        </w:rPr>
        <w:t>Use of Proceeds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18" w:lineRule="auto"/>
        <w:tabs>
          <w:tab w:leader="none" w:pos="1189" w:val="left"/>
        </w:tabs>
        <w:numPr>
          <w:ilvl w:val="1"/>
          <w:numId w:val="117"/>
        </w:numPr>
        <w:rPr>
          <w:rFonts w:ascii="Arial" w:cs="Arial" w:eastAsia="Arial" w:hAnsi="Arial"/>
          <w:sz w:val="13"/>
          <w:szCs w:val="13"/>
          <w:color w:val="010000"/>
        </w:rPr>
      </w:pPr>
      <w:r>
        <w:rPr>
          <w:rFonts w:ascii="Arial" w:cs="Arial" w:eastAsia="Arial" w:hAnsi="Arial"/>
          <w:sz w:val="13"/>
          <w:szCs w:val="13"/>
          <w:color w:val="auto"/>
        </w:rPr>
        <w:t>The proceeds of the Loans and the Letters of Credit will be used only for (i) working capital and general corporate purposes of the Borrower and its Subsidiaries, (ii) to refinance certain Indebtedness existing on the Effective Date, and (iii) to pay a portion of the purchase price for the Cantaloupe Acquisition. No part of the proceeds of any Loan and no Letter of Credit will be used, whether directly or indirectly, (i) for any purpose that entails a violation of any of the Regulations of the Board, including Regulations T, U and X or (ii) to make any Acquisition other than the Cantaloupe Acquisition and Permitted Acquisitions.</w:t>
      </w:r>
    </w:p>
    <w:p>
      <w:pPr>
        <w:spacing w:after="0" w:line="105" w:lineRule="exact"/>
        <w:rPr>
          <w:rFonts w:ascii="Arial" w:cs="Arial" w:eastAsia="Arial" w:hAnsi="Arial"/>
          <w:sz w:val="13"/>
          <w:szCs w:val="13"/>
          <w:color w:val="010000"/>
        </w:rPr>
      </w:pPr>
    </w:p>
    <w:p>
      <w:pPr>
        <w:jc w:val="both"/>
        <w:ind w:left="120" w:right="119" w:firstLine="879"/>
        <w:spacing w:after="0" w:line="226" w:lineRule="auto"/>
        <w:tabs>
          <w:tab w:leader="none" w:pos="1197" w:val="left"/>
        </w:tabs>
        <w:numPr>
          <w:ilvl w:val="1"/>
          <w:numId w:val="117"/>
        </w:numPr>
        <w:rPr>
          <w:rFonts w:ascii="Arial" w:cs="Arial" w:eastAsia="Arial" w:hAnsi="Arial"/>
          <w:sz w:val="12"/>
          <w:szCs w:val="12"/>
          <w:color w:val="010000"/>
        </w:rPr>
      </w:pPr>
      <w:r>
        <w:rPr>
          <w:rFonts w:ascii="Arial" w:cs="Arial" w:eastAsia="Arial" w:hAnsi="Arial"/>
          <w:sz w:val="12"/>
          <w:szCs w:val="12"/>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that such activities, business or transaction would be prohibited by Sanctions if conducted by a corporation incorporated in the United States or the European Union, or</w:t>
      </w:r>
    </w:p>
    <w:p>
      <w:pPr>
        <w:ind w:left="360" w:hanging="236"/>
        <w:spacing w:after="0"/>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 any manner that would result in the violation of any Sanctions applicable to any party hereto.</w:t>
      </w:r>
    </w:p>
    <w:p>
      <w:pPr>
        <w:spacing w:after="0" w:line="112" w:lineRule="exact"/>
        <w:rPr>
          <w:sz w:val="20"/>
          <w:szCs w:val="20"/>
          <w:color w:val="auto"/>
        </w:rPr>
      </w:pPr>
    </w:p>
    <w:p>
      <w:pPr>
        <w:jc w:val="both"/>
        <w:ind w:left="120" w:right="159" w:firstLine="438"/>
        <w:spacing w:after="0" w:line="230" w:lineRule="auto"/>
        <w:rPr>
          <w:sz w:val="20"/>
          <w:szCs w:val="20"/>
          <w:color w:val="auto"/>
        </w:rPr>
      </w:pPr>
      <w:r>
        <w:rPr>
          <w:rFonts w:ascii="Arial" w:cs="Arial" w:eastAsia="Arial" w:hAnsi="Arial"/>
          <w:sz w:val="13"/>
          <w:szCs w:val="13"/>
          <w:color w:val="010000"/>
        </w:rPr>
        <w:t xml:space="preserve">SECTION 5.09 </w:t>
      </w:r>
      <w:r>
        <w:rPr>
          <w:rFonts w:ascii="Arial" w:cs="Arial" w:eastAsia="Arial" w:hAnsi="Arial"/>
          <w:sz w:val="13"/>
          <w:szCs w:val="13"/>
          <w:u w:val="single" w:color="auto"/>
          <w:color w:val="000000"/>
        </w:rPr>
        <w:t>Accuracy of Information</w:t>
      </w:r>
      <w:r>
        <w:rPr>
          <w:rFonts w:ascii="Arial" w:cs="Arial" w:eastAsia="Arial" w:hAnsi="Arial"/>
          <w:sz w:val="13"/>
          <w:szCs w:val="13"/>
          <w:color w:val="000000"/>
        </w:rPr>
        <w:t>. The Loan Parties will ensure that any information, including financial statements or other documents, furnished</w:t>
      </w:r>
      <w:r>
        <w:rPr>
          <w:rFonts w:ascii="Arial" w:cs="Arial" w:eastAsia="Arial" w:hAnsi="Arial"/>
          <w:sz w:val="13"/>
          <w:szCs w:val="13"/>
          <w:color w:val="010000"/>
        </w:rPr>
        <w:t xml:space="preserve"> </w:t>
      </w:r>
      <w:r>
        <w:rPr>
          <w:rFonts w:ascii="Arial" w:cs="Arial" w:eastAsia="Arial" w:hAnsi="Arial"/>
          <w:sz w:val="13"/>
          <w:szCs w:val="13"/>
          <w:color w:val="000000"/>
        </w:rPr>
        <w:t>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21" w:name="page122"/>
    <w:bookmarkEnd w:id="121"/>
    <w:p>
      <w:pPr>
        <w:ind w:left="120" w:right="299"/>
        <w:spacing w:after="0" w:line="254" w:lineRule="auto"/>
        <w:rPr>
          <w:sz w:val="20"/>
          <w:szCs w:val="20"/>
          <w:color w:val="auto"/>
        </w:rPr>
      </w:pPr>
      <w:r>
        <w:rPr>
          <w:rFonts w:ascii="Arial" w:cs="Arial" w:eastAsia="Arial" w:hAnsi="Arial"/>
          <w:sz w:val="13"/>
          <w:szCs w:val="13"/>
          <w:u w:val="single" w:color="auto"/>
          <w:color w:val="auto"/>
        </w:rPr>
        <w:t>that, with respect to the Projections, the Loan Parties will cause the Projections to be prepared in good faith based upon assumptions believed to be reasonable at the time.</w:t>
      </w:r>
    </w:p>
    <w:p>
      <w:pPr>
        <w:spacing w:after="0" w:line="285" w:lineRule="exact"/>
        <w:rPr>
          <w:sz w:val="20"/>
          <w:szCs w:val="20"/>
          <w:color w:val="auto"/>
        </w:rPr>
      </w:pPr>
    </w:p>
    <w:p>
      <w:pPr>
        <w:ind w:left="120" w:right="139" w:firstLine="438"/>
        <w:spacing w:after="0" w:line="249" w:lineRule="auto"/>
        <w:rPr>
          <w:sz w:val="20"/>
          <w:szCs w:val="20"/>
          <w:color w:val="auto"/>
        </w:rPr>
      </w:pPr>
      <w:r>
        <w:rPr>
          <w:rFonts w:ascii="Arial" w:cs="Arial" w:eastAsia="Arial" w:hAnsi="Arial"/>
          <w:sz w:val="12"/>
          <w:szCs w:val="12"/>
          <w:color w:val="010000"/>
        </w:rPr>
        <w:t xml:space="preserve">SECTION 5.10 </w:t>
      </w:r>
      <w:r>
        <w:rPr>
          <w:rFonts w:ascii="Arial" w:cs="Arial" w:eastAsia="Arial" w:hAnsi="Arial"/>
          <w:sz w:val="12"/>
          <w:szCs w:val="12"/>
          <w:u w:val="single" w:color="auto"/>
          <w:color w:val="000000"/>
        </w:rPr>
        <w:t>Insurance</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Each Loan Party will, and will cause each Subsidiary to, maintain with financially sound and reputable carriers having a</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but no less frequently than annually, information in reasonable detail as to the insurance so maintained.</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5.11 </w:t>
      </w:r>
      <w:r>
        <w:rPr>
          <w:rFonts w:ascii="Arial" w:cs="Arial" w:eastAsia="Arial" w:hAnsi="Arial"/>
          <w:sz w:val="13"/>
          <w:szCs w:val="13"/>
          <w:u w:val="single" w:color="auto"/>
          <w:color w:val="000000"/>
        </w:rPr>
        <w:t>Reserved</w:t>
      </w:r>
      <w:r>
        <w:rPr>
          <w:rFonts w:ascii="Arial" w:cs="Arial" w:eastAsia="Arial" w:hAnsi="Arial"/>
          <w:sz w:val="13"/>
          <w:szCs w:val="13"/>
          <w:color w:val="000000"/>
        </w:rPr>
        <w:t>.</w:t>
      </w:r>
    </w:p>
    <w:p>
      <w:pPr>
        <w:spacing w:after="0" w:line="316" w:lineRule="exact"/>
        <w:rPr>
          <w:sz w:val="20"/>
          <w:szCs w:val="20"/>
          <w:color w:val="auto"/>
        </w:rPr>
      </w:pPr>
    </w:p>
    <w:p>
      <w:pPr>
        <w:ind w:left="120" w:right="139" w:firstLine="438"/>
        <w:spacing w:after="0" w:line="230" w:lineRule="auto"/>
        <w:rPr>
          <w:sz w:val="20"/>
          <w:szCs w:val="20"/>
          <w:color w:val="auto"/>
        </w:rPr>
      </w:pPr>
      <w:r>
        <w:rPr>
          <w:rFonts w:ascii="Arial" w:cs="Arial" w:eastAsia="Arial" w:hAnsi="Arial"/>
          <w:sz w:val="13"/>
          <w:szCs w:val="13"/>
          <w:color w:val="010000"/>
        </w:rPr>
        <w:t xml:space="preserve">SECTION 5.12 </w:t>
      </w:r>
      <w:r>
        <w:rPr>
          <w:rFonts w:ascii="Arial" w:cs="Arial" w:eastAsia="Arial" w:hAnsi="Arial"/>
          <w:sz w:val="13"/>
          <w:szCs w:val="13"/>
          <w:u w:val="single" w:color="auto"/>
          <w:color w:val="000000"/>
        </w:rPr>
        <w:t>Casualty and Condemnation</w:t>
      </w:r>
      <w:r>
        <w:rPr>
          <w:rFonts w:ascii="Arial" w:cs="Arial" w:eastAsia="Arial" w:hAnsi="Arial"/>
          <w:sz w:val="13"/>
          <w:szCs w:val="13"/>
          <w:color w:val="000000"/>
        </w:rPr>
        <w:t>. The Borrower (a) will furnish to the Administrative Agent and the Lenders prompt written notice of any</w:t>
      </w:r>
      <w:r>
        <w:rPr>
          <w:rFonts w:ascii="Arial" w:cs="Arial" w:eastAsia="Arial" w:hAnsi="Arial"/>
          <w:sz w:val="13"/>
          <w:szCs w:val="13"/>
          <w:color w:val="010000"/>
        </w:rPr>
        <w:t xml:space="preserve"> </w:t>
      </w:r>
      <w:r>
        <w:rPr>
          <w:rFonts w:ascii="Arial" w:cs="Arial" w:eastAsia="Arial" w:hAnsi="Arial"/>
          <w:sz w:val="13"/>
          <w:szCs w:val="13"/>
          <w:color w:val="000000"/>
        </w:rPr>
        <w:t>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w:t>
      </w:r>
    </w:p>
    <w:p>
      <w:pPr>
        <w:spacing w:after="0" w:line="296" w:lineRule="exact"/>
        <w:rPr>
          <w:sz w:val="20"/>
          <w:szCs w:val="20"/>
          <w:color w:val="auto"/>
        </w:rPr>
      </w:pPr>
    </w:p>
    <w:p>
      <w:pPr>
        <w:ind w:left="120" w:right="479" w:firstLine="438"/>
        <w:spacing w:after="0" w:line="295" w:lineRule="auto"/>
        <w:rPr>
          <w:sz w:val="20"/>
          <w:szCs w:val="20"/>
          <w:color w:val="auto"/>
        </w:rPr>
      </w:pPr>
      <w:r>
        <w:rPr>
          <w:rFonts w:ascii="Arial" w:cs="Arial" w:eastAsia="Arial" w:hAnsi="Arial"/>
          <w:sz w:val="12"/>
          <w:szCs w:val="12"/>
          <w:color w:val="010000"/>
        </w:rPr>
        <w:t xml:space="preserve">SECTION 5.13 </w:t>
      </w:r>
      <w:r>
        <w:rPr>
          <w:rFonts w:ascii="Arial" w:cs="Arial" w:eastAsia="Arial" w:hAnsi="Arial"/>
          <w:sz w:val="12"/>
          <w:szCs w:val="12"/>
          <w:u w:val="single" w:color="auto"/>
          <w:color w:val="000000"/>
        </w:rPr>
        <w:t>Depository Banks. Subject to Section 5.15, each Loan Party will maintain the Administrative Agent as its principal depository bank,</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including for the maintenance of operating, administrative, cash management, collection activity, and other deposit accounts for the conduct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47625</wp:posOffset>
            </wp:positionV>
            <wp:extent cx="2095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389"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5.14 </w:t>
      </w:r>
      <w:r>
        <w:rPr>
          <w:rFonts w:ascii="Arial" w:cs="Arial" w:eastAsia="Arial" w:hAnsi="Arial"/>
          <w:sz w:val="13"/>
          <w:szCs w:val="13"/>
          <w:u w:val="single" w:color="auto"/>
          <w:color w:val="000000"/>
        </w:rPr>
        <w:t>Additional Collateral; Further Assurances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16" w:lineRule="auto"/>
        <w:tabs>
          <w:tab w:leader="none" w:pos="1189" w:val="left"/>
        </w:tabs>
        <w:numPr>
          <w:ilvl w:val="0"/>
          <w:numId w:val="119"/>
        </w:numPr>
        <w:rPr>
          <w:rFonts w:ascii="Arial" w:cs="Arial" w:eastAsia="Arial" w:hAnsi="Arial"/>
          <w:sz w:val="13"/>
          <w:szCs w:val="13"/>
          <w:color w:val="010000"/>
        </w:rPr>
      </w:pPr>
      <w:r>
        <w:rPr>
          <w:rFonts w:ascii="Arial" w:cs="Arial" w:eastAsia="Arial" w:hAnsi="Arial"/>
          <w:sz w:val="13"/>
          <w:szCs w:val="13"/>
          <w:color w:val="auto"/>
        </w:rPr>
        <w:t>Subject to applicable Requirements of Law, each Loan Party will cause each of its Domestic Subsidiaries formed or acquired after the date of this Agreement within thirty (30) days (or such longer period the Administrative Agent shall approve in writing) after such formation or acquisition to become a Loan Party by executing a Joinder Agreement.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including any Material Real Property located in the U.S. owned by any Loan Party.</w:t>
      </w:r>
    </w:p>
    <w:p>
      <w:pPr>
        <w:spacing w:after="0" w:line="104" w:lineRule="exact"/>
        <w:rPr>
          <w:rFonts w:ascii="Arial" w:cs="Arial" w:eastAsia="Arial" w:hAnsi="Arial"/>
          <w:sz w:val="13"/>
          <w:szCs w:val="13"/>
          <w:color w:val="010000"/>
        </w:rPr>
      </w:pPr>
    </w:p>
    <w:p>
      <w:pPr>
        <w:jc w:val="both"/>
        <w:ind w:left="120" w:right="119" w:firstLine="879"/>
        <w:spacing w:after="0" w:line="216" w:lineRule="auto"/>
        <w:tabs>
          <w:tab w:leader="none" w:pos="1197" w:val="left"/>
        </w:tabs>
        <w:numPr>
          <w:ilvl w:val="0"/>
          <w:numId w:val="119"/>
        </w:numPr>
        <w:rPr>
          <w:rFonts w:ascii="Arial" w:cs="Arial" w:eastAsia="Arial" w:hAnsi="Arial"/>
          <w:sz w:val="13"/>
          <w:szCs w:val="13"/>
          <w:color w:val="010000"/>
        </w:rPr>
      </w:pPr>
      <w:r>
        <w:rPr>
          <w:rFonts w:ascii="Arial" w:cs="Arial" w:eastAsia="Arial" w:hAnsi="Arial"/>
          <w:sz w:val="13"/>
          <w:szCs w:val="13"/>
          <w:color w:val="auto"/>
        </w:rPr>
        <w:t>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04"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119"/>
        </w:numPr>
        <w:rPr>
          <w:rFonts w:ascii="Arial" w:cs="Arial" w:eastAsia="Arial" w:hAnsi="Arial"/>
          <w:sz w:val="13"/>
          <w:szCs w:val="13"/>
          <w:color w:val="010000"/>
        </w:rPr>
      </w:pPr>
      <w:r>
        <w:rPr>
          <w:rFonts w:ascii="Arial" w:cs="Arial" w:eastAsia="Arial" w:hAnsi="Arial"/>
          <w:sz w:val="13"/>
          <w:szCs w:val="13"/>
          <w:color w:val="auto"/>
        </w:rPr>
        <w:t>Without limiting the foregoing, each Loan Party will, and will cause each Subsidiary to, execute and deliver, or cause to be executed and delivered, to the Administrative Agent such</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22" w:name="page123"/>
    <w:bookmarkEnd w:id="122"/>
    <w:p>
      <w:pPr>
        <w:jc w:val="both"/>
        <w:ind w:left="120" w:right="119"/>
        <w:spacing w:after="0" w:line="218" w:lineRule="auto"/>
        <w:rPr>
          <w:sz w:val="20"/>
          <w:szCs w:val="20"/>
          <w:color w:val="auto"/>
        </w:rPr>
      </w:pPr>
      <w:r>
        <w:rPr>
          <w:rFonts w:ascii="Arial" w:cs="Arial" w:eastAsia="Arial" w:hAnsi="Arial"/>
          <w:sz w:val="13"/>
          <w:szCs w:val="13"/>
          <w:color w:val="auto"/>
        </w:rPr>
        <w:t>documents, agreements and instruments, and will take or cause to be taken such further actions (including the delivery of legal opinions, filing and recording of financing statements, fixture filings, mortgages,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Loan Parties.</w:t>
      </w:r>
    </w:p>
    <w:p>
      <w:pPr>
        <w:spacing w:after="0" w:line="105" w:lineRule="exact"/>
        <w:rPr>
          <w:sz w:val="20"/>
          <w:szCs w:val="20"/>
          <w:color w:val="auto"/>
        </w:rPr>
      </w:pPr>
    </w:p>
    <w:p>
      <w:pPr>
        <w:jc w:val="both"/>
        <w:ind w:left="120" w:right="119" w:firstLine="879"/>
        <w:spacing w:after="0" w:line="228" w:lineRule="auto"/>
        <w:tabs>
          <w:tab w:leader="none" w:pos="1197" w:val="left"/>
        </w:tabs>
        <w:numPr>
          <w:ilvl w:val="0"/>
          <w:numId w:val="120"/>
        </w:numPr>
        <w:rPr>
          <w:rFonts w:ascii="Arial" w:cs="Arial" w:eastAsia="Arial" w:hAnsi="Arial"/>
          <w:sz w:val="13"/>
          <w:szCs w:val="13"/>
          <w:color w:val="010000"/>
        </w:rPr>
      </w:pPr>
      <w:r>
        <w:rPr>
          <w:rFonts w:ascii="Arial" w:cs="Arial" w:eastAsia="Arial" w:hAnsi="Arial"/>
          <w:sz w:val="13"/>
          <w:szCs w:val="13"/>
          <w:color w:val="auto"/>
        </w:rPr>
        <w:t>With respect to all owned Material Real Property that is acquired after the Effective Date or that becomes Material Real Property after the Effective Date, the Loan Parties shall within sixty (60) days thereafter (or such later date as approved by the Administrative Agent), deliver each of the following, in form and substance reasonably satisfactory to the Administrative Agent:</w:t>
      </w:r>
    </w:p>
    <w:p>
      <w:pPr>
        <w:spacing w:after="0" w:line="102" w:lineRule="exact"/>
        <w:rPr>
          <w:rFonts w:ascii="Arial" w:cs="Arial" w:eastAsia="Arial" w:hAnsi="Arial"/>
          <w:sz w:val="13"/>
          <w:szCs w:val="13"/>
          <w:color w:val="010000"/>
        </w:rPr>
      </w:pPr>
    </w:p>
    <w:p>
      <w:pPr>
        <w:ind w:left="1600" w:hanging="163"/>
        <w:spacing w:after="0"/>
        <w:tabs>
          <w:tab w:leader="none" w:pos="1600"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a Mortgage on such property;</w:t>
      </w:r>
    </w:p>
    <w:p>
      <w:pPr>
        <w:spacing w:after="0" w:line="124" w:lineRule="exact"/>
        <w:rPr>
          <w:rFonts w:ascii="Arial" w:cs="Arial" w:eastAsia="Arial" w:hAnsi="Arial"/>
          <w:sz w:val="13"/>
          <w:szCs w:val="13"/>
          <w:color w:val="010000"/>
        </w:rPr>
      </w:pPr>
    </w:p>
    <w:p>
      <w:pPr>
        <w:jc w:val="both"/>
        <w:ind w:left="120" w:right="119" w:firstLine="1317"/>
        <w:spacing w:after="0" w:line="228" w:lineRule="auto"/>
        <w:tabs>
          <w:tab w:leader="none" w:pos="1642"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evidence that a counterpart of the Mortgage has been recorded in the place necessary, in the Administrative Agent’s reasonable judgment, to create a valid and enforceable first priority Lien in favor of the Administrative Agent for the benefit of itself and the Secured Parties, subject to Permitted Encumbrances;</w:t>
      </w:r>
    </w:p>
    <w:p>
      <w:pPr>
        <w:spacing w:after="0" w:line="102" w:lineRule="exact"/>
        <w:rPr>
          <w:rFonts w:ascii="Arial" w:cs="Arial" w:eastAsia="Arial" w:hAnsi="Arial"/>
          <w:sz w:val="13"/>
          <w:szCs w:val="13"/>
          <w:color w:val="010000"/>
        </w:rPr>
      </w:pPr>
    </w:p>
    <w:p>
      <w:pPr>
        <w:ind w:left="1680" w:hanging="243"/>
        <w:spacing w:after="0"/>
        <w:tabs>
          <w:tab w:leader="none" w:pos="1680"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ALTA or other mortgagee’s title policy;</w:t>
      </w:r>
    </w:p>
    <w:p>
      <w:pPr>
        <w:spacing w:after="0" w:line="114" w:lineRule="exact"/>
        <w:rPr>
          <w:rFonts w:ascii="Arial" w:cs="Arial" w:eastAsia="Arial" w:hAnsi="Arial"/>
          <w:sz w:val="13"/>
          <w:szCs w:val="13"/>
          <w:color w:val="010000"/>
        </w:rPr>
      </w:pPr>
    </w:p>
    <w:p>
      <w:pPr>
        <w:ind w:left="1680" w:hanging="243"/>
        <w:spacing w:after="0"/>
        <w:tabs>
          <w:tab w:leader="none" w:pos="1680"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an ALTA survey prepared and certified to the Administrative Agent by a surveyor reasonably acceptable to the Administrative</w:t>
      </w:r>
    </w:p>
    <w:p>
      <w:pPr>
        <w:ind w:left="120"/>
        <w:spacing w:after="0"/>
        <w:rPr>
          <w:rFonts w:ascii="Arial" w:cs="Arial" w:eastAsia="Arial" w:hAnsi="Arial"/>
          <w:sz w:val="13"/>
          <w:szCs w:val="13"/>
          <w:color w:val="010000"/>
        </w:rPr>
      </w:pPr>
      <w:r>
        <w:rPr>
          <w:rFonts w:ascii="Arial" w:cs="Arial" w:eastAsia="Arial" w:hAnsi="Arial"/>
          <w:sz w:val="13"/>
          <w:szCs w:val="13"/>
          <w:color w:val="auto"/>
        </w:rPr>
        <w:t>Agent;</w:t>
      </w:r>
    </w:p>
    <w:p>
      <w:pPr>
        <w:spacing w:after="0" w:line="112" w:lineRule="exact"/>
        <w:rPr>
          <w:rFonts w:ascii="Arial" w:cs="Arial" w:eastAsia="Arial" w:hAnsi="Arial"/>
          <w:sz w:val="13"/>
          <w:szCs w:val="13"/>
          <w:color w:val="010000"/>
        </w:rPr>
      </w:pPr>
    </w:p>
    <w:p>
      <w:pPr>
        <w:ind w:left="120" w:right="119" w:firstLine="1317"/>
        <w:spacing w:after="0" w:line="239" w:lineRule="auto"/>
        <w:tabs>
          <w:tab w:leader="none" w:pos="1635"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an opinion of counsel in the state in which such real property is located in form and substance and from counsel reasonably satisfactory to the Administrative Agent;</w:t>
      </w:r>
    </w:p>
    <w:p>
      <w:pPr>
        <w:spacing w:after="0" w:line="103" w:lineRule="exact"/>
        <w:rPr>
          <w:rFonts w:ascii="Arial" w:cs="Arial" w:eastAsia="Arial" w:hAnsi="Arial"/>
          <w:sz w:val="13"/>
          <w:szCs w:val="13"/>
          <w:color w:val="010000"/>
        </w:rPr>
      </w:pPr>
    </w:p>
    <w:p>
      <w:pPr>
        <w:ind w:left="120" w:right="119" w:firstLine="1317"/>
        <w:spacing w:after="0" w:line="279" w:lineRule="auto"/>
        <w:tabs>
          <w:tab w:leader="none" w:pos="1672" w:val="left"/>
        </w:tabs>
        <w:numPr>
          <w:ilvl w:val="1"/>
          <w:numId w:val="120"/>
        </w:numPr>
        <w:rPr>
          <w:rFonts w:ascii="Arial" w:cs="Arial" w:eastAsia="Arial" w:hAnsi="Arial"/>
          <w:sz w:val="12"/>
          <w:szCs w:val="12"/>
          <w:color w:val="010000"/>
        </w:rPr>
      </w:pPr>
      <w:r>
        <w:rPr>
          <w:rFonts w:ascii="Arial" w:cs="Arial" w:eastAsia="Arial" w:hAnsi="Arial"/>
          <w:sz w:val="12"/>
          <w:szCs w:val="12"/>
          <w:color w:val="auto"/>
        </w:rPr>
        <w:t>if any such parcel of real property is determined by the Administrative Agent to be in a flood zone, a flood notification form signed by the Borrower and evidence that flood insurance is in place for the building and contents, all in form and substance satisfactory to the Administrative Agent;</w:t>
      </w:r>
    </w:p>
    <w:p>
      <w:pPr>
        <w:spacing w:after="0" w:line="80" w:lineRule="exact"/>
        <w:rPr>
          <w:rFonts w:ascii="Arial" w:cs="Arial" w:eastAsia="Arial" w:hAnsi="Arial"/>
          <w:sz w:val="12"/>
          <w:szCs w:val="12"/>
          <w:color w:val="010000"/>
        </w:rPr>
      </w:pPr>
    </w:p>
    <w:p>
      <w:pPr>
        <w:ind w:left="120" w:right="119" w:firstLine="1317"/>
        <w:spacing w:after="0" w:line="239" w:lineRule="auto"/>
        <w:tabs>
          <w:tab w:leader="none" w:pos="1709"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if reasonably required by the Administrative Agent, a current appraisal of the real property prepared by an appraiser reasonably acceptable to the Administrative Agent, and in form and substance reasonably satisfactory to the Administrative Agent;</w:t>
      </w:r>
    </w:p>
    <w:p>
      <w:pPr>
        <w:spacing w:after="0" w:line="103" w:lineRule="exact"/>
        <w:rPr>
          <w:rFonts w:ascii="Arial" w:cs="Arial" w:eastAsia="Arial" w:hAnsi="Arial"/>
          <w:sz w:val="13"/>
          <w:szCs w:val="13"/>
          <w:color w:val="010000"/>
        </w:rPr>
      </w:pPr>
    </w:p>
    <w:p>
      <w:pPr>
        <w:jc w:val="both"/>
        <w:ind w:left="120" w:right="119" w:firstLine="1317"/>
        <w:spacing w:after="0" w:line="228" w:lineRule="auto"/>
        <w:tabs>
          <w:tab w:leader="none" w:pos="1746"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if required by the Administrative Agent, an environmental assessment of the real property prepared by an environmental engineer reasonably acceptable to the Administrative Agent, and accompanied by such reports, certificates, studies or data as Administrative Agent may reasonably require, which shall all be in form and substance reasonably satisfactory to the Administrative Agent; and</w:t>
      </w:r>
    </w:p>
    <w:p>
      <w:pPr>
        <w:spacing w:after="0" w:line="102" w:lineRule="exact"/>
        <w:rPr>
          <w:rFonts w:ascii="Arial" w:cs="Arial" w:eastAsia="Arial" w:hAnsi="Arial"/>
          <w:sz w:val="13"/>
          <w:szCs w:val="13"/>
          <w:color w:val="010000"/>
        </w:rPr>
      </w:pPr>
    </w:p>
    <w:p>
      <w:pPr>
        <w:ind w:left="1680" w:hanging="243"/>
        <w:spacing w:after="0"/>
        <w:tabs>
          <w:tab w:leader="none" w:pos="1680" w:val="left"/>
        </w:tabs>
        <w:numPr>
          <w:ilvl w:val="1"/>
          <w:numId w:val="120"/>
        </w:numPr>
        <w:rPr>
          <w:rFonts w:ascii="Arial" w:cs="Arial" w:eastAsia="Arial" w:hAnsi="Arial"/>
          <w:sz w:val="13"/>
          <w:szCs w:val="13"/>
          <w:color w:val="010000"/>
        </w:rPr>
      </w:pPr>
      <w:r>
        <w:rPr>
          <w:rFonts w:ascii="Arial" w:cs="Arial" w:eastAsia="Arial" w:hAnsi="Arial"/>
          <w:sz w:val="13"/>
          <w:szCs w:val="13"/>
          <w:color w:val="auto"/>
        </w:rPr>
        <w:t>such other information, documentation, and certifications as may be reasonably required by the Administrative Agent.</w:t>
      </w:r>
    </w:p>
    <w:p>
      <w:pPr>
        <w:spacing w:after="0" w:line="124" w:lineRule="exact"/>
        <w:rPr>
          <w:rFonts w:ascii="Arial" w:cs="Arial" w:eastAsia="Arial" w:hAnsi="Arial"/>
          <w:sz w:val="13"/>
          <w:szCs w:val="13"/>
          <w:color w:val="010000"/>
        </w:rPr>
      </w:pPr>
    </w:p>
    <w:p>
      <w:pPr>
        <w:jc w:val="both"/>
        <w:ind w:left="120" w:right="119" w:firstLine="879"/>
        <w:spacing w:after="0" w:line="241" w:lineRule="auto"/>
        <w:tabs>
          <w:tab w:leader="none" w:pos="1189" w:val="left"/>
        </w:tabs>
        <w:numPr>
          <w:ilvl w:val="0"/>
          <w:numId w:val="120"/>
        </w:numPr>
        <w:rPr>
          <w:rFonts w:ascii="Arial" w:cs="Arial" w:eastAsia="Arial" w:hAnsi="Arial"/>
          <w:sz w:val="12"/>
          <w:szCs w:val="12"/>
          <w:color w:val="010000"/>
        </w:rPr>
      </w:pPr>
      <w:r>
        <w:rPr>
          <w:rFonts w:ascii="Arial" w:cs="Arial" w:eastAsia="Arial" w:hAnsi="Arial"/>
          <w:sz w:val="12"/>
          <w:szCs w:val="12"/>
          <w:color w:val="auto"/>
        </w:rPr>
        <w:t>If any material assets (including any real property or improvements thereto or any interest therein)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23" w:name="page124"/>
    <w:bookmarkEnd w:id="123"/>
    <w:p>
      <w:pPr>
        <w:ind w:left="120" w:right="119"/>
        <w:spacing w:after="0" w:line="239" w:lineRule="auto"/>
        <w:rPr>
          <w:sz w:val="20"/>
          <w:szCs w:val="20"/>
          <w:color w:val="auto"/>
        </w:rPr>
      </w:pPr>
      <w:r>
        <w:rPr>
          <w:rFonts w:ascii="Arial" w:cs="Arial" w:eastAsia="Arial" w:hAnsi="Arial"/>
          <w:sz w:val="13"/>
          <w:szCs w:val="13"/>
          <w:color w:val="auto"/>
        </w:rPr>
        <w:t>actions as shall be necessary or reasonably requested by the Administrative Agent to grant and perfect such Liens, including actions described in paragraph (c) of this Section, all at the expense of the Loan Parties.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5.15 </w:t>
      </w:r>
      <w:r>
        <w:rPr>
          <w:rFonts w:ascii="Arial" w:cs="Arial" w:eastAsia="Arial" w:hAnsi="Arial"/>
          <w:sz w:val="13"/>
          <w:szCs w:val="13"/>
          <w:u w:val="single" w:color="auto"/>
          <w:color w:val="000000"/>
        </w:rPr>
        <w:t>Post-Closing Matters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22" w:lineRule="auto"/>
        <w:tabs>
          <w:tab w:leader="none" w:pos="1582" w:val="left"/>
        </w:tabs>
        <w:numPr>
          <w:ilvl w:val="0"/>
          <w:numId w:val="121"/>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Within ten (10) Business Days after the Effective Date (or such later date as the Administrative Agent may agree in writing in its discretion), the Administrative Agent shall have received additional insured, lenders loss payee, and notice of cancellation insurance endorsements with respect to, as applicable, Borrower’s liability and property insurance policies, each of which shall be in form and substance reasonably satisfactory to the Administrative Agent.</w:t>
      </w:r>
    </w:p>
    <w:p>
      <w:pPr>
        <w:spacing w:after="0" w:line="103" w:lineRule="exact"/>
        <w:rPr>
          <w:rFonts w:ascii="Arial" w:cs="Arial" w:eastAsia="Arial" w:hAnsi="Arial"/>
          <w:sz w:val="13"/>
          <w:szCs w:val="13"/>
          <w:u w:val="single" w:color="auto"/>
          <w:color w:val="auto"/>
        </w:rPr>
      </w:pPr>
    </w:p>
    <w:p>
      <w:pPr>
        <w:jc w:val="both"/>
        <w:ind w:left="120" w:right="119" w:firstLine="879"/>
        <w:spacing w:after="0" w:line="228" w:lineRule="auto"/>
        <w:tabs>
          <w:tab w:leader="none" w:pos="158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Within sixty (60) Business Days after the Effective Date (or such later date as the Administrative Agent may agree in writing in its discretion), the Loan Parties shall comply with Section 5.15 hereby and the provisions of the Security Agreement with regard to granting “control” (as such term is used in Article 8 of the UCC) over deposit accounts and securities accounts of the Loan Parties to the extent required thereby.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010000"/>
        </w:rPr>
        <w:t>ARTICLE VI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Negative Covenants</w:t>
      </w:r>
    </w:p>
    <w:p>
      <w:pPr>
        <w:spacing w:after="0" w:line="51" w:lineRule="exact"/>
        <w:rPr>
          <w:sz w:val="20"/>
          <w:szCs w:val="20"/>
          <w:color w:val="auto"/>
        </w:rPr>
      </w:pPr>
    </w:p>
    <w:p>
      <w:pPr>
        <w:ind w:left="120" w:right="119" w:firstLine="875"/>
        <w:spacing w:after="0" w:line="254" w:lineRule="auto"/>
        <w:rPr>
          <w:sz w:val="20"/>
          <w:szCs w:val="20"/>
          <w:color w:val="auto"/>
        </w:rPr>
      </w:pPr>
      <w:r>
        <w:rPr>
          <w:rFonts w:ascii="Arial" w:cs="Arial" w:eastAsia="Arial" w:hAnsi="Arial"/>
          <w:sz w:val="13"/>
          <w:szCs w:val="13"/>
          <w:color w:val="auto"/>
        </w:rPr>
        <w:t>Until all of the Secured Obligations shall have been Paid in Full, each Loan Party executing this Agreement covenants and agrees, jointly and severally with all of the other Loan Parties, with the Lenders that:</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6.01 </w:t>
      </w:r>
      <w:r>
        <w:rPr>
          <w:rFonts w:ascii="Arial" w:cs="Arial" w:eastAsia="Arial" w:hAnsi="Arial"/>
          <w:sz w:val="13"/>
          <w:szCs w:val="13"/>
          <w:u w:val="single" w:color="auto"/>
          <w:color w:val="000000"/>
        </w:rPr>
        <w:t>Indebtedness</w:t>
      </w:r>
      <w:r>
        <w:rPr>
          <w:rFonts w:ascii="Arial" w:cs="Arial" w:eastAsia="Arial" w:hAnsi="Arial"/>
          <w:sz w:val="13"/>
          <w:szCs w:val="13"/>
          <w:color w:val="000000"/>
        </w:rPr>
        <w:t>. No Loan Party will, nor will it permit any Subsidiary to, create, incur, assume or suffer to exist any Indebtedness,</w:t>
      </w:r>
    </w:p>
    <w:p>
      <w:pPr>
        <w:ind w:left="120"/>
        <w:spacing w:after="0"/>
        <w:rPr>
          <w:sz w:val="20"/>
          <w:szCs w:val="20"/>
          <w:color w:val="auto"/>
        </w:rPr>
      </w:pPr>
      <w:r>
        <w:rPr>
          <w:rFonts w:ascii="Arial" w:cs="Arial" w:eastAsia="Arial" w:hAnsi="Arial"/>
          <w:sz w:val="13"/>
          <w:szCs w:val="13"/>
          <w:color w:val="auto"/>
        </w:rPr>
        <w:t>except:</w:t>
      </w:r>
    </w:p>
    <w:p>
      <w:pPr>
        <w:spacing w:after="0" w:line="313" w:lineRule="exact"/>
        <w:rPr>
          <w:sz w:val="20"/>
          <w:szCs w:val="20"/>
          <w:color w:val="auto"/>
        </w:rPr>
      </w:pPr>
    </w:p>
    <w:p>
      <w:pPr>
        <w:ind w:left="1200" w:hanging="201"/>
        <w:spacing w:after="0"/>
        <w:tabs>
          <w:tab w:leader="none" w:pos="1200" w:val="left"/>
        </w:tabs>
        <w:numPr>
          <w:ilvl w:val="0"/>
          <w:numId w:val="122"/>
        </w:numPr>
        <w:rPr>
          <w:rFonts w:ascii="Arial" w:cs="Arial" w:eastAsia="Arial" w:hAnsi="Arial"/>
          <w:sz w:val="13"/>
          <w:szCs w:val="13"/>
          <w:color w:val="010000"/>
        </w:rPr>
      </w:pPr>
      <w:r>
        <w:rPr>
          <w:rFonts w:ascii="Arial" w:cs="Arial" w:eastAsia="Arial" w:hAnsi="Arial"/>
          <w:sz w:val="13"/>
          <w:szCs w:val="13"/>
          <w:color w:val="auto"/>
        </w:rPr>
        <w:t>the Secured Obligations;</w:t>
      </w:r>
    </w:p>
    <w:p>
      <w:pPr>
        <w:spacing w:after="0" w:line="124"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22"/>
        </w:numPr>
        <w:rPr>
          <w:rFonts w:ascii="Arial" w:cs="Arial" w:eastAsia="Arial" w:hAnsi="Arial"/>
          <w:sz w:val="13"/>
          <w:szCs w:val="13"/>
          <w:color w:val="010000"/>
        </w:rPr>
      </w:pPr>
      <w:r>
        <w:rPr>
          <w:rFonts w:ascii="Arial" w:cs="Arial" w:eastAsia="Arial" w:hAnsi="Arial"/>
          <w:sz w:val="13"/>
          <w:szCs w:val="13"/>
          <w:color w:val="auto"/>
        </w:rPr>
        <w:t xml:space="preserve">Indebtedness existing on the date hereof and set forth in </w:t>
      </w:r>
      <w:r>
        <w:rPr>
          <w:rFonts w:ascii="Arial" w:cs="Arial" w:eastAsia="Arial" w:hAnsi="Arial"/>
          <w:sz w:val="13"/>
          <w:szCs w:val="13"/>
          <w:u w:val="single" w:color="auto"/>
          <w:color w:val="auto"/>
        </w:rPr>
        <w:t>Schedule 6.01</w:t>
      </w:r>
      <w:r>
        <w:rPr>
          <w:rFonts w:ascii="Arial" w:cs="Arial" w:eastAsia="Arial" w:hAnsi="Arial"/>
          <w:sz w:val="13"/>
          <w:szCs w:val="13"/>
          <w:color w:val="auto"/>
        </w:rPr>
        <w:t xml:space="preserve"> (excluding, however, following the making of the initial Loan hereunder, the Indebtedness to be repaid with the proceeds of such Loans as indicated on Schedule 6.01) and any extensions, renewals, refinancings and replacements of any such Indebtedness in accordance with clause (f) hereof;</w:t>
      </w:r>
    </w:p>
    <w:p>
      <w:pPr>
        <w:spacing w:after="0" w:line="102" w:lineRule="exact"/>
        <w:rPr>
          <w:rFonts w:ascii="Arial" w:cs="Arial" w:eastAsia="Arial" w:hAnsi="Arial"/>
          <w:sz w:val="13"/>
          <w:szCs w:val="13"/>
          <w:color w:val="010000"/>
        </w:rPr>
      </w:pPr>
    </w:p>
    <w:p>
      <w:pPr>
        <w:jc w:val="both"/>
        <w:ind w:left="120" w:right="119" w:firstLine="879"/>
        <w:spacing w:after="0" w:line="250" w:lineRule="auto"/>
        <w:tabs>
          <w:tab w:leader="none" w:pos="1189" w:val="left"/>
        </w:tabs>
        <w:numPr>
          <w:ilvl w:val="0"/>
          <w:numId w:val="122"/>
        </w:numPr>
        <w:rPr>
          <w:rFonts w:ascii="Arial" w:cs="Arial" w:eastAsia="Arial" w:hAnsi="Arial"/>
          <w:sz w:val="12"/>
          <w:szCs w:val="12"/>
          <w:color w:val="010000"/>
        </w:rPr>
      </w:pPr>
      <w:r>
        <w:rPr>
          <w:rFonts w:ascii="Arial" w:cs="Arial" w:eastAsia="Arial" w:hAnsi="Arial"/>
          <w:sz w:val="12"/>
          <w:szCs w:val="12"/>
          <w:color w:val="auto"/>
        </w:rPr>
        <w:t xml:space="preserve">Indebtedness of the Borrower to any Subsidiary and of any Subsidiary to the Borrower or any other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97" w:lineRule="exact"/>
        <w:rPr>
          <w:rFonts w:ascii="Arial" w:cs="Arial" w:eastAsia="Arial" w:hAnsi="Arial"/>
          <w:sz w:val="12"/>
          <w:szCs w:val="12"/>
          <w:color w:val="010000"/>
        </w:rPr>
      </w:pPr>
    </w:p>
    <w:p>
      <w:pPr>
        <w:jc w:val="both"/>
        <w:ind w:left="120" w:right="119" w:firstLine="879"/>
        <w:spacing w:after="0" w:line="222" w:lineRule="auto"/>
        <w:tabs>
          <w:tab w:leader="none" w:pos="1197" w:val="left"/>
        </w:tabs>
        <w:numPr>
          <w:ilvl w:val="0"/>
          <w:numId w:val="122"/>
        </w:numPr>
        <w:rPr>
          <w:rFonts w:ascii="Arial" w:cs="Arial" w:eastAsia="Arial" w:hAnsi="Arial"/>
          <w:sz w:val="13"/>
          <w:szCs w:val="13"/>
          <w:color w:val="010000"/>
        </w:rPr>
      </w:pPr>
      <w:r>
        <w:rPr>
          <w:rFonts w:ascii="Arial" w:cs="Arial" w:eastAsia="Arial" w:hAnsi="Arial"/>
          <w:sz w:val="13"/>
          <w:szCs w:val="13"/>
          <w:color w:val="auto"/>
        </w:rPr>
        <w:t xml:space="preserve">Guarantees by the Borrower of Indebtedness of any Subsidiary and by any Subsidiary of Indebtedness of the Borrower or any other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03" w:lineRule="exact"/>
        <w:rPr>
          <w:rFonts w:ascii="Arial" w:cs="Arial" w:eastAsia="Arial" w:hAnsi="Arial"/>
          <w:sz w:val="13"/>
          <w:szCs w:val="13"/>
          <w:color w:val="010000"/>
        </w:rPr>
      </w:pPr>
    </w:p>
    <w:p>
      <w:pPr>
        <w:ind w:left="120" w:right="119" w:firstLine="879"/>
        <w:spacing w:after="0" w:line="279" w:lineRule="auto"/>
        <w:tabs>
          <w:tab w:leader="none" w:pos="1189" w:val="left"/>
        </w:tabs>
        <w:numPr>
          <w:ilvl w:val="0"/>
          <w:numId w:val="122"/>
        </w:numPr>
        <w:rPr>
          <w:rFonts w:ascii="Arial" w:cs="Arial" w:eastAsia="Arial" w:hAnsi="Arial"/>
          <w:sz w:val="12"/>
          <w:szCs w:val="12"/>
          <w:color w:val="010000"/>
        </w:rPr>
      </w:pPr>
      <w:r>
        <w:rPr>
          <w:rFonts w:ascii="Arial" w:cs="Arial" w:eastAsia="Arial" w:hAnsi="Arial"/>
          <w:sz w:val="12"/>
          <w:szCs w:val="12"/>
          <w:color w:val="auto"/>
        </w:rPr>
        <w:t>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24" w:name="page125"/>
    <w:bookmarkEnd w:id="124"/>
    <w:p>
      <w:pPr>
        <w:jc w:val="both"/>
        <w:ind w:left="120" w:right="119"/>
        <w:spacing w:after="0" w:line="222" w:lineRule="auto"/>
        <w:rPr>
          <w:sz w:val="20"/>
          <w:szCs w:val="20"/>
          <w:color w:val="auto"/>
        </w:rPr>
      </w:pPr>
      <w:r>
        <w:rPr>
          <w:rFonts w:ascii="Arial" w:cs="Arial" w:eastAsia="Arial" w:hAnsi="Arial"/>
          <w:sz w:val="13"/>
          <w:szCs w:val="13"/>
          <w:color w:val="auto"/>
        </w:rPr>
        <w:t xml:space="preserve">acquisition of any such assets or secured by a Lien on any such assets prior to the acquisition thereof, and extensions, renewals and replacements of any such Indebtedness in accordance with clause (f) below;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$10,000,000 at any time outstanding;</w:t>
      </w:r>
    </w:p>
    <w:p>
      <w:pPr>
        <w:spacing w:after="0" w:line="104" w:lineRule="exact"/>
        <w:rPr>
          <w:sz w:val="20"/>
          <w:szCs w:val="20"/>
          <w:color w:val="auto"/>
        </w:rPr>
      </w:pPr>
    </w:p>
    <w:p>
      <w:pPr>
        <w:jc w:val="both"/>
        <w:ind w:left="120" w:right="119" w:firstLine="879"/>
        <w:spacing w:after="0" w:line="225" w:lineRule="auto"/>
        <w:tabs>
          <w:tab w:leader="none" w:pos="1175" w:val="left"/>
        </w:tabs>
        <w:numPr>
          <w:ilvl w:val="1"/>
          <w:numId w:val="123"/>
        </w:numPr>
        <w:rPr>
          <w:rFonts w:ascii="Arial" w:cs="Arial" w:eastAsia="Arial" w:hAnsi="Arial"/>
          <w:sz w:val="12"/>
          <w:szCs w:val="12"/>
          <w:color w:val="010000"/>
        </w:rPr>
      </w:pPr>
      <w:r>
        <w:rPr>
          <w:rFonts w:ascii="Arial" w:cs="Arial" w:eastAsia="Arial" w:hAnsi="Arial"/>
          <w:sz w:val="12"/>
          <w:szCs w:val="12"/>
          <w:color w:val="auto"/>
        </w:rPr>
        <w:t>Indebtedness which represents extensions, renewals, refinancing or replacements (such Indebtedness being so extended, renewed, refinanced or replaced being referred to herein as the “</w:t>
      </w:r>
      <w:r>
        <w:rPr>
          <w:rFonts w:ascii="Arial" w:cs="Arial" w:eastAsia="Arial" w:hAnsi="Arial"/>
          <w:sz w:val="12"/>
          <w:szCs w:val="12"/>
          <w:u w:val="single" w:color="auto"/>
          <w:color w:val="auto"/>
        </w:rPr>
        <w:t>Refinance Indebtedness</w:t>
      </w:r>
      <w:r>
        <w:rPr>
          <w:rFonts w:ascii="Arial" w:cs="Arial" w:eastAsia="Arial" w:hAnsi="Arial"/>
          <w:sz w:val="12"/>
          <w:szCs w:val="12"/>
          <w:color w:val="auto"/>
        </w:rPr>
        <w:t xml:space="preserve">”) of any of the Indebtedness described in </w:t>
      </w:r>
      <w:r>
        <w:rPr>
          <w:rFonts w:ascii="Arial" w:cs="Arial" w:eastAsia="Arial" w:hAnsi="Arial"/>
          <w:sz w:val="12"/>
          <w:szCs w:val="12"/>
          <w:u w:val="single" w:color="auto"/>
          <w:color w:val="auto"/>
        </w:rPr>
        <w:t>clauses (b)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(e)</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w:t>
      </w:r>
      <w:r>
        <w:rPr>
          <w:rFonts w:ascii="Arial" w:cs="Arial" w:eastAsia="Arial" w:hAnsi="Arial"/>
          <w:sz w:val="12"/>
          <w:szCs w:val="12"/>
          <w:color w:val="auto"/>
        </w:rPr>
        <w:t xml:space="preserve"> hereof (such Indebtedness being referred to herein as the “</w:t>
      </w:r>
      <w:r>
        <w:rPr>
          <w:rFonts w:ascii="Arial" w:cs="Arial" w:eastAsia="Arial" w:hAnsi="Arial"/>
          <w:sz w:val="12"/>
          <w:szCs w:val="12"/>
          <w:u w:val="single" w:color="auto"/>
          <w:color w:val="auto"/>
        </w:rPr>
        <w:t>Original Indebtedness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w:t>
      </w:r>
    </w:p>
    <w:p>
      <w:pPr>
        <w:spacing w:after="0" w:line="1" w:lineRule="exact"/>
        <w:rPr>
          <w:rFonts w:ascii="Arial" w:cs="Arial" w:eastAsia="Arial" w:hAnsi="Arial"/>
          <w:sz w:val="12"/>
          <w:szCs w:val="12"/>
          <w:color w:val="010000"/>
        </w:rPr>
      </w:pPr>
    </w:p>
    <w:p>
      <w:pPr>
        <w:jc w:val="both"/>
        <w:ind w:left="120" w:right="119" w:firstLine="4"/>
        <w:spacing w:after="0" w:line="217" w:lineRule="auto"/>
        <w:tabs>
          <w:tab w:leader="none" w:pos="314"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terms of such Refinance Indebtedness (other than fees and interest)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03" w:lineRule="exact"/>
        <w:rPr>
          <w:rFonts w:ascii="Arial" w:cs="Arial" w:eastAsia="Arial" w:hAnsi="Arial"/>
          <w:sz w:val="13"/>
          <w:szCs w:val="13"/>
          <w:color w:val="auto"/>
        </w:rPr>
      </w:pPr>
    </w:p>
    <w:p>
      <w:pPr>
        <w:ind w:left="120" w:right="119" w:firstLine="879"/>
        <w:spacing w:after="0" w:line="239" w:lineRule="auto"/>
        <w:tabs>
          <w:tab w:leader="none" w:pos="1197" w:val="left"/>
        </w:tabs>
        <w:numPr>
          <w:ilvl w:val="1"/>
          <w:numId w:val="124"/>
        </w:numPr>
        <w:rPr>
          <w:rFonts w:ascii="Arial" w:cs="Arial" w:eastAsia="Arial" w:hAnsi="Arial"/>
          <w:sz w:val="13"/>
          <w:szCs w:val="13"/>
          <w:color w:val="010000"/>
        </w:rPr>
      </w:pPr>
      <w:r>
        <w:rPr>
          <w:rFonts w:ascii="Arial" w:cs="Arial" w:eastAsia="Arial" w:hAnsi="Arial"/>
          <w:sz w:val="13"/>
          <w:szCs w:val="13"/>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1"/>
          <w:numId w:val="124"/>
        </w:numPr>
        <w:rPr>
          <w:rFonts w:ascii="Arial" w:cs="Arial" w:eastAsia="Arial" w:hAnsi="Arial"/>
          <w:sz w:val="13"/>
          <w:szCs w:val="13"/>
          <w:color w:val="010000"/>
        </w:rPr>
      </w:pPr>
      <w:r>
        <w:rPr>
          <w:rFonts w:ascii="Arial" w:cs="Arial" w:eastAsia="Arial" w:hAnsi="Arial"/>
          <w:sz w:val="13"/>
          <w:szCs w:val="13"/>
          <w:color w:val="auto"/>
        </w:rPr>
        <w:t>Indebtedness of any Loan Party in respect of performance bonds, bid bonds, appeal bonds, surety bonds and similar obligations, in each case provided in the ordinary course of business;</w:t>
      </w:r>
    </w:p>
    <w:p>
      <w:pPr>
        <w:spacing w:after="0" w:line="103" w:lineRule="exact"/>
        <w:rPr>
          <w:rFonts w:ascii="Arial" w:cs="Arial" w:eastAsia="Arial" w:hAnsi="Arial"/>
          <w:sz w:val="13"/>
          <w:szCs w:val="13"/>
          <w:color w:val="010000"/>
        </w:rPr>
      </w:pPr>
    </w:p>
    <w:p>
      <w:pPr>
        <w:jc w:val="both"/>
        <w:ind w:left="120" w:right="119" w:firstLine="879"/>
        <w:spacing w:after="0" w:line="222" w:lineRule="auto"/>
        <w:tabs>
          <w:tab w:leader="none" w:pos="1167" w:val="left"/>
        </w:tabs>
        <w:numPr>
          <w:ilvl w:val="1"/>
          <w:numId w:val="124"/>
        </w:numPr>
        <w:rPr>
          <w:rFonts w:ascii="Arial" w:cs="Arial" w:eastAsia="Arial" w:hAnsi="Arial"/>
          <w:sz w:val="13"/>
          <w:szCs w:val="13"/>
          <w:color w:val="010000"/>
        </w:rPr>
      </w:pPr>
      <w:r>
        <w:rPr>
          <w:rFonts w:ascii="Arial" w:cs="Arial" w:eastAsia="Arial" w:hAnsi="Arial"/>
          <w:sz w:val="13"/>
          <w:szCs w:val="13"/>
          <w:color w:val="auto"/>
        </w:rPr>
        <w:t xml:space="preserve">Indebtedness of any Person that becomes a Subsidiary after the date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(i) together with any Refinance Indebtedness in respect thereof permitted by clause (f) above, shall not exceed $500,000 at any time outstanding;</w:t>
      </w:r>
    </w:p>
    <w:p>
      <w:pPr>
        <w:spacing w:after="0" w:line="103" w:lineRule="exact"/>
        <w:rPr>
          <w:rFonts w:ascii="Arial" w:cs="Arial" w:eastAsia="Arial" w:hAnsi="Arial"/>
          <w:sz w:val="13"/>
          <w:szCs w:val="13"/>
          <w:color w:val="010000"/>
        </w:rPr>
      </w:pPr>
    </w:p>
    <w:p>
      <w:pPr>
        <w:ind w:left="1180" w:hanging="181"/>
        <w:spacing w:after="0"/>
        <w:tabs>
          <w:tab w:leader="none" w:pos="1180" w:val="left"/>
        </w:tabs>
        <w:numPr>
          <w:ilvl w:val="1"/>
          <w:numId w:val="124"/>
        </w:numPr>
        <w:rPr>
          <w:rFonts w:ascii="Arial" w:cs="Arial" w:eastAsia="Arial" w:hAnsi="Arial"/>
          <w:sz w:val="12"/>
          <w:szCs w:val="12"/>
          <w:color w:val="010000"/>
        </w:rPr>
      </w:pPr>
      <w:r>
        <w:rPr>
          <w:rFonts w:ascii="Arial" w:cs="Arial" w:eastAsia="Arial" w:hAnsi="Arial"/>
          <w:sz w:val="12"/>
          <w:szCs w:val="12"/>
          <w:color w:val="auto"/>
        </w:rPr>
        <w:t>other unsecured Indebtedness of the Loan Parties in an aggregate principal amount not exceeding $1,000,000 at any time outstanding;</w:t>
      </w:r>
    </w:p>
    <w:p>
      <w:pPr>
        <w:spacing w:after="0" w:line="135" w:lineRule="exact"/>
        <w:rPr>
          <w:rFonts w:ascii="Arial" w:cs="Arial" w:eastAsia="Arial" w:hAnsi="Arial"/>
          <w:sz w:val="12"/>
          <w:szCs w:val="12"/>
          <w:color w:val="010000"/>
        </w:rPr>
      </w:pPr>
    </w:p>
    <w:p>
      <w:pPr>
        <w:ind w:left="1200" w:hanging="201"/>
        <w:spacing w:after="0"/>
        <w:tabs>
          <w:tab w:leader="none" w:pos="1200" w:val="left"/>
        </w:tabs>
        <w:numPr>
          <w:ilvl w:val="1"/>
          <w:numId w:val="124"/>
        </w:numPr>
        <w:rPr>
          <w:rFonts w:ascii="Arial" w:cs="Arial" w:eastAsia="Arial" w:hAnsi="Arial"/>
          <w:sz w:val="13"/>
          <w:szCs w:val="13"/>
          <w:color w:val="010000"/>
        </w:rPr>
      </w:pPr>
      <w:r>
        <w:rPr>
          <w:rFonts w:ascii="Arial" w:cs="Arial" w:eastAsia="Arial" w:hAnsi="Arial"/>
          <w:sz w:val="13"/>
          <w:szCs w:val="13"/>
          <w:color w:val="auto"/>
        </w:rPr>
        <w:t>the Specified Subordinated Debt; and</w:t>
      </w:r>
    </w:p>
    <w:p>
      <w:pPr>
        <w:spacing w:after="0" w:line="124" w:lineRule="exact"/>
        <w:rPr>
          <w:rFonts w:ascii="Arial" w:cs="Arial" w:eastAsia="Arial" w:hAnsi="Arial"/>
          <w:sz w:val="13"/>
          <w:szCs w:val="13"/>
          <w:color w:val="010000"/>
        </w:rPr>
      </w:pPr>
    </w:p>
    <w:p>
      <w:pPr>
        <w:ind w:left="1180" w:hanging="181"/>
        <w:spacing w:after="0"/>
        <w:tabs>
          <w:tab w:leader="none" w:pos="1180" w:val="left"/>
        </w:tabs>
        <w:numPr>
          <w:ilvl w:val="1"/>
          <w:numId w:val="124"/>
        </w:numPr>
        <w:rPr>
          <w:rFonts w:ascii="Arial" w:cs="Arial" w:eastAsia="Arial" w:hAnsi="Arial"/>
          <w:sz w:val="13"/>
          <w:szCs w:val="13"/>
          <w:color w:val="010000"/>
        </w:rPr>
      </w:pPr>
      <w:r>
        <w:rPr>
          <w:rFonts w:ascii="Arial" w:cs="Arial" w:eastAsia="Arial" w:hAnsi="Arial"/>
          <w:sz w:val="13"/>
          <w:szCs w:val="13"/>
          <w:color w:val="auto"/>
        </w:rPr>
        <w:t>earn-outs in connection with Permitted Acquisitions.</w:t>
      </w:r>
    </w:p>
    <w:p>
      <w:pPr>
        <w:spacing w:after="0" w:line="124" w:lineRule="exact"/>
        <w:rPr>
          <w:sz w:val="20"/>
          <w:szCs w:val="20"/>
          <w:color w:val="auto"/>
        </w:rPr>
      </w:pPr>
    </w:p>
    <w:p>
      <w:pPr>
        <w:ind w:left="120" w:right="259" w:firstLine="438"/>
        <w:spacing w:after="0" w:line="295" w:lineRule="auto"/>
        <w:rPr>
          <w:sz w:val="20"/>
          <w:szCs w:val="20"/>
          <w:color w:val="auto"/>
        </w:rPr>
      </w:pPr>
      <w:r>
        <w:rPr>
          <w:rFonts w:ascii="Arial" w:cs="Arial" w:eastAsia="Arial" w:hAnsi="Arial"/>
          <w:sz w:val="12"/>
          <w:szCs w:val="12"/>
          <w:color w:val="010000"/>
        </w:rPr>
        <w:t xml:space="preserve">SECTION 6.02 </w:t>
      </w:r>
      <w:r>
        <w:rPr>
          <w:rFonts w:ascii="Arial" w:cs="Arial" w:eastAsia="Arial" w:hAnsi="Arial"/>
          <w:sz w:val="12"/>
          <w:szCs w:val="12"/>
          <w:u w:val="single" w:color="auto"/>
          <w:color w:val="000000"/>
        </w:rPr>
        <w:t>Liens</w:t>
      </w:r>
      <w:r>
        <w:rPr>
          <w:rFonts w:ascii="Arial" w:cs="Arial" w:eastAsia="Arial" w:hAnsi="Arial"/>
          <w:sz w:val="12"/>
          <w:szCs w:val="12"/>
          <w:color w:val="000000"/>
        </w:rPr>
        <w:t>. No Loan Party will, nor will it permit any Subsidiary to, create, incur, assume or permit to exist any Lien on any property or asset</w:t>
      </w:r>
      <w:r>
        <w:rPr>
          <w:rFonts w:ascii="Arial" w:cs="Arial" w:eastAsia="Arial" w:hAnsi="Arial"/>
          <w:sz w:val="12"/>
          <w:szCs w:val="12"/>
          <w:color w:val="010000"/>
        </w:rPr>
        <w:t xml:space="preserve"> </w:t>
      </w:r>
      <w:r>
        <w:rPr>
          <w:rFonts w:ascii="Arial" w:cs="Arial" w:eastAsia="Arial" w:hAnsi="Arial"/>
          <w:sz w:val="12"/>
          <w:szCs w:val="12"/>
          <w:color w:val="000000"/>
        </w:rPr>
        <w:t>now owned or hereafter acquired by it, or assign or sell any income or revenues (including Accounts) or rights in respect of any thereof, except:</w:t>
      </w:r>
    </w:p>
    <w:p>
      <w:pPr>
        <w:spacing w:after="0" w:line="263" w:lineRule="exact"/>
        <w:rPr>
          <w:sz w:val="20"/>
          <w:szCs w:val="20"/>
          <w:color w:val="auto"/>
        </w:rPr>
      </w:pPr>
    </w:p>
    <w:p>
      <w:pPr>
        <w:ind w:left="1200" w:hanging="201"/>
        <w:spacing w:after="0"/>
        <w:tabs>
          <w:tab w:leader="none" w:pos="1200" w:val="left"/>
        </w:tabs>
        <w:numPr>
          <w:ilvl w:val="0"/>
          <w:numId w:val="125"/>
        </w:numPr>
        <w:rPr>
          <w:rFonts w:ascii="Arial" w:cs="Arial" w:eastAsia="Arial" w:hAnsi="Arial"/>
          <w:sz w:val="13"/>
          <w:szCs w:val="13"/>
          <w:color w:val="010000"/>
        </w:rPr>
      </w:pPr>
      <w:r>
        <w:rPr>
          <w:rFonts w:ascii="Arial" w:cs="Arial" w:eastAsia="Arial" w:hAnsi="Arial"/>
          <w:sz w:val="13"/>
          <w:szCs w:val="13"/>
          <w:color w:val="auto"/>
        </w:rPr>
        <w:t>Liens created pursuant to any Loan Document;</w:t>
      </w:r>
    </w:p>
    <w:p>
      <w:pPr>
        <w:spacing w:after="0" w:line="124" w:lineRule="exact"/>
        <w:rPr>
          <w:rFonts w:ascii="Arial" w:cs="Arial" w:eastAsia="Arial" w:hAnsi="Arial"/>
          <w:sz w:val="13"/>
          <w:szCs w:val="13"/>
          <w:color w:val="010000"/>
        </w:rPr>
      </w:pPr>
    </w:p>
    <w:p>
      <w:pPr>
        <w:ind w:left="1200" w:hanging="201"/>
        <w:spacing w:after="0"/>
        <w:tabs>
          <w:tab w:leader="none" w:pos="1200" w:val="left"/>
        </w:tabs>
        <w:numPr>
          <w:ilvl w:val="0"/>
          <w:numId w:val="125"/>
        </w:numPr>
        <w:rPr>
          <w:rFonts w:ascii="Arial" w:cs="Arial" w:eastAsia="Arial" w:hAnsi="Arial"/>
          <w:sz w:val="13"/>
          <w:szCs w:val="13"/>
          <w:color w:val="010000"/>
        </w:rPr>
      </w:pPr>
      <w:r>
        <w:rPr>
          <w:rFonts w:ascii="Arial" w:cs="Arial" w:eastAsia="Arial" w:hAnsi="Arial"/>
          <w:sz w:val="13"/>
          <w:szCs w:val="13"/>
          <w:color w:val="auto"/>
        </w:rPr>
        <w:t>Permitted Encumbrances;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25" w:name="page126"/>
    <w:bookmarkEnd w:id="125"/>
    <w:p>
      <w:pPr>
        <w:jc w:val="both"/>
        <w:ind w:left="120" w:right="119" w:firstLine="879"/>
        <w:spacing w:after="0" w:line="250" w:lineRule="auto"/>
        <w:tabs>
          <w:tab w:leader="none" w:pos="1189" w:val="left"/>
        </w:tabs>
        <w:numPr>
          <w:ilvl w:val="0"/>
          <w:numId w:val="126"/>
        </w:numPr>
        <w:rPr>
          <w:rFonts w:ascii="Arial" w:cs="Arial" w:eastAsia="Arial" w:hAnsi="Arial"/>
          <w:sz w:val="12"/>
          <w:szCs w:val="12"/>
          <w:color w:val="010000"/>
        </w:rPr>
      </w:pPr>
      <w:r>
        <w:rPr>
          <w:rFonts w:ascii="Arial" w:cs="Arial" w:eastAsia="Arial" w:hAnsi="Arial"/>
          <w:sz w:val="12"/>
          <w:szCs w:val="12"/>
          <w:color w:val="auto"/>
        </w:rPr>
        <w:t xml:space="preserve">any Lien on any property or asset of the Borrower or any Subsidiary existing on the date hereof and set forth in </w:t>
      </w:r>
      <w:r>
        <w:rPr>
          <w:rFonts w:ascii="Arial" w:cs="Arial" w:eastAsia="Arial" w:hAnsi="Arial"/>
          <w:sz w:val="12"/>
          <w:szCs w:val="12"/>
          <w:u w:val="single" w:color="auto"/>
          <w:color w:val="auto"/>
        </w:rPr>
        <w:t>Schedule 6.02</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97" w:lineRule="exact"/>
        <w:rPr>
          <w:rFonts w:ascii="Arial" w:cs="Arial" w:eastAsia="Arial" w:hAnsi="Arial"/>
          <w:sz w:val="12"/>
          <w:szCs w:val="12"/>
          <w:color w:val="010000"/>
        </w:rPr>
      </w:pPr>
    </w:p>
    <w:p>
      <w:pPr>
        <w:jc w:val="both"/>
        <w:ind w:left="120" w:right="119" w:firstLine="879"/>
        <w:spacing w:after="0" w:line="222" w:lineRule="auto"/>
        <w:tabs>
          <w:tab w:leader="none" w:pos="1197"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 xml:space="preserve">Liens on fixed or capital assets acquired, constructed or improved by the Borrower or any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and (iii) such Liens shall not apply to any other property or assets of the Borrower or any Subsidiary;</w:t>
      </w:r>
    </w:p>
    <w:p>
      <w:pPr>
        <w:spacing w:after="0" w:line="103" w:lineRule="exact"/>
        <w:rPr>
          <w:rFonts w:ascii="Arial" w:cs="Arial" w:eastAsia="Arial" w:hAnsi="Arial"/>
          <w:sz w:val="13"/>
          <w:szCs w:val="13"/>
          <w:color w:val="010000"/>
        </w:rPr>
      </w:pPr>
    </w:p>
    <w:p>
      <w:pPr>
        <w:jc w:val="both"/>
        <w:ind w:left="120" w:right="119" w:firstLine="879"/>
        <w:spacing w:after="0" w:line="216" w:lineRule="auto"/>
        <w:tabs>
          <w:tab w:leader="none" w:pos="1189"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 xml:space="preserve">any Lien existing on any property or asset (other than Accounts and Inventory) prior to the acquisition thereof by the Borrower or any Subsidiary or existing on any property or asset (other than Accounts and Inventory) of any Person that becomes a Loan Party after the date hereof prior to the time such Person becomes a Loan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04" w:lineRule="exact"/>
        <w:rPr>
          <w:rFonts w:ascii="Arial" w:cs="Arial" w:eastAsia="Arial" w:hAnsi="Arial"/>
          <w:sz w:val="13"/>
          <w:szCs w:val="13"/>
          <w:color w:val="010000"/>
        </w:rPr>
      </w:pPr>
    </w:p>
    <w:p>
      <w:pPr>
        <w:ind w:left="120" w:right="119" w:firstLine="879"/>
        <w:spacing w:after="0" w:line="149" w:lineRule="exact"/>
        <w:tabs>
          <w:tab w:leader="none" w:pos="1175"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Liens of a collecting bank arising in the ordinary course of business under Section 4</w:t>
      </w:r>
      <w:r>
        <w:rPr>
          <w:rFonts w:ascii="MS PGothic" w:cs="MS PGothic" w:eastAsia="MS PGothic" w:hAnsi="MS PGothic"/>
          <w:sz w:val="13"/>
          <w:szCs w:val="13"/>
          <w:color w:val="auto"/>
        </w:rPr>
        <w:t>‑</w:t>
      </w:r>
      <w:r>
        <w:rPr>
          <w:rFonts w:ascii="Arial" w:cs="Arial" w:eastAsia="Arial" w:hAnsi="Arial"/>
          <w:sz w:val="13"/>
          <w:szCs w:val="13"/>
          <w:color w:val="auto"/>
        </w:rPr>
        <w:t>208 of the UCC in effect in the relevant jurisdiction covering only the items being collected upon;</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Liens arising out of Sale and Leaseback Transactions permitted by Section 6.06;</w:t>
      </w:r>
    </w:p>
    <w:p>
      <w:pPr>
        <w:spacing w:after="0" w:line="124" w:lineRule="exact"/>
        <w:rPr>
          <w:rFonts w:ascii="Arial" w:cs="Arial" w:eastAsia="Arial" w:hAnsi="Arial"/>
          <w:sz w:val="13"/>
          <w:szCs w:val="13"/>
          <w:color w:val="010000"/>
        </w:rPr>
      </w:pPr>
    </w:p>
    <w:p>
      <w:pPr>
        <w:ind w:left="1200" w:hanging="201"/>
        <w:spacing w:after="0"/>
        <w:tabs>
          <w:tab w:leader="none" w:pos="1200" w:val="left"/>
        </w:tabs>
        <w:numPr>
          <w:ilvl w:val="0"/>
          <w:numId w:val="126"/>
        </w:numPr>
        <w:rPr>
          <w:rFonts w:ascii="Arial" w:cs="Arial" w:eastAsia="Arial" w:hAnsi="Arial"/>
          <w:sz w:val="12"/>
          <w:szCs w:val="12"/>
          <w:color w:val="010000"/>
        </w:rPr>
      </w:pPr>
      <w:r>
        <w:rPr>
          <w:rFonts w:ascii="Arial" w:cs="Arial" w:eastAsia="Arial" w:hAnsi="Arial"/>
          <w:sz w:val="12"/>
          <w:szCs w:val="12"/>
          <w:color w:val="auto"/>
        </w:rPr>
        <w:t>Liens granted by a Subsidiary that is not a Loan Party in favor of the Borrower or another Loan Party in respect of Indebtedness owed by such</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Subsidiary;</w:t>
      </w:r>
    </w:p>
    <w:p>
      <w:pPr>
        <w:spacing w:after="0" w:line="112" w:lineRule="exact"/>
        <w:rPr>
          <w:rFonts w:ascii="Arial" w:cs="Arial" w:eastAsia="Arial" w:hAnsi="Arial"/>
          <w:sz w:val="12"/>
          <w:szCs w:val="12"/>
          <w:color w:val="010000"/>
        </w:rPr>
      </w:pPr>
    </w:p>
    <w:p>
      <w:pPr>
        <w:ind w:left="1180" w:hanging="181"/>
        <w:spacing w:after="0"/>
        <w:tabs>
          <w:tab w:leader="none" w:pos="1180"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non-exclusive licenses of intellectual property granted to third parties in the ordinary course of business;</w:t>
      </w:r>
    </w:p>
    <w:p>
      <w:pPr>
        <w:spacing w:after="0" w:line="124" w:lineRule="exact"/>
        <w:rPr>
          <w:rFonts w:ascii="Arial" w:cs="Arial" w:eastAsia="Arial" w:hAnsi="Arial"/>
          <w:sz w:val="13"/>
          <w:szCs w:val="13"/>
          <w:color w:val="010000"/>
        </w:rPr>
      </w:pPr>
    </w:p>
    <w:p>
      <w:pPr>
        <w:ind w:left="1180" w:hanging="181"/>
        <w:spacing w:after="0"/>
        <w:tabs>
          <w:tab w:leader="none" w:pos="1180"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leasing or licensing of Inventory to third parties in the ordinary course of business; and</w:t>
      </w:r>
    </w:p>
    <w:p>
      <w:pPr>
        <w:spacing w:after="0" w:line="124" w:lineRule="exact"/>
        <w:rPr>
          <w:rFonts w:ascii="Arial" w:cs="Arial" w:eastAsia="Arial" w:hAnsi="Arial"/>
          <w:sz w:val="13"/>
          <w:szCs w:val="13"/>
          <w:color w:val="010000"/>
        </w:rPr>
      </w:pPr>
    </w:p>
    <w:p>
      <w:pPr>
        <w:ind w:left="560" w:right="759" w:firstLine="439"/>
        <w:spacing w:after="0" w:line="473" w:lineRule="auto"/>
        <w:tabs>
          <w:tab w:leader="none" w:pos="1199"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 xml:space="preserve">Liens in favor of Qualified Factors on Qualified Factor Accounts arising pursuant to any Permitted Receivables Financing Program. </w:t>
      </w:r>
      <w:r>
        <w:rPr>
          <w:rFonts w:ascii="Arial" w:cs="Arial" w:eastAsia="Arial" w:hAnsi="Arial"/>
          <w:sz w:val="13"/>
          <w:szCs w:val="13"/>
          <w:color w:val="010000"/>
        </w:rPr>
        <w:t xml:space="preserve">SECTION 6.03 </w:t>
      </w:r>
      <w:r>
        <w:rPr>
          <w:rFonts w:ascii="Arial" w:cs="Arial" w:eastAsia="Arial" w:hAnsi="Arial"/>
          <w:sz w:val="13"/>
          <w:szCs w:val="13"/>
          <w:u w:val="single" w:color="auto"/>
          <w:color w:val="000000"/>
        </w:rPr>
        <w:t>Fundamental Changes</w:t>
      </w:r>
      <w:r>
        <w:rPr>
          <w:rFonts w:ascii="Arial" w:cs="Arial" w:eastAsia="Arial" w:hAnsi="Arial"/>
          <w:sz w:val="13"/>
          <w:szCs w:val="13"/>
          <w:color w:val="000000"/>
        </w:rPr>
        <w:t>.</w:t>
      </w:r>
    </w:p>
    <w:p>
      <w:pPr>
        <w:spacing w:after="0" w:line="149" w:lineRule="exact"/>
        <w:rPr>
          <w:sz w:val="20"/>
          <w:szCs w:val="20"/>
          <w:color w:val="auto"/>
        </w:rPr>
      </w:pPr>
    </w:p>
    <w:p>
      <w:pPr>
        <w:jc w:val="both"/>
        <w:ind w:left="120" w:right="119" w:firstLine="879"/>
        <w:spacing w:after="0" w:line="214" w:lineRule="auto"/>
        <w:tabs>
          <w:tab w:leader="none" w:pos="1189" w:val="left"/>
        </w:tabs>
        <w:numPr>
          <w:ilvl w:val="0"/>
          <w:numId w:val="127"/>
        </w:numPr>
        <w:rPr>
          <w:rFonts w:ascii="Arial" w:cs="Arial" w:eastAsia="Arial" w:hAnsi="Arial"/>
          <w:sz w:val="13"/>
          <w:szCs w:val="13"/>
          <w:color w:val="010000"/>
        </w:rPr>
      </w:pPr>
      <w:r>
        <w:rPr>
          <w:rFonts w:ascii="Arial" w:cs="Arial" w:eastAsia="Arial" w:hAnsi="Arial"/>
          <w:sz w:val="13"/>
          <w:szCs w:val="13"/>
          <w:color w:val="auto"/>
        </w:rPr>
        <w:t>No Loan Party will, nor will it permit any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Loan Party (other than the Borrower) may merge into any other Loan Party in a transaction in which the surviving entity is a Loan Party, (iii) any Subsidiary that is not a Loan Party may merge into a Loan Party so long as such Loan Party is the surviving entity, (iv) any Subsidiary may merge into a Person that is not a Loan Party if after giving effect to such merger, such Person becomes a wholly-owned Subsidiary of the Borrower and a Loan Party in accordance with Section .14 below and if such merger constitutes a Permitted Acquisition, and (v) any Subsidiary that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26" w:name="page127"/>
    <w:bookmarkEnd w:id="126"/>
    <w:p>
      <w:pPr>
        <w:jc w:val="both"/>
        <w:ind w:left="120" w:right="119"/>
        <w:spacing w:after="0" w:line="228" w:lineRule="auto"/>
        <w:rPr>
          <w:sz w:val="20"/>
          <w:szCs w:val="20"/>
          <w:color w:val="auto"/>
        </w:rPr>
      </w:pPr>
      <w:r>
        <w:rPr>
          <w:rFonts w:ascii="Arial" w:cs="Arial" w:eastAsia="Arial" w:hAnsi="Arial"/>
          <w:sz w:val="13"/>
          <w:szCs w:val="13"/>
          <w:color w:val="auto"/>
        </w:rPr>
        <w:t xml:space="preserve">is not a Loan Party may liquidate or dissolve if the Borrower determines in good faith that such liquidation or dissolution is in the best interests of the Borrower and is not materially disadvantageous to the Lenders;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merger involving a Person that is not a wholly owned Subsidiary immediately prior to such merger shall not be permitted unless also permitted by Section 6.04.</w:t>
      </w:r>
    </w:p>
    <w:p>
      <w:pPr>
        <w:spacing w:after="0" w:line="103" w:lineRule="exact"/>
        <w:rPr>
          <w:sz w:val="20"/>
          <w:szCs w:val="20"/>
          <w:color w:val="auto"/>
        </w:rPr>
      </w:pPr>
    </w:p>
    <w:p>
      <w:pPr>
        <w:ind w:left="120" w:right="119" w:firstLine="879"/>
        <w:spacing w:after="0" w:line="239" w:lineRule="auto"/>
        <w:tabs>
          <w:tab w:leader="none" w:pos="1197" w:val="left"/>
        </w:tabs>
        <w:numPr>
          <w:ilvl w:val="0"/>
          <w:numId w:val="128"/>
        </w:numPr>
        <w:rPr>
          <w:rFonts w:ascii="Arial" w:cs="Arial" w:eastAsia="Arial" w:hAnsi="Arial"/>
          <w:sz w:val="13"/>
          <w:szCs w:val="13"/>
          <w:color w:val="010000"/>
        </w:rPr>
      </w:pPr>
      <w:r>
        <w:rPr>
          <w:rFonts w:ascii="Arial" w:cs="Arial" w:eastAsia="Arial" w:hAnsi="Arial"/>
          <w:sz w:val="13"/>
          <w:szCs w:val="13"/>
          <w:color w:val="auto"/>
        </w:rPr>
        <w:t>No Loan Party will, nor will it permit any Subsidiary to, engage in any business other than businesses of the type conducted by the Borrower and its Subsidiaries on the date hereof and businesses reasonably related thereto.</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28"/>
        </w:numPr>
        <w:rPr>
          <w:rFonts w:ascii="Arial" w:cs="Arial" w:eastAsia="Arial" w:hAnsi="Arial"/>
          <w:sz w:val="12"/>
          <w:szCs w:val="12"/>
          <w:color w:val="010000"/>
        </w:rPr>
      </w:pPr>
      <w:r>
        <w:rPr>
          <w:rFonts w:ascii="Arial" w:cs="Arial" w:eastAsia="Arial" w:hAnsi="Arial"/>
          <w:sz w:val="12"/>
          <w:szCs w:val="12"/>
          <w:color w:val="auto"/>
        </w:rPr>
        <w:t>No Loan Party will, nor will it permit any Subsidiary to change its fiscal year or any fiscal quarter from the basis in effect on the Effective</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Date.</w:t>
      </w:r>
    </w:p>
    <w:p>
      <w:pPr>
        <w:spacing w:after="0" w:line="112" w:lineRule="exact"/>
        <w:rPr>
          <w:rFonts w:ascii="Arial" w:cs="Arial" w:eastAsia="Arial" w:hAnsi="Arial"/>
          <w:sz w:val="12"/>
          <w:szCs w:val="12"/>
          <w:color w:val="010000"/>
        </w:rPr>
      </w:pPr>
    </w:p>
    <w:p>
      <w:pPr>
        <w:ind w:left="1200" w:hanging="201"/>
        <w:spacing w:after="0"/>
        <w:tabs>
          <w:tab w:leader="none" w:pos="1200" w:val="left"/>
        </w:tabs>
        <w:numPr>
          <w:ilvl w:val="0"/>
          <w:numId w:val="128"/>
        </w:numPr>
        <w:rPr>
          <w:rFonts w:ascii="Arial" w:cs="Arial" w:eastAsia="Arial" w:hAnsi="Arial"/>
          <w:sz w:val="13"/>
          <w:szCs w:val="13"/>
          <w:color w:val="010000"/>
        </w:rPr>
      </w:pPr>
      <w:r>
        <w:rPr>
          <w:rFonts w:ascii="Arial" w:cs="Arial" w:eastAsia="Arial" w:hAnsi="Arial"/>
          <w:sz w:val="13"/>
          <w:szCs w:val="13"/>
          <w:color w:val="auto"/>
        </w:rPr>
        <w:t>No Loan Party will change the accounting basis upon which its financial statements are prepared.</w:t>
      </w:r>
    </w:p>
    <w:p>
      <w:pPr>
        <w:spacing w:after="0" w:line="124" w:lineRule="exact"/>
        <w:rPr>
          <w:rFonts w:ascii="Arial" w:cs="Arial" w:eastAsia="Arial" w:hAnsi="Arial"/>
          <w:sz w:val="13"/>
          <w:szCs w:val="13"/>
          <w:color w:val="010000"/>
        </w:rPr>
      </w:pPr>
    </w:p>
    <w:p>
      <w:pPr>
        <w:ind w:left="1200" w:hanging="201"/>
        <w:spacing w:after="0"/>
        <w:tabs>
          <w:tab w:leader="none" w:pos="1200" w:val="left"/>
        </w:tabs>
        <w:numPr>
          <w:ilvl w:val="0"/>
          <w:numId w:val="128"/>
        </w:numPr>
        <w:rPr>
          <w:rFonts w:ascii="Arial" w:cs="Arial" w:eastAsia="Arial" w:hAnsi="Arial"/>
          <w:sz w:val="13"/>
          <w:szCs w:val="13"/>
          <w:color w:val="010000"/>
        </w:rPr>
      </w:pPr>
      <w:r>
        <w:rPr>
          <w:rFonts w:ascii="Arial" w:cs="Arial" w:eastAsia="Arial" w:hAnsi="Arial"/>
          <w:sz w:val="13"/>
          <w:szCs w:val="13"/>
          <w:color w:val="auto"/>
        </w:rPr>
        <w:t>No Loan Party will change the tax filing elections it has made under the Code.</w:t>
      </w:r>
    </w:p>
    <w:p>
      <w:pPr>
        <w:spacing w:after="0" w:line="124" w:lineRule="exact"/>
        <w:rPr>
          <w:sz w:val="20"/>
          <w:szCs w:val="20"/>
          <w:color w:val="auto"/>
        </w:rPr>
      </w:pPr>
    </w:p>
    <w:p>
      <w:pPr>
        <w:ind w:left="120" w:right="119" w:firstLine="438"/>
        <w:spacing w:after="0" w:line="228" w:lineRule="auto"/>
        <w:rPr>
          <w:sz w:val="20"/>
          <w:szCs w:val="20"/>
          <w:color w:val="auto"/>
        </w:rPr>
      </w:pPr>
      <w:r>
        <w:rPr>
          <w:rFonts w:ascii="Arial" w:cs="Arial" w:eastAsia="Arial" w:hAnsi="Arial"/>
          <w:sz w:val="13"/>
          <w:szCs w:val="13"/>
          <w:color w:val="010000"/>
        </w:rPr>
        <w:t xml:space="preserve">SECTION 6.04 </w:t>
      </w:r>
      <w:r>
        <w:rPr>
          <w:rFonts w:ascii="Arial" w:cs="Arial" w:eastAsia="Arial" w:hAnsi="Arial"/>
          <w:sz w:val="13"/>
          <w:szCs w:val="13"/>
          <w:u w:val="single" w:color="auto"/>
          <w:color w:val="000000"/>
        </w:rPr>
        <w:t>Investments, Loans, Advances, Guarantees and Acquisitions</w:t>
      </w:r>
      <w:r>
        <w:rPr>
          <w:rFonts w:ascii="Arial" w:cs="Arial" w:eastAsia="Arial" w:hAnsi="Arial"/>
          <w:sz w:val="13"/>
          <w:szCs w:val="13"/>
          <w:color w:val="000000"/>
        </w:rPr>
        <w:t>. No Loan Party will, nor will it permit any Subsidiary to, form any subsidiary</w:t>
      </w:r>
      <w:r>
        <w:rPr>
          <w:rFonts w:ascii="Arial" w:cs="Arial" w:eastAsia="Arial" w:hAnsi="Arial"/>
          <w:sz w:val="13"/>
          <w:szCs w:val="13"/>
          <w:color w:val="010000"/>
        </w:rPr>
        <w:t xml:space="preserve"> </w:t>
      </w:r>
      <w:r>
        <w:rPr>
          <w:rFonts w:ascii="Arial" w:cs="Arial" w:eastAsia="Arial" w:hAnsi="Arial"/>
          <w:sz w:val="13"/>
          <w:szCs w:val="13"/>
          <w:color w:val="000000"/>
        </w:rPr>
        <w:t>after the Effective Date, or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297" w:lineRule="exact"/>
        <w:rPr>
          <w:sz w:val="20"/>
          <w:szCs w:val="20"/>
          <w:color w:val="auto"/>
        </w:rPr>
      </w:pPr>
    </w:p>
    <w:p>
      <w:pPr>
        <w:ind w:left="120" w:right="119" w:firstLine="879"/>
        <w:spacing w:after="0" w:line="239" w:lineRule="auto"/>
        <w:tabs>
          <w:tab w:leader="none" w:pos="1189" w:val="left"/>
        </w:tabs>
        <w:numPr>
          <w:ilvl w:val="0"/>
          <w:numId w:val="129"/>
        </w:numPr>
        <w:rPr>
          <w:rFonts w:ascii="Arial" w:cs="Arial" w:eastAsia="Arial" w:hAnsi="Arial"/>
          <w:sz w:val="13"/>
          <w:szCs w:val="13"/>
          <w:color w:val="010000"/>
        </w:rPr>
      </w:pPr>
      <w:r>
        <w:rPr>
          <w:rFonts w:ascii="Arial" w:cs="Arial" w:eastAsia="Arial" w:hAnsi="Arial"/>
          <w:sz w:val="13"/>
          <w:szCs w:val="13"/>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29"/>
        </w:numPr>
        <w:rPr>
          <w:rFonts w:ascii="Arial" w:cs="Arial" w:eastAsia="Arial" w:hAnsi="Arial"/>
          <w:sz w:val="13"/>
          <w:szCs w:val="13"/>
          <w:color w:val="010000"/>
        </w:rPr>
      </w:pPr>
      <w:r>
        <w:rPr>
          <w:rFonts w:ascii="Arial" w:cs="Arial" w:eastAsia="Arial" w:hAnsi="Arial"/>
          <w:sz w:val="13"/>
          <w:szCs w:val="13"/>
          <w:color w:val="auto"/>
        </w:rPr>
        <w:t xml:space="preserve">investments in existence on the date hereof and described in </w:t>
      </w:r>
      <w:r>
        <w:rPr>
          <w:rFonts w:ascii="Arial" w:cs="Arial" w:eastAsia="Arial" w:hAnsi="Arial"/>
          <w:sz w:val="13"/>
          <w:szCs w:val="13"/>
          <w:u w:val="single" w:color="auto"/>
          <w:color w:val="auto"/>
        </w:rPr>
        <w:t>Schedule 6.04</w:t>
      </w:r>
      <w:r>
        <w:rPr>
          <w:rFonts w:ascii="Arial" w:cs="Arial" w:eastAsia="Arial" w:hAnsi="Arial"/>
          <w:sz w:val="13"/>
          <w:szCs w:val="13"/>
          <w:color w:val="auto"/>
        </w:rPr>
        <w:t>;</w:t>
      </w:r>
    </w:p>
    <w:p>
      <w:pPr>
        <w:spacing w:after="0" w:line="124"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129"/>
        </w:numPr>
        <w:rPr>
          <w:rFonts w:ascii="Arial" w:cs="Arial" w:eastAsia="Arial" w:hAnsi="Arial"/>
          <w:sz w:val="13"/>
          <w:szCs w:val="13"/>
          <w:color w:val="010000"/>
        </w:rPr>
      </w:pPr>
      <w:r>
        <w:rPr>
          <w:rFonts w:ascii="Arial" w:cs="Arial" w:eastAsia="Arial" w:hAnsi="Arial"/>
          <w:sz w:val="13"/>
          <w:szCs w:val="13"/>
          <w:color w:val="auto"/>
        </w:rPr>
        <w:t xml:space="preserve">investments by the Borrower and the Subsidiaries in Equity Interests in their respective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any such Equity Interests held by a Loan Party shall be pledged pursuant to the Security Agreement (subject to the limitations applicable to Equity Interests of a Foreign Subsidiary referred to in Section 5.14) and (ii) the aggregate amount of investments by Loan Parties in Subsidiaries that are not Loan Parties shall not exceed $1,000,000 at any time outstanding (in each case determined net of any returns on capital but without regard to any write-downs or write-offs);</w:t>
      </w:r>
    </w:p>
    <w:p>
      <w:pPr>
        <w:spacing w:after="0" w:line="103" w:lineRule="exact"/>
        <w:rPr>
          <w:rFonts w:ascii="Arial" w:cs="Arial" w:eastAsia="Arial" w:hAnsi="Arial"/>
          <w:sz w:val="13"/>
          <w:szCs w:val="13"/>
          <w:color w:val="010000"/>
        </w:rPr>
      </w:pPr>
    </w:p>
    <w:p>
      <w:pPr>
        <w:jc w:val="both"/>
        <w:ind w:left="120" w:right="119" w:firstLine="879"/>
        <w:spacing w:after="0" w:line="218" w:lineRule="auto"/>
        <w:tabs>
          <w:tab w:leader="none" w:pos="1197" w:val="left"/>
        </w:tabs>
        <w:numPr>
          <w:ilvl w:val="0"/>
          <w:numId w:val="129"/>
        </w:numPr>
        <w:rPr>
          <w:rFonts w:ascii="Arial" w:cs="Arial" w:eastAsia="Arial" w:hAnsi="Arial"/>
          <w:sz w:val="13"/>
          <w:szCs w:val="13"/>
          <w:color w:val="010000"/>
        </w:rPr>
      </w:pPr>
      <w:r>
        <w:rPr>
          <w:rFonts w:ascii="Arial" w:cs="Arial" w:eastAsia="Arial" w:hAnsi="Arial"/>
          <w:sz w:val="13"/>
          <w:szCs w:val="13"/>
          <w:color w:val="auto"/>
        </w:rPr>
        <w:t xml:space="preserve">loans or advances made by any Loan Party to any Subsidiary and made by any Subsidiary to a Loan Party or any other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to the extent any such loans and advances made by a Loan Party is evidenced by a promissory note, such promissory note shall be pledged pursuant to the Security Agreement and (ii) the amount of such loans and advances made by Loan Parties to Subsidiaries that are not Loan Parties (together with outstanding Guarantees permitted under the proviso of Section 6.04(e)) shall not exceed $1,000,000 at any time outstanding (in each case determined net of any cash payments of principal thereon but without regard to any write-downs or write-offs);</w:t>
      </w:r>
    </w:p>
    <w:p>
      <w:pPr>
        <w:spacing w:after="0" w:line="105" w:lineRule="exact"/>
        <w:rPr>
          <w:rFonts w:ascii="Arial" w:cs="Arial" w:eastAsia="Arial" w:hAnsi="Arial"/>
          <w:sz w:val="13"/>
          <w:szCs w:val="13"/>
          <w:color w:val="010000"/>
        </w:rPr>
      </w:pPr>
    </w:p>
    <w:p>
      <w:pPr>
        <w:ind w:left="120" w:right="119" w:firstLine="879"/>
        <w:spacing w:after="0" w:line="279" w:lineRule="auto"/>
        <w:tabs>
          <w:tab w:leader="none" w:pos="1189" w:val="left"/>
        </w:tabs>
        <w:numPr>
          <w:ilvl w:val="0"/>
          <w:numId w:val="129"/>
        </w:numPr>
        <w:rPr>
          <w:rFonts w:ascii="Arial" w:cs="Arial" w:eastAsia="Arial" w:hAnsi="Arial"/>
          <w:sz w:val="12"/>
          <w:szCs w:val="12"/>
          <w:color w:val="010000"/>
        </w:rPr>
      </w:pPr>
      <w:r>
        <w:rPr>
          <w:rFonts w:ascii="Arial" w:cs="Arial" w:eastAsia="Arial" w:hAnsi="Arial"/>
          <w:sz w:val="12"/>
          <w:szCs w:val="12"/>
          <w:color w:val="auto"/>
        </w:rPr>
        <w:t xml:space="preserve">Guarantees constituting Indebtedness permitted by Section 6.01,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principal amount of Indebtedness of Subsidiaries that are not Loan Parties that is Guaranteed by any Loan Party (together with outstanding intercompany loans permitted under clause (ii) of the proviso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27" w:name="page128"/>
    <w:bookmarkEnd w:id="127"/>
    <w:p>
      <w:pPr>
        <w:ind w:left="120"/>
        <w:spacing w:after="0"/>
        <w:rPr>
          <w:sz w:val="20"/>
          <w:szCs w:val="20"/>
          <w:color w:val="auto"/>
        </w:rPr>
      </w:pPr>
      <w:r>
        <w:rPr>
          <w:rFonts w:ascii="Arial" w:cs="Arial" w:eastAsia="Arial" w:hAnsi="Arial"/>
          <w:sz w:val="13"/>
          <w:szCs w:val="13"/>
          <w:color w:val="auto"/>
        </w:rPr>
        <w:t>Section 6.04(d)) shall not exceed $1,000,000 at any time outstanding (in each case determined without regard to any write-downs or write-offs);</w:t>
      </w:r>
    </w:p>
    <w:p>
      <w:pPr>
        <w:spacing w:after="0" w:line="124" w:lineRule="exact"/>
        <w:rPr>
          <w:sz w:val="20"/>
          <w:szCs w:val="20"/>
          <w:color w:val="auto"/>
        </w:rPr>
      </w:pPr>
    </w:p>
    <w:p>
      <w:pPr>
        <w:jc w:val="both"/>
        <w:ind w:left="120" w:right="119" w:firstLine="879"/>
        <w:spacing w:after="0" w:line="228" w:lineRule="auto"/>
        <w:tabs>
          <w:tab w:leader="none" w:pos="1175"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loans or advances made by a Loan Party to its employees on an arms-length basis in the ordinary course of business consistent with past practices for travel and entertainment expenses, relocation costs and similar purposes up to a maximum of $250,000 in the aggregate at any one time outstanding;</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investments in the form of Swap Agreements permitted by Section 6.07;</w:t>
      </w:r>
    </w:p>
    <w:p>
      <w:pPr>
        <w:spacing w:after="0" w:line="124" w:lineRule="exact"/>
        <w:rPr>
          <w:rFonts w:ascii="Arial" w:cs="Arial" w:eastAsia="Arial" w:hAnsi="Arial"/>
          <w:sz w:val="13"/>
          <w:szCs w:val="13"/>
          <w:color w:val="010000"/>
        </w:rPr>
      </w:pPr>
    </w:p>
    <w:p>
      <w:pPr>
        <w:jc w:val="both"/>
        <w:ind w:left="120" w:right="119" w:firstLine="879"/>
        <w:spacing w:after="0" w:line="228" w:lineRule="auto"/>
        <w:tabs>
          <w:tab w:leader="none" w:pos="1167"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02" w:lineRule="exact"/>
        <w:rPr>
          <w:rFonts w:ascii="Arial" w:cs="Arial" w:eastAsia="Arial" w:hAnsi="Arial"/>
          <w:sz w:val="13"/>
          <w:szCs w:val="13"/>
          <w:color w:val="010000"/>
        </w:rPr>
      </w:pPr>
    </w:p>
    <w:p>
      <w:pPr>
        <w:ind w:left="1180" w:hanging="181"/>
        <w:spacing w:after="0"/>
        <w:tabs>
          <w:tab w:leader="none" w:pos="1180"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investments received in connection with the disposition of assets permitted by Section 6.05;</w:t>
      </w:r>
    </w:p>
    <w:p>
      <w:pPr>
        <w:spacing w:after="0" w:line="124" w:lineRule="exact"/>
        <w:rPr>
          <w:rFonts w:ascii="Arial" w:cs="Arial" w:eastAsia="Arial" w:hAnsi="Arial"/>
          <w:sz w:val="13"/>
          <w:szCs w:val="13"/>
          <w:color w:val="010000"/>
        </w:rPr>
      </w:pPr>
    </w:p>
    <w:p>
      <w:pPr>
        <w:ind w:left="1200" w:hanging="201"/>
        <w:spacing w:after="0"/>
        <w:tabs>
          <w:tab w:leader="none" w:pos="1200"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investments constituting deposits described in clauses (c) and (d) of the definition of the term “Permitted Encumbrances”;</w:t>
      </w:r>
    </w:p>
    <w:p>
      <w:pPr>
        <w:spacing w:after="0" w:line="124" w:lineRule="exact"/>
        <w:rPr>
          <w:rFonts w:ascii="Arial" w:cs="Arial" w:eastAsia="Arial" w:hAnsi="Arial"/>
          <w:sz w:val="13"/>
          <w:szCs w:val="13"/>
          <w:color w:val="010000"/>
        </w:rPr>
      </w:pPr>
    </w:p>
    <w:p>
      <w:pPr>
        <w:ind w:left="120" w:right="119" w:firstLine="879"/>
        <w:spacing w:after="0" w:line="279" w:lineRule="auto"/>
        <w:tabs>
          <w:tab w:leader="none" w:pos="1167" w:val="left"/>
        </w:tabs>
        <w:numPr>
          <w:ilvl w:val="0"/>
          <w:numId w:val="130"/>
        </w:numPr>
        <w:rPr>
          <w:rFonts w:ascii="Arial" w:cs="Arial" w:eastAsia="Arial" w:hAnsi="Arial"/>
          <w:sz w:val="12"/>
          <w:szCs w:val="12"/>
          <w:color w:val="010000"/>
        </w:rPr>
      </w:pPr>
      <w:r>
        <w:rPr>
          <w:rFonts w:ascii="Arial" w:cs="Arial" w:eastAsia="Arial" w:hAnsi="Arial"/>
          <w:sz w:val="12"/>
          <w:szCs w:val="12"/>
          <w:color w:val="auto"/>
        </w:rPr>
        <w:t>customary Guarantees in connection with asset sales and other asset dispositions permitted hereunder and in connection with operating leases permitted hereunder (but not with respect of Indebtedness), including indemnification obligations and parent guarantees with respect to such leases; and</w:t>
      </w:r>
    </w:p>
    <w:p>
      <w:pPr>
        <w:spacing w:after="0" w:line="80" w:lineRule="exact"/>
        <w:rPr>
          <w:rFonts w:ascii="Arial" w:cs="Arial" w:eastAsia="Arial" w:hAnsi="Arial"/>
          <w:sz w:val="12"/>
          <w:szCs w:val="12"/>
          <w:color w:val="010000"/>
        </w:rPr>
      </w:pPr>
    </w:p>
    <w:p>
      <w:pPr>
        <w:ind w:left="1240" w:hanging="241"/>
        <w:spacing w:after="0"/>
        <w:tabs>
          <w:tab w:leader="none" w:pos="1240" w:val="left"/>
        </w:tabs>
        <w:numPr>
          <w:ilvl w:val="0"/>
          <w:numId w:val="130"/>
        </w:numPr>
        <w:rPr>
          <w:rFonts w:ascii="Arial" w:cs="Arial" w:eastAsia="Arial" w:hAnsi="Arial"/>
          <w:sz w:val="13"/>
          <w:szCs w:val="13"/>
          <w:color w:val="010000"/>
        </w:rPr>
      </w:pPr>
      <w:r>
        <w:rPr>
          <w:rFonts w:ascii="Arial" w:cs="Arial" w:eastAsia="Arial" w:hAnsi="Arial"/>
          <w:sz w:val="13"/>
          <w:szCs w:val="13"/>
          <w:color w:val="auto"/>
        </w:rPr>
        <w:t>Permitted Acquisitions.</w:t>
      </w:r>
    </w:p>
    <w:p>
      <w:pPr>
        <w:spacing w:after="0" w:line="124" w:lineRule="exact"/>
        <w:rPr>
          <w:sz w:val="20"/>
          <w:szCs w:val="20"/>
          <w:color w:val="auto"/>
        </w:rPr>
      </w:pPr>
    </w:p>
    <w:p>
      <w:pPr>
        <w:jc w:val="both"/>
        <w:ind w:left="120" w:right="239" w:firstLine="438"/>
        <w:spacing w:after="0" w:line="237" w:lineRule="auto"/>
        <w:rPr>
          <w:sz w:val="20"/>
          <w:szCs w:val="20"/>
          <w:color w:val="auto"/>
        </w:rPr>
      </w:pPr>
      <w:r>
        <w:rPr>
          <w:rFonts w:ascii="Arial" w:cs="Arial" w:eastAsia="Arial" w:hAnsi="Arial"/>
          <w:sz w:val="13"/>
          <w:szCs w:val="13"/>
          <w:color w:val="010000"/>
        </w:rPr>
        <w:t xml:space="preserve">SECTION 6.05 </w:t>
      </w:r>
      <w:r>
        <w:rPr>
          <w:rFonts w:ascii="Arial" w:cs="Arial" w:eastAsia="Arial" w:hAnsi="Arial"/>
          <w:sz w:val="13"/>
          <w:szCs w:val="13"/>
          <w:u w:val="single" w:color="auto"/>
          <w:color w:val="000000"/>
        </w:rPr>
        <w:t>Asset Sales</w:t>
      </w:r>
      <w:r>
        <w:rPr>
          <w:rFonts w:ascii="Arial" w:cs="Arial" w:eastAsia="Arial" w:hAnsi="Arial"/>
          <w:sz w:val="13"/>
          <w:szCs w:val="13"/>
          <w:color w:val="000000"/>
        </w:rPr>
        <w:t>. No Loan Party will, nor will it permit any Subsidiary to, sell, transfer, lease or otherwise dispose of any asset, including any</w:t>
      </w:r>
      <w:r>
        <w:rPr>
          <w:rFonts w:ascii="Arial" w:cs="Arial" w:eastAsia="Arial" w:hAnsi="Arial"/>
          <w:sz w:val="13"/>
          <w:szCs w:val="13"/>
          <w:color w:val="010000"/>
        </w:rPr>
        <w:t xml:space="preserve"> </w:t>
      </w:r>
      <w:r>
        <w:rPr>
          <w:rFonts w:ascii="Arial" w:cs="Arial" w:eastAsia="Arial" w:hAnsi="Arial"/>
          <w:sz w:val="13"/>
          <w:szCs w:val="13"/>
          <w:color w:val="000000"/>
        </w:rPr>
        <w:t xml:space="preserve">Equity Interest owned by it, nor will the Borrower permit any Subsidiary to issue any additional Equity Interest in such Subsidiary (other than to the Borrower or another Subsidiary in compliance with </w:t>
      </w:r>
      <w:r>
        <w:rPr>
          <w:rFonts w:ascii="Arial" w:cs="Arial" w:eastAsia="Arial" w:hAnsi="Arial"/>
          <w:sz w:val="13"/>
          <w:szCs w:val="13"/>
          <w:u w:val="single" w:color="auto"/>
          <w:color w:val="000000"/>
        </w:rPr>
        <w:t>Section 6.03 or Section 6.04), except:</w:t>
      </w:r>
    </w:p>
    <w:p>
      <w:pPr>
        <w:spacing w:after="0" w:line="296" w:lineRule="exact"/>
        <w:rPr>
          <w:sz w:val="20"/>
          <w:szCs w:val="20"/>
          <w:color w:val="auto"/>
        </w:rPr>
      </w:pPr>
    </w:p>
    <w:p>
      <w:pPr>
        <w:jc w:val="both"/>
        <w:ind w:left="120" w:right="119" w:firstLine="879"/>
        <w:spacing w:after="0" w:line="228" w:lineRule="auto"/>
        <w:tabs>
          <w:tab w:leader="none" w:pos="1189"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(i) sales, transfers, lease and dispositions of Inventory in the ordinary course of business; (ii) sales, transfers, lease and dispositions of used, obsolete, worn out or surplus Equipment or property in the ordinary course of business and (iii) non-exclusive licenses and similar arrangements for the use of the assets or property of Borrower or its Subsidiaries in the ordinary course of business;</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 xml:space="preserve">sales, transfers and dispositions of assets to the Borrower or any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sales, transfers or dispositions involving a Subsidiary that is not a Loan Party shall be made in compliance with Section 6.09;</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sales, transfers and dispositions of Accounts (excluding sales or dispositions in a factoring arrangement) in connection with the compromise, settlement or collection thereof;</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sales, transfers and dispositions of Permitted Investments;</w:t>
      </w:r>
    </w:p>
    <w:p>
      <w:pPr>
        <w:spacing w:after="0" w:line="124" w:lineRule="exact"/>
        <w:rPr>
          <w:rFonts w:ascii="Arial" w:cs="Arial" w:eastAsia="Arial" w:hAnsi="Arial"/>
          <w:sz w:val="13"/>
          <w:szCs w:val="13"/>
          <w:color w:val="010000"/>
        </w:rPr>
      </w:pPr>
    </w:p>
    <w:p>
      <w:pPr>
        <w:ind w:left="1200" w:hanging="201"/>
        <w:spacing w:after="0"/>
        <w:tabs>
          <w:tab w:leader="none" w:pos="1200"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Sale and Leaseback Transactions permitted by Section 6.06;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28" w:name="page129"/>
    <w:bookmarkEnd w:id="128"/>
    <w:p>
      <w:pPr>
        <w:ind w:left="120" w:right="119" w:firstLine="879"/>
        <w:spacing w:after="0" w:line="239" w:lineRule="auto"/>
        <w:tabs>
          <w:tab w:leader="none" w:pos="1175" w:val="left"/>
        </w:tabs>
        <w:numPr>
          <w:ilvl w:val="0"/>
          <w:numId w:val="132"/>
        </w:numPr>
        <w:rPr>
          <w:rFonts w:ascii="Arial" w:cs="Arial" w:eastAsia="Arial" w:hAnsi="Arial"/>
          <w:sz w:val="13"/>
          <w:szCs w:val="13"/>
          <w:color w:val="010000"/>
        </w:rPr>
      </w:pPr>
      <w:r>
        <w:rPr>
          <w:rFonts w:ascii="Arial" w:cs="Arial" w:eastAsia="Arial" w:hAnsi="Arial"/>
          <w:sz w:val="13"/>
          <w:szCs w:val="13"/>
          <w:color w:val="auto"/>
        </w:rPr>
        <w:t>dispositions resulting from any casualty or other insured damage to, or any taking under power of eminent domain or by condemnation or similar proceeding of, any property or asset of the Borrower or any Subsidiary;</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32"/>
        </w:numPr>
        <w:rPr>
          <w:rFonts w:ascii="Arial" w:cs="Arial" w:eastAsia="Arial" w:hAnsi="Arial"/>
          <w:sz w:val="13"/>
          <w:szCs w:val="13"/>
          <w:color w:val="010000"/>
        </w:rPr>
      </w:pPr>
      <w:r>
        <w:rPr>
          <w:rFonts w:ascii="Arial" w:cs="Arial" w:eastAsia="Arial" w:hAnsi="Arial"/>
          <w:sz w:val="13"/>
          <w:szCs w:val="13"/>
          <w:color w:val="auto"/>
        </w:rPr>
        <w:t>dispositions of Qualified Factor Accounts pursuant to Permitted Receivables Financing Programs; and</w:t>
      </w:r>
    </w:p>
    <w:p>
      <w:pPr>
        <w:spacing w:after="0" w:line="124"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32"/>
        </w:numPr>
        <w:rPr>
          <w:rFonts w:ascii="Arial" w:cs="Arial" w:eastAsia="Arial" w:hAnsi="Arial"/>
          <w:sz w:val="13"/>
          <w:szCs w:val="13"/>
          <w:color w:val="010000"/>
        </w:rPr>
      </w:pPr>
      <w:r>
        <w:rPr>
          <w:rFonts w:ascii="Arial" w:cs="Arial" w:eastAsia="Arial" w:hAnsi="Arial"/>
          <w:sz w:val="13"/>
          <w:szCs w:val="13"/>
          <w:color w:val="auto"/>
        </w:rPr>
        <w:t xml:space="preserve">sales, transfers and other dispositions of assets (other than Equity Interests in a Subsidiary unless all Equity Interests in such Subsidiary are sold) that are not permitted by any other clause of this Section,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fair market value of all assets sold, transferred or otherwise disposed of in reliance upon this paragraph (g) shall not exceed $1,000,000 during any fiscal year of the Borrower;</w:t>
      </w:r>
    </w:p>
    <w:p>
      <w:pPr>
        <w:spacing w:after="0" w:line="103" w:lineRule="exact"/>
        <w:rPr>
          <w:sz w:val="20"/>
          <w:szCs w:val="20"/>
          <w:color w:val="auto"/>
        </w:rPr>
      </w:pPr>
    </w:p>
    <w:p>
      <w:pPr>
        <w:ind w:left="120" w:right="119"/>
        <w:spacing w:after="0" w:line="25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sales, transfers, leases and other dispositions permitted under this Section 6.05 (other than those permitted by paragraphs (b), (d) and (f) above) shall be made for fair value and for at least 75% cash consideration.</w:t>
      </w:r>
    </w:p>
    <w:p>
      <w:pPr>
        <w:spacing w:after="0" w:line="103" w:lineRule="exact"/>
        <w:rPr>
          <w:sz w:val="20"/>
          <w:szCs w:val="20"/>
          <w:color w:val="auto"/>
        </w:rPr>
      </w:pPr>
    </w:p>
    <w:p>
      <w:pPr>
        <w:ind w:left="120" w:right="119" w:firstLine="438"/>
        <w:spacing w:after="0" w:line="233" w:lineRule="auto"/>
        <w:rPr>
          <w:sz w:val="20"/>
          <w:szCs w:val="20"/>
          <w:color w:val="auto"/>
        </w:rPr>
      </w:pPr>
      <w:r>
        <w:rPr>
          <w:rFonts w:ascii="Arial" w:cs="Arial" w:eastAsia="Arial" w:hAnsi="Arial"/>
          <w:sz w:val="13"/>
          <w:szCs w:val="13"/>
          <w:color w:val="010000"/>
        </w:rPr>
        <w:t xml:space="preserve">SECTION 6.06 </w:t>
      </w:r>
      <w:r>
        <w:rPr>
          <w:rFonts w:ascii="Arial" w:cs="Arial" w:eastAsia="Arial" w:hAnsi="Arial"/>
          <w:sz w:val="13"/>
          <w:szCs w:val="13"/>
          <w:u w:val="single" w:color="auto"/>
          <w:color w:val="000000"/>
        </w:rPr>
        <w:t>Sale and Leaseback Transactions</w:t>
      </w:r>
      <w:r>
        <w:rPr>
          <w:rFonts w:ascii="Arial" w:cs="Arial" w:eastAsia="Arial" w:hAnsi="Arial"/>
          <w:sz w:val="13"/>
          <w:szCs w:val="13"/>
          <w:color w:val="000000"/>
        </w:rPr>
        <w:t>. No Loan Party will, nor will it permit any Subsidiary to, enter into any arrangement, directly or</w:t>
      </w:r>
      <w:r>
        <w:rPr>
          <w:rFonts w:ascii="Arial" w:cs="Arial" w:eastAsia="Arial" w:hAnsi="Arial"/>
          <w:sz w:val="13"/>
          <w:szCs w:val="13"/>
          <w:color w:val="010000"/>
        </w:rPr>
        <w:t xml:space="preserve"> </w:t>
      </w:r>
      <w:r>
        <w:rPr>
          <w:rFonts w:ascii="Arial" w:cs="Arial" w:eastAsia="Arial" w:hAnsi="Arial"/>
          <w:sz w:val="13"/>
          <w:szCs w:val="13"/>
          <w:color w:val="000000"/>
        </w:rPr>
        <w:t xml:space="preserve">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3"/>
          <w:szCs w:val="13"/>
          <w:u w:val="single" w:color="auto"/>
          <w:color w:val="000000"/>
        </w:rPr>
        <w:t>“Sale and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Leaseback Transaction”).</w:t>
      </w:r>
    </w:p>
    <w:p>
      <w:pPr>
        <w:spacing w:after="0" w:line="295" w:lineRule="exact"/>
        <w:rPr>
          <w:sz w:val="20"/>
          <w:szCs w:val="20"/>
          <w:color w:val="auto"/>
        </w:rPr>
      </w:pPr>
    </w:p>
    <w:p>
      <w:pPr>
        <w:ind w:left="120" w:right="159" w:firstLine="438"/>
        <w:spacing w:after="0" w:line="257" w:lineRule="auto"/>
        <w:rPr>
          <w:sz w:val="20"/>
          <w:szCs w:val="20"/>
          <w:color w:val="auto"/>
        </w:rPr>
      </w:pPr>
      <w:r>
        <w:rPr>
          <w:rFonts w:ascii="Arial" w:cs="Arial" w:eastAsia="Arial" w:hAnsi="Arial"/>
          <w:sz w:val="12"/>
          <w:szCs w:val="12"/>
          <w:color w:val="010000"/>
        </w:rPr>
        <w:t xml:space="preserve">SECTION 6.07 </w:t>
      </w:r>
      <w:r>
        <w:rPr>
          <w:rFonts w:ascii="Arial" w:cs="Arial" w:eastAsia="Arial" w:hAnsi="Arial"/>
          <w:sz w:val="12"/>
          <w:szCs w:val="12"/>
          <w:u w:val="single" w:color="auto"/>
          <w:color w:val="000000"/>
        </w:rPr>
        <w:t>Swap Agreements</w:t>
      </w:r>
      <w:r>
        <w:rPr>
          <w:rFonts w:ascii="Arial" w:cs="Arial" w:eastAsia="Arial" w:hAnsi="Arial"/>
          <w:sz w:val="12"/>
          <w:szCs w:val="12"/>
          <w:color w:val="000000"/>
        </w:rPr>
        <w:t>. No Loan Party will, nor will it permit any Subsidiary to, enter into any Swap Agreement, except (a) Swap Agreements</w:t>
      </w:r>
      <w:r>
        <w:rPr>
          <w:rFonts w:ascii="Arial" w:cs="Arial" w:eastAsia="Arial" w:hAnsi="Arial"/>
          <w:sz w:val="12"/>
          <w:szCs w:val="12"/>
          <w:color w:val="010000"/>
        </w:rPr>
        <w:t xml:space="preserve"> </w:t>
      </w:r>
      <w:r>
        <w:rPr>
          <w:rFonts w:ascii="Arial" w:cs="Arial" w:eastAsia="Arial" w:hAnsi="Arial"/>
          <w:sz w:val="12"/>
          <w:szCs w:val="12"/>
          <w:color w:val="000000"/>
        </w:rPr>
        <w:t>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6.08 </w:t>
      </w:r>
      <w:r>
        <w:rPr>
          <w:rFonts w:ascii="Arial" w:cs="Arial" w:eastAsia="Arial" w:hAnsi="Arial"/>
          <w:sz w:val="13"/>
          <w:szCs w:val="13"/>
          <w:u w:val="single" w:color="auto"/>
          <w:color w:val="000000"/>
        </w:rPr>
        <w:t>Restricted Payments; Certain Payments of Indebtedness</w:t>
      </w:r>
      <w:r>
        <w:rPr>
          <w:rFonts w:ascii="Arial" w:cs="Arial" w:eastAsia="Arial" w:hAnsi="Arial"/>
          <w:sz w:val="13"/>
          <w:szCs w:val="13"/>
          <w:color w:val="000000"/>
        </w:rPr>
        <w:t>.</w:t>
      </w:r>
    </w:p>
    <w:p>
      <w:pPr>
        <w:spacing w:after="0" w:line="325" w:lineRule="exact"/>
        <w:rPr>
          <w:sz w:val="20"/>
          <w:szCs w:val="20"/>
          <w:color w:val="auto"/>
        </w:rPr>
      </w:pPr>
    </w:p>
    <w:p>
      <w:pPr>
        <w:jc w:val="both"/>
        <w:ind w:left="120" w:right="119" w:firstLine="879"/>
        <w:spacing w:after="0" w:line="211" w:lineRule="auto"/>
        <w:tabs>
          <w:tab w:leader="none" w:pos="1189" w:val="left"/>
        </w:tabs>
        <w:numPr>
          <w:ilvl w:val="0"/>
          <w:numId w:val="133"/>
        </w:numPr>
        <w:rPr>
          <w:rFonts w:ascii="Arial" w:cs="Arial" w:eastAsia="Arial" w:hAnsi="Arial"/>
          <w:sz w:val="13"/>
          <w:szCs w:val="13"/>
          <w:color w:val="010000"/>
        </w:rPr>
      </w:pPr>
      <w:r>
        <w:rPr>
          <w:rFonts w:ascii="Arial" w:cs="Arial" w:eastAsia="Arial" w:hAnsi="Arial"/>
          <w:sz w:val="13"/>
          <w:szCs w:val="13"/>
          <w:color w:val="auto"/>
        </w:rPr>
        <w:t>No Loan Party will,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 may make Restricted Payments, not exceeding $500,000 during any fiscal year, pursuant to and in accordance with stock option plans or other benefit plans for management or employees of the Borrower and its Subsidiaries, and (iv) the Borrower may buy back for cash its outstanding Series A Preferred Stock in an amount not to exceed $3,000,000 in the aggregate per fiscal year so long as (A) no Default or Event of Default exists before and immediately after giving effect to such buyback, (B) after giving pro forma effect to such buyback, the Borrower would be in compliance with the financial covenants in Section 6.12, and (C) the Borrower has delivered to the Administrative Agent a certificate signed by its chief financial officer certifying that the foregoing conditions have been satisfied together with calculations demonstrating compliance with clause (B).</w:t>
      </w:r>
    </w:p>
    <w:p>
      <w:pPr>
        <w:spacing w:after="0" w:line="108" w:lineRule="exact"/>
        <w:rPr>
          <w:rFonts w:ascii="Arial" w:cs="Arial" w:eastAsia="Arial" w:hAnsi="Arial"/>
          <w:sz w:val="13"/>
          <w:szCs w:val="13"/>
          <w:color w:val="010000"/>
        </w:rPr>
      </w:pPr>
    </w:p>
    <w:p>
      <w:pPr>
        <w:ind w:left="120" w:right="119" w:firstLine="879"/>
        <w:spacing w:after="0" w:line="279" w:lineRule="auto"/>
        <w:tabs>
          <w:tab w:leader="none" w:pos="1197" w:val="left"/>
        </w:tabs>
        <w:numPr>
          <w:ilvl w:val="0"/>
          <w:numId w:val="133"/>
        </w:numPr>
        <w:rPr>
          <w:rFonts w:ascii="Arial" w:cs="Arial" w:eastAsia="Arial" w:hAnsi="Arial"/>
          <w:sz w:val="12"/>
          <w:szCs w:val="12"/>
          <w:color w:val="010000"/>
        </w:rPr>
      </w:pPr>
      <w:r>
        <w:rPr>
          <w:rFonts w:ascii="Arial" w:cs="Arial" w:eastAsia="Arial" w:hAnsi="Arial"/>
          <w:sz w:val="12"/>
          <w:szCs w:val="12"/>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29" w:name="page130"/>
    <w:bookmarkEnd w:id="129"/>
    <w:p>
      <w:pPr>
        <w:ind w:left="120" w:right="119"/>
        <w:spacing w:after="0" w:line="239" w:lineRule="auto"/>
        <w:rPr>
          <w:sz w:val="20"/>
          <w:szCs w:val="20"/>
          <w:color w:val="auto"/>
        </w:rPr>
      </w:pPr>
      <w:r>
        <w:rPr>
          <w:rFonts w:ascii="Arial" w:cs="Arial" w:eastAsia="Arial" w:hAnsi="Arial"/>
          <w:sz w:val="13"/>
          <w:szCs w:val="13"/>
          <w:color w:val="auto"/>
        </w:rPr>
        <w:t>in cash, securities or other property), including any sinking fund or similar deposit, on account of the purchase, redemption, retirement, acquisition, cancellation or termination of any Indebtedness, except:</w:t>
      </w:r>
    </w:p>
    <w:p>
      <w:pPr>
        <w:spacing w:after="0" w:line="104" w:lineRule="exact"/>
        <w:rPr>
          <w:sz w:val="20"/>
          <w:szCs w:val="20"/>
          <w:color w:val="auto"/>
        </w:rPr>
      </w:pPr>
    </w:p>
    <w:p>
      <w:pPr>
        <w:ind w:left="1600" w:hanging="163"/>
        <w:spacing w:after="0"/>
        <w:tabs>
          <w:tab w:leader="none" w:pos="1600" w:val="left"/>
        </w:tabs>
        <w:numPr>
          <w:ilvl w:val="0"/>
          <w:numId w:val="134"/>
        </w:numPr>
        <w:rPr>
          <w:rFonts w:ascii="Arial" w:cs="Arial" w:eastAsia="Arial" w:hAnsi="Arial"/>
          <w:sz w:val="13"/>
          <w:szCs w:val="13"/>
          <w:color w:val="010000"/>
        </w:rPr>
      </w:pPr>
      <w:r>
        <w:rPr>
          <w:rFonts w:ascii="Arial" w:cs="Arial" w:eastAsia="Arial" w:hAnsi="Arial"/>
          <w:sz w:val="13"/>
          <w:szCs w:val="13"/>
          <w:color w:val="auto"/>
        </w:rPr>
        <w:t>payment of Indebtedness created under the Loan Documents;</w:t>
      </w:r>
    </w:p>
    <w:p>
      <w:pPr>
        <w:spacing w:after="0" w:line="124" w:lineRule="exact"/>
        <w:rPr>
          <w:rFonts w:ascii="Arial" w:cs="Arial" w:eastAsia="Arial" w:hAnsi="Arial"/>
          <w:sz w:val="13"/>
          <w:szCs w:val="13"/>
          <w:color w:val="010000"/>
        </w:rPr>
      </w:pPr>
    </w:p>
    <w:p>
      <w:pPr>
        <w:ind w:left="120" w:right="119" w:firstLine="1317"/>
        <w:spacing w:after="0" w:line="239" w:lineRule="auto"/>
        <w:tabs>
          <w:tab w:leader="none" w:pos="1642" w:val="left"/>
        </w:tabs>
        <w:numPr>
          <w:ilvl w:val="0"/>
          <w:numId w:val="134"/>
        </w:numPr>
        <w:rPr>
          <w:rFonts w:ascii="Arial" w:cs="Arial" w:eastAsia="Arial" w:hAnsi="Arial"/>
          <w:sz w:val="13"/>
          <w:szCs w:val="13"/>
          <w:color w:val="010000"/>
        </w:rPr>
      </w:pPr>
      <w:r>
        <w:rPr>
          <w:rFonts w:ascii="Arial" w:cs="Arial" w:eastAsia="Arial" w:hAnsi="Arial"/>
          <w:sz w:val="13"/>
          <w:szCs w:val="13"/>
          <w:color w:val="auto"/>
        </w:rPr>
        <w:t>payment of regularly scheduled interest and principal payments as and when due in respect of any Indebtedness permitted under Section 6.01, other than payments in respect of the Subordinated Indebtedness prohibited by the subordination provisions thereof;</w:t>
      </w:r>
    </w:p>
    <w:p>
      <w:pPr>
        <w:spacing w:after="0" w:line="103" w:lineRule="exact"/>
        <w:rPr>
          <w:rFonts w:ascii="Arial" w:cs="Arial" w:eastAsia="Arial" w:hAnsi="Arial"/>
          <w:sz w:val="13"/>
          <w:szCs w:val="13"/>
          <w:color w:val="010000"/>
        </w:rPr>
      </w:pPr>
    </w:p>
    <w:p>
      <w:pPr>
        <w:ind w:left="1680" w:hanging="243"/>
        <w:spacing w:after="0"/>
        <w:tabs>
          <w:tab w:leader="none" w:pos="1680" w:val="left"/>
        </w:tabs>
        <w:numPr>
          <w:ilvl w:val="0"/>
          <w:numId w:val="134"/>
        </w:numPr>
        <w:rPr>
          <w:rFonts w:ascii="Arial" w:cs="Arial" w:eastAsia="Arial" w:hAnsi="Arial"/>
          <w:sz w:val="13"/>
          <w:szCs w:val="13"/>
          <w:color w:val="010000"/>
        </w:rPr>
      </w:pPr>
      <w:r>
        <w:rPr>
          <w:rFonts w:ascii="Arial" w:cs="Arial" w:eastAsia="Arial" w:hAnsi="Arial"/>
          <w:sz w:val="13"/>
          <w:szCs w:val="13"/>
          <w:color w:val="auto"/>
        </w:rPr>
        <w:t>refinancings of Indebtedness to the extent permitted by Section 6.01; and</w:t>
      </w:r>
    </w:p>
    <w:p>
      <w:pPr>
        <w:spacing w:after="0" w:line="124" w:lineRule="exact"/>
        <w:rPr>
          <w:rFonts w:ascii="Arial" w:cs="Arial" w:eastAsia="Arial" w:hAnsi="Arial"/>
          <w:sz w:val="13"/>
          <w:szCs w:val="13"/>
          <w:color w:val="010000"/>
        </w:rPr>
      </w:pPr>
    </w:p>
    <w:p>
      <w:pPr>
        <w:ind w:left="120" w:right="119" w:firstLine="1317"/>
        <w:spacing w:after="0" w:line="239" w:lineRule="auto"/>
        <w:tabs>
          <w:tab w:leader="none" w:pos="1672" w:val="left"/>
        </w:tabs>
        <w:numPr>
          <w:ilvl w:val="0"/>
          <w:numId w:val="134"/>
        </w:numPr>
        <w:rPr>
          <w:rFonts w:ascii="Arial" w:cs="Arial" w:eastAsia="Arial" w:hAnsi="Arial"/>
          <w:sz w:val="13"/>
          <w:szCs w:val="13"/>
          <w:color w:val="010000"/>
        </w:rPr>
      </w:pPr>
      <w:r>
        <w:rPr>
          <w:rFonts w:ascii="Arial" w:cs="Arial" w:eastAsia="Arial" w:hAnsi="Arial"/>
          <w:sz w:val="13"/>
          <w:szCs w:val="13"/>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04" w:lineRule="exact"/>
        <w:rPr>
          <w:sz w:val="20"/>
          <w:szCs w:val="20"/>
          <w:color w:val="auto"/>
        </w:rPr>
      </w:pPr>
    </w:p>
    <w:p>
      <w:pPr>
        <w:ind w:left="120" w:right="139" w:firstLine="438"/>
        <w:spacing w:after="0" w:line="243" w:lineRule="auto"/>
        <w:rPr>
          <w:sz w:val="20"/>
          <w:szCs w:val="20"/>
          <w:color w:val="auto"/>
        </w:rPr>
      </w:pPr>
      <w:r>
        <w:rPr>
          <w:rFonts w:ascii="Arial" w:cs="Arial" w:eastAsia="Arial" w:hAnsi="Arial"/>
          <w:sz w:val="12"/>
          <w:szCs w:val="12"/>
          <w:color w:val="010000"/>
        </w:rPr>
        <w:t xml:space="preserve">SECTION 6.09 </w:t>
      </w:r>
      <w:r>
        <w:rPr>
          <w:rFonts w:ascii="Arial" w:cs="Arial" w:eastAsia="Arial" w:hAnsi="Arial"/>
          <w:sz w:val="12"/>
          <w:szCs w:val="12"/>
          <w:u w:val="single" w:color="auto"/>
          <w:color w:val="000000"/>
        </w:rPr>
        <w:t>Transactions with Affiliates</w:t>
      </w:r>
      <w:r>
        <w:rPr>
          <w:rFonts w:ascii="Arial" w:cs="Arial" w:eastAsia="Arial" w:hAnsi="Arial"/>
          <w:sz w:val="12"/>
          <w:szCs w:val="12"/>
          <w:color w:val="000000"/>
        </w:rPr>
        <w:t>. No Loan Party will, nor will it permit any Subsidiary to, sell, lease or otherwise transfer any property or</w:t>
      </w:r>
      <w:r>
        <w:rPr>
          <w:rFonts w:ascii="Arial" w:cs="Arial" w:eastAsia="Arial" w:hAnsi="Arial"/>
          <w:sz w:val="12"/>
          <w:szCs w:val="12"/>
          <w:color w:val="010000"/>
        </w:rPr>
        <w:t xml:space="preserve"> </w:t>
      </w:r>
      <w:r>
        <w:rPr>
          <w:rFonts w:ascii="Arial" w:cs="Arial" w:eastAsia="Arial" w:hAnsi="Arial"/>
          <w:sz w:val="12"/>
          <w:szCs w:val="12"/>
          <w:color w:val="000000"/>
        </w:rPr>
        <w:t>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w:t>
      </w:r>
      <w:r>
        <w:rPr>
          <w:rFonts w:ascii="Arial" w:cs="Arial" w:eastAsia="Arial" w:hAnsi="Arial"/>
          <w:sz w:val="12"/>
          <w:szCs w:val="12"/>
          <w:u w:val="single" w:color="auto"/>
          <w:color w:val="000000"/>
        </w:rPr>
        <w:t>’s-length basis from unrelated third parties, (b) transactions between or among the Loan Parties not involving any other Affiliate,</w:t>
      </w:r>
    </w:p>
    <w:p>
      <w:pPr>
        <w:ind w:left="120" w:right="139" w:firstLine="4"/>
        <w:spacing w:after="0" w:line="225" w:lineRule="auto"/>
        <w:tabs>
          <w:tab w:leader="none" w:pos="302" w:val="left"/>
        </w:tabs>
        <w:numPr>
          <w:ilvl w:val="0"/>
          <w:numId w:val="13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any investment permitted by Sections 6.04(c) or 6.04(d), (d) any Indebtedness permitted under Section 6.01(c), (e) any Restricted Payment permitted by Section 6.08, (f) loans or advances to employees permitted under Section 6.04(f), (g) the payment of reasonable fees to directors of the Borrower or any Subsidiary who are not employees of the Borrower or any Subsidiary, including equity compensation, and compensation and employee benefit arrangements paid to, and indemnities provided for the benefit of, directors, officers or employees of the Borrower or its Subsidiaries in the ordinary course of business, and (h) any issuances of securities or other payments, awards or grants in cash, securities or otherwise pursuant to, or the funding of, employment agreements, stock options and stock ownership plans approved by the Borrower’s board of directors.</w:t>
      </w:r>
    </w:p>
    <w:p>
      <w:pPr>
        <w:spacing w:after="0" w:line="296" w:lineRule="exact"/>
        <w:rPr>
          <w:sz w:val="20"/>
          <w:szCs w:val="20"/>
          <w:color w:val="auto"/>
        </w:rPr>
      </w:pPr>
    </w:p>
    <w:p>
      <w:pPr>
        <w:ind w:left="120" w:right="139" w:firstLine="438"/>
        <w:spacing w:after="0" w:line="243" w:lineRule="auto"/>
        <w:rPr>
          <w:sz w:val="20"/>
          <w:szCs w:val="20"/>
          <w:color w:val="auto"/>
        </w:rPr>
      </w:pPr>
      <w:r>
        <w:rPr>
          <w:rFonts w:ascii="Arial" w:cs="Arial" w:eastAsia="Arial" w:hAnsi="Arial"/>
          <w:sz w:val="12"/>
          <w:szCs w:val="12"/>
          <w:color w:val="010000"/>
        </w:rPr>
        <w:t xml:space="preserve">SECTION 6.10 </w:t>
      </w:r>
      <w:r>
        <w:rPr>
          <w:rFonts w:ascii="Arial" w:cs="Arial" w:eastAsia="Arial" w:hAnsi="Arial"/>
          <w:sz w:val="12"/>
          <w:szCs w:val="12"/>
          <w:u w:val="single" w:color="auto"/>
          <w:color w:val="000000"/>
        </w:rPr>
        <w:t>Restrictive Agreements</w:t>
      </w:r>
      <w:r>
        <w:rPr>
          <w:rFonts w:ascii="Arial" w:cs="Arial" w:eastAsia="Arial" w:hAnsi="Arial"/>
          <w:sz w:val="12"/>
          <w:szCs w:val="12"/>
          <w:color w:val="000000"/>
        </w:rPr>
        <w:t>. No Loan Party will, nor will it permit any Subsidiary to, directly or indirectly enter into, incur or permit to exist</w:t>
      </w:r>
      <w:r>
        <w:rPr>
          <w:rFonts w:ascii="Arial" w:cs="Arial" w:eastAsia="Arial" w:hAnsi="Arial"/>
          <w:sz w:val="12"/>
          <w:szCs w:val="12"/>
          <w:color w:val="010000"/>
        </w:rPr>
        <w:t xml:space="preserve"> </w:t>
      </w:r>
      <w:r>
        <w:rPr>
          <w:rFonts w:ascii="Arial" w:cs="Arial" w:eastAsia="Arial" w:hAnsi="Arial"/>
          <w:sz w:val="12"/>
          <w:szCs w:val="12"/>
          <w:color w:val="000000"/>
        </w:rPr>
        <w:t>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Equity Interests or to make or repay loans or advances to the Borrower or any other Subsidiary or to Guarantee Indebtedness of the Borrower or any other Subsidiary; provided that (i) the foregoing shall not apply to restrictions and conditions imposed by any Requirement of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305" w:lineRule="exact"/>
        <w:rPr>
          <w:sz w:val="20"/>
          <w:szCs w:val="20"/>
          <w:color w:val="auto"/>
        </w:rPr>
      </w:pPr>
    </w:p>
    <w:p>
      <w:pPr>
        <w:ind w:left="120" w:right="339" w:firstLine="438"/>
        <w:spacing w:after="0" w:line="254" w:lineRule="auto"/>
        <w:rPr>
          <w:sz w:val="20"/>
          <w:szCs w:val="20"/>
          <w:color w:val="auto"/>
        </w:rPr>
      </w:pPr>
      <w:r>
        <w:rPr>
          <w:rFonts w:ascii="Arial" w:cs="Arial" w:eastAsia="Arial" w:hAnsi="Arial"/>
          <w:sz w:val="13"/>
          <w:szCs w:val="13"/>
          <w:color w:val="010000"/>
        </w:rPr>
        <w:t xml:space="preserve">SECTION 6.11 </w:t>
      </w:r>
      <w:r>
        <w:rPr>
          <w:rFonts w:ascii="Arial" w:cs="Arial" w:eastAsia="Arial" w:hAnsi="Arial"/>
          <w:sz w:val="13"/>
          <w:szCs w:val="13"/>
          <w:u w:val="single" w:color="auto"/>
          <w:color w:val="000000"/>
        </w:rPr>
        <w:t>Amendment of Material Documents</w:t>
      </w:r>
      <w:r>
        <w:rPr>
          <w:rFonts w:ascii="Arial" w:cs="Arial" w:eastAsia="Arial" w:hAnsi="Arial"/>
          <w:sz w:val="13"/>
          <w:szCs w:val="13"/>
          <w:color w:val="000000"/>
        </w:rPr>
        <w:t>. No Loan Party will, nor will it permit any Subsidiary to, amend, modify or waive any of its rights</w:t>
      </w:r>
      <w:r>
        <w:rPr>
          <w:rFonts w:ascii="Arial" w:cs="Arial" w:eastAsia="Arial" w:hAnsi="Arial"/>
          <w:sz w:val="13"/>
          <w:szCs w:val="13"/>
          <w:color w:val="010000"/>
        </w:rPr>
        <w:t xml:space="preserve"> </w:t>
      </w:r>
      <w:r>
        <w:rPr>
          <w:rFonts w:ascii="Arial" w:cs="Arial" w:eastAsia="Arial" w:hAnsi="Arial"/>
          <w:sz w:val="13"/>
          <w:szCs w:val="13"/>
          <w:color w:val="000000"/>
        </w:rPr>
        <w:t>under (a) any agreement relating to any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30" w:name="page131"/>
    <w:bookmarkEnd w:id="130"/>
    <w:p>
      <w:pPr>
        <w:ind w:left="120" w:right="139"/>
        <w:spacing w:after="0" w:line="295" w:lineRule="auto"/>
        <w:rPr>
          <w:sz w:val="20"/>
          <w:szCs w:val="20"/>
          <w:color w:val="auto"/>
        </w:rPr>
      </w:pPr>
      <w:r>
        <w:rPr>
          <w:rFonts w:ascii="Arial" w:cs="Arial" w:eastAsia="Arial" w:hAnsi="Arial"/>
          <w:sz w:val="12"/>
          <w:szCs w:val="12"/>
          <w:u w:val="single" w:color="auto"/>
          <w:color w:val="auto"/>
        </w:rPr>
        <w:t>Subordinated Indebtedness, or (b) its charter, articles or certificate of organization or incorporation and bylaws or operating, management or partnership agreement, or other organizational or governing documents, to the extent any such amendment, modification or waiver would be adverse to the Lenders.</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6.12 </w:t>
      </w:r>
      <w:r>
        <w:rPr>
          <w:rFonts w:ascii="Arial" w:cs="Arial" w:eastAsia="Arial" w:hAnsi="Arial"/>
          <w:sz w:val="13"/>
          <w:szCs w:val="13"/>
          <w:u w:val="single" w:color="auto"/>
          <w:color w:val="000000"/>
        </w:rPr>
        <w:t>Financial Covenants</w:t>
      </w:r>
      <w:r>
        <w:rPr>
          <w:rFonts w:ascii="Arial" w:cs="Arial" w:eastAsia="Arial" w:hAnsi="Arial"/>
          <w:sz w:val="13"/>
          <w:szCs w:val="13"/>
          <w:color w:val="000000"/>
        </w:rPr>
        <w:t>.</w:t>
      </w:r>
    </w:p>
    <w:p>
      <w:pPr>
        <w:spacing w:after="0" w:line="325" w:lineRule="exact"/>
        <w:rPr>
          <w:sz w:val="20"/>
          <w:szCs w:val="20"/>
          <w:color w:val="auto"/>
        </w:rPr>
      </w:pPr>
    </w:p>
    <w:p>
      <w:pPr>
        <w:ind w:left="120" w:right="119" w:firstLine="879"/>
        <w:spacing w:after="0" w:line="239" w:lineRule="auto"/>
        <w:tabs>
          <w:tab w:leader="none" w:pos="1189" w:val="left"/>
        </w:tabs>
        <w:numPr>
          <w:ilvl w:val="0"/>
          <w:numId w:val="136"/>
        </w:numPr>
        <w:rPr>
          <w:rFonts w:ascii="Arial" w:cs="Arial" w:eastAsia="Arial" w:hAnsi="Arial"/>
          <w:sz w:val="13"/>
          <w:szCs w:val="13"/>
          <w:color w:val="010000"/>
        </w:rPr>
      </w:pPr>
      <w:r>
        <w:rPr>
          <w:rFonts w:ascii="Arial" w:cs="Arial" w:eastAsia="Arial" w:hAnsi="Arial"/>
          <w:sz w:val="13"/>
          <w:szCs w:val="13"/>
          <w:u w:val="single" w:color="auto"/>
          <w:color w:val="auto"/>
        </w:rPr>
        <w:t>Fixed Charge Coverage Ratio</w:t>
      </w:r>
      <w:r>
        <w:rPr>
          <w:rFonts w:ascii="Arial" w:cs="Arial" w:eastAsia="Arial" w:hAnsi="Arial"/>
          <w:sz w:val="13"/>
          <w:szCs w:val="13"/>
          <w:color w:val="auto"/>
        </w:rPr>
        <w:t>. The Borrower will not permit the Fixed Charge Coverage Ratio, for any period of four consecutive fiscal quarters ending on the last day of any fiscal quarter to be less than 1.25 to 1.00.</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36"/>
        </w:numPr>
        <w:rPr>
          <w:rFonts w:ascii="Arial" w:cs="Arial" w:eastAsia="Arial" w:hAnsi="Arial"/>
          <w:sz w:val="13"/>
          <w:szCs w:val="13"/>
          <w:color w:val="010000"/>
        </w:rPr>
      </w:pPr>
      <w:r>
        <w:rPr>
          <w:rFonts w:ascii="Arial" w:cs="Arial" w:eastAsia="Arial" w:hAnsi="Arial"/>
          <w:sz w:val="13"/>
          <w:szCs w:val="13"/>
          <w:u w:val="single" w:color="auto"/>
          <w:color w:val="auto"/>
        </w:rPr>
        <w:t>Total Leverage Ratio</w:t>
      </w:r>
      <w:r>
        <w:rPr>
          <w:rFonts w:ascii="Arial" w:cs="Arial" w:eastAsia="Arial" w:hAnsi="Arial"/>
          <w:sz w:val="13"/>
          <w:szCs w:val="13"/>
          <w:color w:val="auto"/>
        </w:rPr>
        <w:t>. The Borrower will not permit the Total Leverage Ratio, on the last day of any fiscal quarter ending during any period set forth below, to be greater than the ratio set forth below opposite such period:</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Period</w:t>
            </w:r>
          </w:p>
        </w:tc>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Ratio</w:t>
            </w:r>
          </w:p>
        </w:tc>
        <w:tc>
          <w:tcPr>
            <w:tcW w:w="140" w:type="dxa"/>
            <w:vAlign w:val="bottom"/>
          </w:tcPr>
          <w:p>
            <w:pPr>
              <w:spacing w:after="0"/>
              <w:rPr>
                <w:sz w:val="13"/>
                <w:szCs w:val="13"/>
                <w:color w:val="auto"/>
              </w:rPr>
            </w:pPr>
          </w:p>
        </w:tc>
      </w:tr>
      <w:tr>
        <w:trPr>
          <w:trHeight w:val="212"/>
        </w:trPr>
        <w:tc>
          <w:tcPr>
            <w:tcW w:w="3940" w:type="dxa"/>
            <w:vAlign w:val="bottom"/>
            <w:gridSpan w:val="3"/>
          </w:tcPr>
          <w:p>
            <w:pPr>
              <w:jc w:val="center"/>
              <w:ind w:right="820"/>
              <w:spacing w:after="0"/>
              <w:rPr>
                <w:sz w:val="20"/>
                <w:szCs w:val="20"/>
                <w:color w:val="auto"/>
              </w:rPr>
            </w:pPr>
            <w:r>
              <w:rPr>
                <w:rFonts w:ascii="Arial" w:cs="Arial" w:eastAsia="Arial" w:hAnsi="Arial"/>
                <w:sz w:val="13"/>
                <w:szCs w:val="13"/>
                <w:color w:val="auto"/>
                <w:w w:val="94"/>
              </w:rPr>
              <w:t>Effective Date through and including December 31, 2017,</w:t>
            </w:r>
          </w:p>
        </w:tc>
        <w:tc>
          <w:tcPr>
            <w:tcW w:w="1420" w:type="dxa"/>
            <w:vAlign w:val="bottom"/>
            <w:gridSpan w:val="3"/>
          </w:tcPr>
          <w:p>
            <w:pPr>
              <w:jc w:val="center"/>
              <w:ind w:left="773"/>
              <w:spacing w:after="0"/>
              <w:rPr>
                <w:sz w:val="20"/>
                <w:szCs w:val="20"/>
                <w:color w:val="auto"/>
              </w:rPr>
            </w:pPr>
            <w:r>
              <w:rPr>
                <w:rFonts w:ascii="Arial" w:cs="Arial" w:eastAsia="Arial" w:hAnsi="Arial"/>
                <w:sz w:val="13"/>
                <w:szCs w:val="13"/>
                <w:color w:val="auto"/>
                <w:w w:val="94"/>
              </w:rPr>
              <w:t>4.00 to 1.0</w:t>
            </w:r>
          </w:p>
        </w:tc>
      </w:tr>
      <w:tr>
        <w:trPr>
          <w:trHeight w:val="410"/>
        </w:trPr>
        <w:tc>
          <w:tcPr>
            <w:tcW w:w="3940" w:type="dxa"/>
            <w:vAlign w:val="bottom"/>
            <w:gridSpan w:val="3"/>
          </w:tcPr>
          <w:p>
            <w:pPr>
              <w:jc w:val="center"/>
              <w:ind w:right="840"/>
              <w:spacing w:after="0"/>
              <w:rPr>
                <w:sz w:val="20"/>
                <w:szCs w:val="20"/>
                <w:color w:val="auto"/>
              </w:rPr>
            </w:pPr>
            <w:r>
              <w:rPr>
                <w:rFonts w:ascii="Arial" w:cs="Arial" w:eastAsia="Arial" w:hAnsi="Arial"/>
                <w:sz w:val="13"/>
                <w:szCs w:val="13"/>
                <w:color w:val="auto"/>
                <w:w w:val="93"/>
              </w:rPr>
              <w:t>January 1, 2018, through and including March 31, 2018</w:t>
            </w:r>
          </w:p>
        </w:tc>
        <w:tc>
          <w:tcPr>
            <w:tcW w:w="1420" w:type="dxa"/>
            <w:vAlign w:val="bottom"/>
            <w:gridSpan w:val="3"/>
          </w:tcPr>
          <w:p>
            <w:pPr>
              <w:jc w:val="center"/>
              <w:ind w:left="773"/>
              <w:spacing w:after="0"/>
              <w:rPr>
                <w:sz w:val="20"/>
                <w:szCs w:val="20"/>
                <w:color w:val="auto"/>
              </w:rPr>
            </w:pPr>
            <w:r>
              <w:rPr>
                <w:rFonts w:ascii="Arial" w:cs="Arial" w:eastAsia="Arial" w:hAnsi="Arial"/>
                <w:sz w:val="13"/>
                <w:szCs w:val="13"/>
                <w:color w:val="auto"/>
                <w:w w:val="94"/>
              </w:rPr>
              <w:t>3.75 to 1.0</w:t>
            </w:r>
          </w:p>
        </w:tc>
      </w:tr>
      <w:tr>
        <w:trPr>
          <w:trHeight w:val="201"/>
        </w:trPr>
        <w:tc>
          <w:tcPr>
            <w:tcW w:w="3940" w:type="dxa"/>
            <w:vAlign w:val="bottom"/>
            <w:gridSpan w:val="3"/>
          </w:tcPr>
          <w:p>
            <w:pPr>
              <w:jc w:val="center"/>
              <w:ind w:right="820"/>
              <w:spacing w:after="0"/>
              <w:rPr>
                <w:sz w:val="20"/>
                <w:szCs w:val="20"/>
                <w:color w:val="auto"/>
              </w:rPr>
            </w:pPr>
            <w:r>
              <w:rPr>
                <w:rFonts w:ascii="Arial" w:cs="Arial" w:eastAsia="Arial" w:hAnsi="Arial"/>
                <w:sz w:val="13"/>
                <w:szCs w:val="13"/>
                <w:color w:val="auto"/>
                <w:w w:val="94"/>
              </w:rPr>
              <w:t>April 1, 2018, through and including June 30, 2018</w:t>
            </w:r>
          </w:p>
        </w:tc>
        <w:tc>
          <w:tcPr>
            <w:tcW w:w="1420" w:type="dxa"/>
            <w:vAlign w:val="bottom"/>
            <w:gridSpan w:val="3"/>
          </w:tcPr>
          <w:p>
            <w:pPr>
              <w:jc w:val="center"/>
              <w:ind w:left="773"/>
              <w:spacing w:after="0"/>
              <w:rPr>
                <w:sz w:val="20"/>
                <w:szCs w:val="20"/>
                <w:color w:val="auto"/>
              </w:rPr>
            </w:pPr>
            <w:r>
              <w:rPr>
                <w:rFonts w:ascii="Arial" w:cs="Arial" w:eastAsia="Arial" w:hAnsi="Arial"/>
                <w:sz w:val="13"/>
                <w:szCs w:val="13"/>
                <w:color w:val="auto"/>
                <w:w w:val="94"/>
              </w:rPr>
              <w:t>3.50 to 1.0</w:t>
            </w:r>
          </w:p>
        </w:tc>
      </w:tr>
      <w:tr>
        <w:trPr>
          <w:trHeight w:val="201"/>
        </w:trPr>
        <w:tc>
          <w:tcPr>
            <w:tcW w:w="3940" w:type="dxa"/>
            <w:vAlign w:val="bottom"/>
            <w:gridSpan w:val="3"/>
          </w:tcPr>
          <w:p>
            <w:pPr>
              <w:jc w:val="center"/>
              <w:ind w:right="820"/>
              <w:spacing w:after="0"/>
              <w:rPr>
                <w:sz w:val="20"/>
                <w:szCs w:val="20"/>
                <w:color w:val="auto"/>
              </w:rPr>
            </w:pPr>
            <w:r>
              <w:rPr>
                <w:rFonts w:ascii="Arial" w:cs="Arial" w:eastAsia="Arial" w:hAnsi="Arial"/>
                <w:sz w:val="13"/>
                <w:szCs w:val="13"/>
                <w:color w:val="auto"/>
                <w:w w:val="92"/>
              </w:rPr>
              <w:t>July 1, 2018, through and including September 30, 2018</w:t>
            </w:r>
          </w:p>
        </w:tc>
        <w:tc>
          <w:tcPr>
            <w:tcW w:w="1420" w:type="dxa"/>
            <w:vAlign w:val="bottom"/>
            <w:gridSpan w:val="3"/>
          </w:tcPr>
          <w:p>
            <w:pPr>
              <w:jc w:val="center"/>
              <w:ind w:left="773"/>
              <w:spacing w:after="0"/>
              <w:rPr>
                <w:sz w:val="20"/>
                <w:szCs w:val="20"/>
                <w:color w:val="auto"/>
              </w:rPr>
            </w:pPr>
            <w:r>
              <w:rPr>
                <w:rFonts w:ascii="Arial" w:cs="Arial" w:eastAsia="Arial" w:hAnsi="Arial"/>
                <w:sz w:val="13"/>
                <w:szCs w:val="13"/>
                <w:color w:val="auto"/>
                <w:w w:val="94"/>
              </w:rPr>
              <w:t>3.25 to 1.0</w:t>
            </w:r>
          </w:p>
        </w:tc>
      </w:tr>
      <w:tr>
        <w:trPr>
          <w:trHeight w:val="201"/>
        </w:trPr>
        <w:tc>
          <w:tcPr>
            <w:tcW w:w="3940" w:type="dxa"/>
            <w:vAlign w:val="bottom"/>
            <w:gridSpan w:val="3"/>
          </w:tcPr>
          <w:p>
            <w:pPr>
              <w:jc w:val="center"/>
              <w:ind w:right="820"/>
              <w:spacing w:after="0"/>
              <w:rPr>
                <w:sz w:val="20"/>
                <w:szCs w:val="20"/>
                <w:color w:val="auto"/>
              </w:rPr>
            </w:pPr>
            <w:r>
              <w:rPr>
                <w:rFonts w:ascii="Arial" w:cs="Arial" w:eastAsia="Arial" w:hAnsi="Arial"/>
                <w:sz w:val="13"/>
                <w:szCs w:val="13"/>
                <w:color w:val="auto"/>
                <w:w w:val="91"/>
              </w:rPr>
              <w:t>October 31, 2018, and thereafter</w:t>
            </w:r>
          </w:p>
        </w:tc>
        <w:tc>
          <w:tcPr>
            <w:tcW w:w="1420" w:type="dxa"/>
            <w:vAlign w:val="bottom"/>
            <w:gridSpan w:val="3"/>
          </w:tcPr>
          <w:p>
            <w:pPr>
              <w:jc w:val="center"/>
              <w:ind w:left="773"/>
              <w:spacing w:after="0"/>
              <w:rPr>
                <w:sz w:val="20"/>
                <w:szCs w:val="20"/>
                <w:color w:val="auto"/>
              </w:rPr>
            </w:pPr>
            <w:r>
              <w:rPr>
                <w:rFonts w:ascii="Arial" w:cs="Arial" w:eastAsia="Arial" w:hAnsi="Arial"/>
                <w:sz w:val="13"/>
                <w:szCs w:val="13"/>
                <w:color w:val="auto"/>
                <w:w w:val="94"/>
              </w:rPr>
              <w:t>3.00 to 1.0</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010000"/>
        </w:rPr>
        <w:t>ARTICLE VII</w:t>
      </w:r>
    </w:p>
    <w:p>
      <w:pPr>
        <w:spacing w:after="0" w:line="115" w:lineRule="exact"/>
        <w:rPr>
          <w:sz w:val="20"/>
          <w:szCs w:val="20"/>
          <w:color w:val="auto"/>
        </w:rPr>
      </w:pPr>
    </w:p>
    <w:p>
      <w:pPr>
        <w:ind w:left="4040"/>
        <w:spacing w:after="0"/>
        <w:rPr>
          <w:sz w:val="20"/>
          <w:szCs w:val="20"/>
          <w:color w:val="auto"/>
        </w:rPr>
      </w:pPr>
      <w:r>
        <w:rPr>
          <w:rFonts w:ascii="Arial" w:cs="Arial" w:eastAsia="Arial" w:hAnsi="Arial"/>
          <w:sz w:val="13"/>
          <w:szCs w:val="13"/>
          <w:u w:val="single" w:color="auto"/>
          <w:color w:val="auto"/>
        </w:rPr>
        <w:t>Events of Default</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If any of the following events (“</w:t>
      </w:r>
      <w:r>
        <w:rPr>
          <w:rFonts w:ascii="Arial" w:cs="Arial" w:eastAsia="Arial" w:hAnsi="Arial"/>
          <w:sz w:val="13"/>
          <w:szCs w:val="13"/>
          <w:u w:val="single" w:color="auto"/>
          <w:color w:val="auto"/>
        </w:rPr>
        <w:t>Events of Default</w:t>
      </w:r>
      <w:r>
        <w:rPr>
          <w:rFonts w:ascii="Arial" w:cs="Arial" w:eastAsia="Arial" w:hAnsi="Arial"/>
          <w:sz w:val="13"/>
          <w:szCs w:val="13"/>
          <w:color w:val="auto"/>
        </w:rPr>
        <w:t>”) shall occur:</w:t>
      </w:r>
    </w:p>
    <w:p>
      <w:pPr>
        <w:spacing w:after="0" w:line="133" w:lineRule="exact"/>
        <w:rPr>
          <w:sz w:val="20"/>
          <w:szCs w:val="20"/>
          <w:color w:val="auto"/>
        </w:rPr>
      </w:pPr>
    </w:p>
    <w:p>
      <w:pPr>
        <w:ind w:left="120" w:right="119" w:firstLine="879"/>
        <w:spacing w:after="0" w:line="239" w:lineRule="auto"/>
        <w:tabs>
          <w:tab w:leader="none" w:pos="1189" w:val="left"/>
        </w:tabs>
        <w:numPr>
          <w:ilvl w:val="0"/>
          <w:numId w:val="137"/>
        </w:numPr>
        <w:rPr>
          <w:rFonts w:ascii="Arial" w:cs="Arial" w:eastAsia="Arial" w:hAnsi="Arial"/>
          <w:sz w:val="13"/>
          <w:szCs w:val="13"/>
          <w:color w:val="010000"/>
        </w:rPr>
      </w:pPr>
      <w:r>
        <w:rPr>
          <w:rFonts w:ascii="Arial" w:cs="Arial" w:eastAsia="Arial" w:hAnsi="Arial"/>
          <w:sz w:val="13"/>
          <w:szCs w:val="13"/>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03"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37"/>
        </w:numPr>
        <w:rPr>
          <w:rFonts w:ascii="Arial" w:cs="Arial" w:eastAsia="Arial" w:hAnsi="Arial"/>
          <w:sz w:val="13"/>
          <w:szCs w:val="13"/>
          <w:color w:val="010000"/>
        </w:rPr>
      </w:pPr>
      <w:r>
        <w:rPr>
          <w:rFonts w:ascii="Arial" w:cs="Arial" w:eastAsia="Arial" w:hAnsi="Arial"/>
          <w:sz w:val="13"/>
          <w:szCs w:val="13"/>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02"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137"/>
        </w:numPr>
        <w:rPr>
          <w:rFonts w:ascii="Arial" w:cs="Arial" w:eastAsia="Arial" w:hAnsi="Arial"/>
          <w:sz w:val="13"/>
          <w:szCs w:val="13"/>
          <w:color w:val="010000"/>
        </w:rPr>
      </w:pPr>
      <w:r>
        <w:rPr>
          <w:rFonts w:ascii="Arial" w:cs="Arial" w:eastAsia="Arial" w:hAnsi="Arial"/>
          <w:sz w:val="13"/>
          <w:szCs w:val="13"/>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1" w:name="page132"/>
    <w:bookmarkEnd w:id="131"/>
    <w:p>
      <w:pPr>
        <w:ind w:left="120" w:right="119"/>
        <w:spacing w:after="0" w:line="239" w:lineRule="auto"/>
        <w:rPr>
          <w:sz w:val="20"/>
          <w:szCs w:val="20"/>
          <w:color w:val="auto"/>
        </w:rPr>
      </w:pPr>
      <w:r>
        <w:rPr>
          <w:rFonts w:ascii="Arial" w:cs="Arial" w:eastAsia="Arial" w:hAnsi="Arial"/>
          <w:sz w:val="13"/>
          <w:szCs w:val="13"/>
          <w:color w:val="auto"/>
        </w:rPr>
        <w:t>thereunder, shall prove to have been materially incorrect when made or deemed made (it being understood and agreed that any representation or warranty which is subject to any materiality qualifier shall be required to be true and correct in all respects);</w:t>
      </w:r>
    </w:p>
    <w:p>
      <w:pPr>
        <w:spacing w:after="0" w:line="104" w:lineRule="exact"/>
        <w:rPr>
          <w:sz w:val="20"/>
          <w:szCs w:val="20"/>
          <w:color w:val="auto"/>
        </w:rPr>
      </w:pPr>
    </w:p>
    <w:p>
      <w:pPr>
        <w:ind w:left="120" w:right="119" w:firstLine="879"/>
        <w:spacing w:after="0" w:line="239" w:lineRule="auto"/>
        <w:tabs>
          <w:tab w:leader="none" w:pos="1197"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any Loan Party shall fail to observe or perform any covenant, condition or agreement contained in Section 5.02(a), 5.03 (with respect to a Loan Party’s existence) or 5.08 or in Article VI;</w:t>
      </w:r>
    </w:p>
    <w:p>
      <w:pPr>
        <w:spacing w:after="0" w:line="103" w:lineRule="exact"/>
        <w:rPr>
          <w:rFonts w:ascii="Arial" w:cs="Arial" w:eastAsia="Arial" w:hAnsi="Arial"/>
          <w:sz w:val="13"/>
          <w:szCs w:val="13"/>
          <w:color w:val="010000"/>
        </w:rPr>
      </w:pPr>
    </w:p>
    <w:p>
      <w:pPr>
        <w:jc w:val="both"/>
        <w:ind w:left="120" w:right="119" w:firstLine="879"/>
        <w:spacing w:after="0" w:line="216" w:lineRule="auto"/>
        <w:tabs>
          <w:tab w:leader="none" w:pos="1189"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any Loan Party shall fail to observe or perform any covenant, condition or agreement contained in this Agreement (other than those specified in clause (a), (b) or (d)), and such failure shall continue unremedied for a period of (i) 10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5.13, or 5.15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04" w:lineRule="exact"/>
        <w:rPr>
          <w:rFonts w:ascii="Arial" w:cs="Arial" w:eastAsia="Arial" w:hAnsi="Arial"/>
          <w:sz w:val="13"/>
          <w:szCs w:val="13"/>
          <w:color w:val="010000"/>
        </w:rPr>
      </w:pPr>
    </w:p>
    <w:p>
      <w:pPr>
        <w:ind w:left="120" w:right="119" w:firstLine="879"/>
        <w:spacing w:after="0" w:line="239" w:lineRule="auto"/>
        <w:tabs>
          <w:tab w:leader="none" w:pos="1175"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any Loan Party or any Subsidiary shall fail to make any payment (whether of principal or interest and regardless of amount) in respect of any Material Indebtedness, when and as the same shall become due and payable;</w:t>
      </w:r>
    </w:p>
    <w:p>
      <w:pPr>
        <w:spacing w:after="0" w:line="103" w:lineRule="exact"/>
        <w:rPr>
          <w:rFonts w:ascii="Arial" w:cs="Arial" w:eastAsia="Arial" w:hAnsi="Arial"/>
          <w:sz w:val="13"/>
          <w:szCs w:val="13"/>
          <w:color w:val="010000"/>
        </w:rPr>
      </w:pPr>
    </w:p>
    <w:p>
      <w:pPr>
        <w:jc w:val="both"/>
        <w:ind w:left="120" w:right="119" w:firstLine="879"/>
        <w:spacing w:after="0" w:line="218" w:lineRule="auto"/>
        <w:tabs>
          <w:tab w:leader="none" w:pos="1197"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05" w:lineRule="exact"/>
        <w:rPr>
          <w:rFonts w:ascii="Arial" w:cs="Arial" w:eastAsia="Arial" w:hAnsi="Arial"/>
          <w:sz w:val="13"/>
          <w:szCs w:val="13"/>
          <w:color w:val="010000"/>
        </w:rPr>
      </w:pPr>
    </w:p>
    <w:p>
      <w:pPr>
        <w:jc w:val="both"/>
        <w:ind w:left="120" w:right="119" w:firstLine="879"/>
        <w:spacing w:after="0" w:line="218" w:lineRule="auto"/>
        <w:tabs>
          <w:tab w:leader="none" w:pos="1197"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w:t>
      </w:r>
    </w:p>
    <w:p>
      <w:pPr>
        <w:spacing w:after="0" w:line="105" w:lineRule="exact"/>
        <w:rPr>
          <w:rFonts w:ascii="Arial" w:cs="Arial" w:eastAsia="Arial" w:hAnsi="Arial"/>
          <w:sz w:val="13"/>
          <w:szCs w:val="13"/>
          <w:color w:val="010000"/>
        </w:rPr>
      </w:pPr>
    </w:p>
    <w:p>
      <w:pPr>
        <w:jc w:val="both"/>
        <w:ind w:left="120" w:right="119" w:firstLine="879"/>
        <w:spacing w:after="0" w:line="227" w:lineRule="auto"/>
        <w:tabs>
          <w:tab w:leader="none" w:pos="1167" w:val="left"/>
        </w:tabs>
        <w:numPr>
          <w:ilvl w:val="1"/>
          <w:numId w:val="138"/>
        </w:numPr>
        <w:rPr>
          <w:rFonts w:ascii="Arial" w:cs="Arial" w:eastAsia="Arial" w:hAnsi="Arial"/>
          <w:sz w:val="12"/>
          <w:szCs w:val="12"/>
          <w:color w:val="010000"/>
        </w:rPr>
      </w:pPr>
      <w:r>
        <w:rPr>
          <w:rFonts w:ascii="Arial" w:cs="Arial" w:eastAsia="Arial" w:hAnsi="Arial"/>
          <w:sz w:val="12"/>
          <w:szCs w:val="12"/>
          <w:color w:val="auto"/>
        </w:rPr>
        <w:t>any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of any Loan Party or for a substantial part of its assets,</w:t>
      </w:r>
    </w:p>
    <w:p>
      <w:pPr>
        <w:ind w:left="120" w:right="119" w:firstLine="4"/>
        <w:spacing w:after="0" w:line="230" w:lineRule="auto"/>
        <w:tabs>
          <w:tab w:leader="none" w:pos="35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02" w:lineRule="exact"/>
        <w:rPr>
          <w:rFonts w:ascii="Arial" w:cs="Arial" w:eastAsia="Arial" w:hAnsi="Arial"/>
          <w:sz w:val="13"/>
          <w:szCs w:val="13"/>
          <w:color w:val="auto"/>
        </w:rPr>
      </w:pPr>
    </w:p>
    <w:p>
      <w:pPr>
        <w:ind w:left="120" w:right="119" w:firstLine="879"/>
        <w:spacing w:after="0" w:line="239" w:lineRule="auto"/>
        <w:tabs>
          <w:tab w:leader="none" w:pos="1167" w:val="left"/>
        </w:tabs>
        <w:numPr>
          <w:ilvl w:val="1"/>
          <w:numId w:val="139"/>
        </w:numPr>
        <w:rPr>
          <w:rFonts w:ascii="Arial" w:cs="Arial" w:eastAsia="Arial" w:hAnsi="Arial"/>
          <w:sz w:val="13"/>
          <w:szCs w:val="13"/>
          <w:color w:val="010000"/>
        </w:rPr>
      </w:pPr>
      <w:r>
        <w:rPr>
          <w:rFonts w:ascii="Arial" w:cs="Arial" w:eastAsia="Arial" w:hAnsi="Arial"/>
          <w:sz w:val="13"/>
          <w:szCs w:val="13"/>
          <w:color w:val="auto"/>
        </w:rPr>
        <w:t>any Loan Party or any Subsidiary shall become unable, admit in writing its inability, or publicly declare its intention not to, or fail generally, to pay its debts as they become due;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32" w:name="page133"/>
    <w:bookmarkEnd w:id="132"/>
    <w:p>
      <w:pPr>
        <w:jc w:val="both"/>
        <w:ind w:left="120" w:right="119" w:firstLine="879"/>
        <w:spacing w:after="0" w:line="213" w:lineRule="auto"/>
        <w:tabs>
          <w:tab w:leader="none" w:pos="1197"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one or more judgments for the payment of money in an aggregate amount in excess of $1,500,000 in excess of insurance coverage therefor (as provided by an underwriter acceptable to Administrative Agent, where such underwriter has admitted coverage in writing, and such insurance coverage otherwise fully complies in all respects with this Agreement)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thirty (30) days to discharge one or more non-monetary judgments or orders which, individually or in the aggregate, could reasonably be expected to have a Material Adverse Effect, which judgments or orders, in any such case, are not stayed on appeal and being appropriately contested in good faith by proper proceedings diligently pursued;</w:t>
      </w:r>
    </w:p>
    <w:p>
      <w:pPr>
        <w:spacing w:after="0" w:line="105" w:lineRule="exact"/>
        <w:rPr>
          <w:rFonts w:ascii="Arial" w:cs="Arial" w:eastAsia="Arial" w:hAnsi="Arial"/>
          <w:sz w:val="13"/>
          <w:szCs w:val="13"/>
          <w:color w:val="010000"/>
        </w:rPr>
      </w:pPr>
    </w:p>
    <w:p>
      <w:pPr>
        <w:ind w:left="120" w:right="119" w:firstLine="879"/>
        <w:spacing w:after="0" w:line="279" w:lineRule="auto"/>
        <w:tabs>
          <w:tab w:leader="none" w:pos="1167" w:val="left"/>
        </w:tabs>
        <w:numPr>
          <w:ilvl w:val="0"/>
          <w:numId w:val="140"/>
        </w:numPr>
        <w:rPr>
          <w:rFonts w:ascii="Arial" w:cs="Arial" w:eastAsia="Arial" w:hAnsi="Arial"/>
          <w:sz w:val="12"/>
          <w:szCs w:val="12"/>
          <w:color w:val="010000"/>
        </w:rPr>
      </w:pPr>
      <w:r>
        <w:rPr>
          <w:rFonts w:ascii="Arial" w:cs="Arial" w:eastAsia="Arial" w:hAnsi="Arial"/>
          <w:sz w:val="12"/>
          <w:szCs w:val="12"/>
          <w:color w:val="auto"/>
        </w:rPr>
        <w:t>an ERISA Event shall have occurred that, in the opinion of the Required Lenders, when taken together with all other ERISA Events that have occurred, could reasonably be expected to result in liability of the Borrower and its Subsidiaries in an aggregate amount exceeding $1,500,000 for all periods;</w:t>
      </w:r>
    </w:p>
    <w:p>
      <w:pPr>
        <w:spacing w:after="0" w:line="80" w:lineRule="exact"/>
        <w:rPr>
          <w:rFonts w:ascii="Arial" w:cs="Arial" w:eastAsia="Arial" w:hAnsi="Arial"/>
          <w:sz w:val="12"/>
          <w:szCs w:val="12"/>
          <w:color w:val="010000"/>
        </w:rPr>
      </w:pPr>
    </w:p>
    <w:p>
      <w:pPr>
        <w:ind w:left="1240" w:hanging="241"/>
        <w:spacing w:after="0"/>
        <w:tabs>
          <w:tab w:leader="none" w:pos="1240"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a Change in Control shall occur;</w:t>
      </w:r>
    </w:p>
    <w:p>
      <w:pPr>
        <w:spacing w:after="0" w:line="124"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the occurrence of any “event of default”, as defined in any Loan Document (other than this Agreement), or the breach of any of the terms or provisions of any Loan Document (other than this Agreement), which default or breach continues beyond any period of grace therein provided;</w:t>
      </w:r>
    </w:p>
    <w:p>
      <w:pPr>
        <w:spacing w:after="0" w:line="103" w:lineRule="exact"/>
        <w:rPr>
          <w:rFonts w:ascii="Arial" w:cs="Arial" w:eastAsia="Arial" w:hAnsi="Arial"/>
          <w:sz w:val="13"/>
          <w:szCs w:val="13"/>
          <w:color w:val="010000"/>
        </w:rPr>
      </w:pPr>
    </w:p>
    <w:p>
      <w:pPr>
        <w:jc w:val="both"/>
        <w:ind w:left="120" w:right="119" w:firstLine="879"/>
        <w:spacing w:after="0" w:line="218" w:lineRule="auto"/>
        <w:tabs>
          <w:tab w:leader="none" w:pos="1197"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the Loan Guaranty or any Obligation Guaranty shall fail to remain in full force or effect or any action shall be taken to discontinue or to assert the invalidity or unenforceability of the Loan Guaranty or any Obligation Guaranty, or any Guarantor shall fail to comply with any of the terms or provisions of the Loan Guaranty or any Obligation Guaranty to which it is a party, or any Guarantor shall deny that it has any further liability under the Loan Guaranty or any Obligation Guaranty to which it is a party, or shall give notice to such effect, including, but not limited to notice of termination delivered pursuant to Section 10.08 or any notice of termination delivered pursuant to the terms of any Obligation Guaranty;</w:t>
      </w:r>
    </w:p>
    <w:p>
      <w:pPr>
        <w:spacing w:after="0" w:line="105" w:lineRule="exact"/>
        <w:rPr>
          <w:rFonts w:ascii="Arial" w:cs="Arial" w:eastAsia="Arial" w:hAnsi="Arial"/>
          <w:sz w:val="13"/>
          <w:szCs w:val="13"/>
          <w:color w:val="010000"/>
        </w:rPr>
      </w:pPr>
    </w:p>
    <w:p>
      <w:pPr>
        <w:jc w:val="both"/>
        <w:ind w:left="120" w:right="119" w:firstLine="879"/>
        <w:spacing w:after="0" w:line="228" w:lineRule="auto"/>
        <w:tabs>
          <w:tab w:leader="none" w:pos="1197"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except as permitted by the terms hereof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any Collateral Document shall fail to remain in full force or effect or any action shall be taken to discontinue or to assert the invalidity or unenforceability of any Collateral Document; or</w:t>
      </w:r>
    </w:p>
    <w:p>
      <w:pPr>
        <w:spacing w:after="0" w:line="103" w:lineRule="exact"/>
        <w:rPr>
          <w:rFonts w:ascii="Arial" w:cs="Arial" w:eastAsia="Arial" w:hAnsi="Arial"/>
          <w:sz w:val="13"/>
          <w:szCs w:val="13"/>
          <w:color w:val="010000"/>
        </w:rPr>
      </w:pPr>
    </w:p>
    <w:p>
      <w:pPr>
        <w:jc w:val="both"/>
        <w:ind w:left="120" w:right="119" w:firstLine="879"/>
        <w:spacing w:after="0" w:line="250" w:lineRule="auto"/>
        <w:tabs>
          <w:tab w:leader="none" w:pos="1175" w:val="left"/>
        </w:tabs>
        <w:numPr>
          <w:ilvl w:val="0"/>
          <w:numId w:val="140"/>
        </w:numPr>
        <w:rPr>
          <w:rFonts w:ascii="Arial" w:cs="Arial" w:eastAsia="Arial" w:hAnsi="Arial"/>
          <w:sz w:val="12"/>
          <w:szCs w:val="12"/>
          <w:color w:val="010000"/>
        </w:rPr>
      </w:pPr>
      <w:r>
        <w:rPr>
          <w:rFonts w:ascii="Arial" w:cs="Arial" w:eastAsia="Arial" w:hAnsi="Arial"/>
          <w:sz w:val="12"/>
          <w:szCs w:val="12"/>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98" w:lineRule="exact"/>
        <w:rPr>
          <w:sz w:val="20"/>
          <w:szCs w:val="20"/>
          <w:color w:val="auto"/>
        </w:rPr>
      </w:pPr>
    </w:p>
    <w:p>
      <w:pPr>
        <w:jc w:val="both"/>
        <w:ind w:left="560" w:right="119"/>
        <w:spacing w:after="0" w:line="237" w:lineRule="auto"/>
        <w:rPr>
          <w:sz w:val="20"/>
          <w:szCs w:val="20"/>
          <w:color w:val="auto"/>
        </w:rPr>
      </w:pPr>
      <w:r>
        <w:rPr>
          <w:rFonts w:ascii="Arial" w:cs="Arial" w:eastAsia="Arial" w:hAnsi="Arial"/>
          <w:sz w:val="13"/>
          <w:szCs w:val="13"/>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33" w:name="page134"/>
    <w:bookmarkEnd w:id="133"/>
    <w:p>
      <w:pPr>
        <w:jc w:val="both"/>
        <w:ind w:left="560" w:right="119"/>
        <w:spacing w:after="0" w:line="241" w:lineRule="auto"/>
        <w:rPr>
          <w:sz w:val="20"/>
          <w:szCs w:val="20"/>
          <w:color w:val="auto"/>
        </w:rPr>
      </w:pPr>
      <w:r>
        <w:rPr>
          <w:rFonts w:ascii="Arial" w:cs="Arial" w:eastAsia="Arial" w:hAnsi="Arial"/>
          <w:sz w:val="12"/>
          <w:szCs w:val="12"/>
          <w:color w:val="auto"/>
        </w:rPr>
        <w:t xml:space="preserve">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 (iii) require cash collateral for the LC Exposure in accordance with </w:t>
      </w:r>
      <w:r>
        <w:rPr>
          <w:rFonts w:ascii="Arial" w:cs="Arial" w:eastAsia="Arial" w:hAnsi="Arial"/>
          <w:sz w:val="12"/>
          <w:szCs w:val="12"/>
          <w:u w:val="single" w:color="auto"/>
          <w:color w:val="auto"/>
        </w:rPr>
        <w:t>Section 2.06(j)</w:t>
      </w:r>
      <w:r>
        <w:rPr>
          <w:rFonts w:ascii="Arial" w:cs="Arial" w:eastAsia="Arial" w:hAnsi="Arial"/>
          <w:sz w:val="12"/>
          <w:szCs w:val="12"/>
          <w:color w:val="auto"/>
        </w:rPr>
        <w:t xml:space="preserve"> hereof; and in the case of any event with respect to the Borrower described in clause (h) or (i) of this Article, the Commitments (including the Swingline Commitment) shall automatically terminate and the principal of the Loans then outstanding, and cash collateral for the LC Exposure, together with accrued interest thereon and all fees and other obligations of the Borrower accrued hereunder, shall automatically become due and payable, in each case without presentment, demand, protest or other notice of any kind, all of which are hereby waived by the Borrower. Notwithstanding the foregoing, the Administrative Agent’s remedies with respect to clause (ii) above shall include, upon request of the Required Lenders, the right to the appointment of a receiver for any properties and assets of the Loan Parties (to the extent such Loan Parties’ properties and assets secure the Obligations), and each Loan Party hereby consents to such right and such appointment and hereby waives any objection each Loan Party may have thereto or the right to have a bond or security posted by the Administrative Agent on behalf of the Lenders, in connection therewith.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010000"/>
        </w:rPr>
        <w:t>ARTICLE VIII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The Administrative Agent</w:t>
      </w:r>
    </w:p>
    <w:p>
      <w:pPr>
        <w:spacing w:after="0" w:line="51" w:lineRule="exact"/>
        <w:rPr>
          <w:sz w:val="20"/>
          <w:szCs w:val="20"/>
          <w:color w:val="auto"/>
        </w:rPr>
      </w:pPr>
    </w:p>
    <w:p>
      <w:pPr>
        <w:ind w:left="120" w:right="239" w:firstLine="438"/>
        <w:spacing w:after="0" w:line="244" w:lineRule="auto"/>
        <w:rPr>
          <w:sz w:val="20"/>
          <w:szCs w:val="20"/>
          <w:color w:val="auto"/>
        </w:rPr>
      </w:pPr>
      <w:r>
        <w:rPr>
          <w:rFonts w:ascii="Arial" w:cs="Arial" w:eastAsia="Arial" w:hAnsi="Arial"/>
          <w:sz w:val="12"/>
          <w:szCs w:val="12"/>
          <w:color w:val="010000"/>
        </w:rPr>
        <w:t xml:space="preserve">SECTION 8.01 </w:t>
      </w:r>
      <w:r>
        <w:rPr>
          <w:rFonts w:ascii="Arial" w:cs="Arial" w:eastAsia="Arial" w:hAnsi="Arial"/>
          <w:sz w:val="12"/>
          <w:szCs w:val="12"/>
          <w:u w:val="single" w:color="auto"/>
          <w:color w:val="000000"/>
        </w:rPr>
        <w:t>Appointment</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Each of the Lenders, on behalf of itself and any of its Affiliates that are Secured Parties and the Issuing Bank hereby</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Article are solely for the benefit of the Administrative Agent and the Lenders (including the Swingline Lender and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293" w:lineRule="exact"/>
        <w:rPr>
          <w:sz w:val="20"/>
          <w:szCs w:val="20"/>
          <w:color w:val="auto"/>
        </w:rPr>
      </w:pPr>
    </w:p>
    <w:p>
      <w:pPr>
        <w:ind w:left="120" w:right="379" w:firstLine="438"/>
        <w:spacing w:after="0" w:line="254" w:lineRule="auto"/>
        <w:rPr>
          <w:sz w:val="20"/>
          <w:szCs w:val="20"/>
          <w:color w:val="auto"/>
        </w:rPr>
      </w:pPr>
      <w:r>
        <w:rPr>
          <w:rFonts w:ascii="Arial" w:cs="Arial" w:eastAsia="Arial" w:hAnsi="Arial"/>
          <w:sz w:val="13"/>
          <w:szCs w:val="13"/>
          <w:color w:val="010000"/>
        </w:rPr>
        <w:t xml:space="preserve">SECTION 8.02 </w:t>
      </w:r>
      <w:r>
        <w:rPr>
          <w:rFonts w:ascii="Arial" w:cs="Arial" w:eastAsia="Arial" w:hAnsi="Arial"/>
          <w:sz w:val="13"/>
          <w:szCs w:val="13"/>
          <w:u w:val="single" w:color="auto"/>
          <w:color w:val="000000"/>
        </w:rPr>
        <w:t>Rights as a Lender</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The bank serving as the Administrative Agent hereunder shall have the same rights and powers in its capacity as a</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Lender as any other Lender and may exercise the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4" w:name="page135"/>
    <w:bookmarkEnd w:id="134"/>
    <w:p>
      <w:pPr>
        <w:ind w:left="120" w:right="139"/>
        <w:spacing w:after="0" w:line="254" w:lineRule="auto"/>
        <w:rPr>
          <w:sz w:val="20"/>
          <w:szCs w:val="20"/>
          <w:color w:val="auto"/>
        </w:rPr>
      </w:pPr>
      <w:r>
        <w:rPr>
          <w:rFonts w:ascii="Arial" w:cs="Arial" w:eastAsia="Arial" w:hAnsi="Arial"/>
          <w:sz w:val="13"/>
          <w:szCs w:val="13"/>
          <w:u w:val="single" w:color="auto"/>
          <w:color w:val="auto"/>
        </w:rPr>
        <w:t>same as though it were not the Administrative Agent, and such bank and its Affiliates may accept deposits from, lend money to and generally engage in any kind of business with any Loan Party or any Subsidiary or any Affiliate thereof as if it were not the Administrative Agent hereunder.</w:t>
      </w:r>
    </w:p>
    <w:p>
      <w:pPr>
        <w:spacing w:after="0" w:line="285" w:lineRule="exact"/>
        <w:rPr>
          <w:sz w:val="20"/>
          <w:szCs w:val="20"/>
          <w:color w:val="auto"/>
        </w:rPr>
      </w:pPr>
    </w:p>
    <w:p>
      <w:pPr>
        <w:ind w:left="120" w:right="139" w:firstLine="438"/>
        <w:spacing w:after="0" w:line="239" w:lineRule="auto"/>
        <w:rPr>
          <w:sz w:val="20"/>
          <w:szCs w:val="20"/>
          <w:color w:val="auto"/>
        </w:rPr>
      </w:pPr>
      <w:r>
        <w:rPr>
          <w:rFonts w:ascii="Arial" w:cs="Arial" w:eastAsia="Arial" w:hAnsi="Arial"/>
          <w:sz w:val="12"/>
          <w:szCs w:val="12"/>
          <w:color w:val="010000"/>
        </w:rPr>
        <w:t xml:space="preserve">SECTION 8.03 </w:t>
      </w:r>
      <w:r>
        <w:rPr>
          <w:rFonts w:ascii="Arial" w:cs="Arial" w:eastAsia="Arial" w:hAnsi="Arial"/>
          <w:sz w:val="12"/>
          <w:szCs w:val="12"/>
          <w:u w:val="single" w:color="auto"/>
          <w:color w:val="000000"/>
        </w:rPr>
        <w:t>Duties and Obligations</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The Administrative Agent shall not have any duties or obligations except those expressly set forth in the Loan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Subsidiary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w:t>
      </w:r>
    </w:p>
    <w:p>
      <w:pPr>
        <w:spacing w:after="0" w:line="3" w:lineRule="exact"/>
        <w:rPr>
          <w:sz w:val="20"/>
          <w:szCs w:val="20"/>
          <w:color w:val="auto"/>
        </w:rPr>
      </w:pPr>
    </w:p>
    <w:p>
      <w:pPr>
        <w:ind w:left="120" w:right="159" w:firstLine="4"/>
        <w:spacing w:after="0" w:line="231" w:lineRule="auto"/>
        <w:tabs>
          <w:tab w:leader="none" w:pos="346" w:val="left"/>
        </w:tabs>
        <w:numPr>
          <w:ilvl w:val="0"/>
          <w:numId w:val="141"/>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304" w:lineRule="exact"/>
        <w:rPr>
          <w:sz w:val="20"/>
          <w:szCs w:val="20"/>
          <w:color w:val="auto"/>
        </w:rPr>
      </w:pPr>
    </w:p>
    <w:p>
      <w:pPr>
        <w:ind w:left="120" w:right="259" w:firstLine="438"/>
        <w:spacing w:after="0" w:line="228" w:lineRule="auto"/>
        <w:rPr>
          <w:sz w:val="20"/>
          <w:szCs w:val="20"/>
          <w:color w:val="auto"/>
        </w:rPr>
      </w:pPr>
      <w:r>
        <w:rPr>
          <w:rFonts w:ascii="Arial" w:cs="Arial" w:eastAsia="Arial" w:hAnsi="Arial"/>
          <w:sz w:val="13"/>
          <w:szCs w:val="13"/>
          <w:color w:val="010000"/>
        </w:rPr>
        <w:t xml:space="preserve">SECTION 8.04 </w:t>
      </w:r>
      <w:r>
        <w:rPr>
          <w:rFonts w:ascii="Arial" w:cs="Arial" w:eastAsia="Arial" w:hAnsi="Arial"/>
          <w:sz w:val="13"/>
          <w:szCs w:val="13"/>
          <w:u w:val="single" w:color="auto"/>
          <w:color w:val="000000"/>
        </w:rPr>
        <w:t>Reliance</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The Administrative Agent shall be entitled to rely upon, and shall not incur any liability for relying upon, any notice, request,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97" w:lineRule="exact"/>
        <w:rPr>
          <w:sz w:val="20"/>
          <w:szCs w:val="20"/>
          <w:color w:val="auto"/>
        </w:rPr>
      </w:pPr>
    </w:p>
    <w:p>
      <w:pPr>
        <w:ind w:left="120" w:right="259" w:firstLine="438"/>
        <w:spacing w:after="0" w:line="230" w:lineRule="auto"/>
        <w:rPr>
          <w:sz w:val="20"/>
          <w:szCs w:val="20"/>
          <w:color w:val="auto"/>
        </w:rPr>
      </w:pPr>
      <w:r>
        <w:rPr>
          <w:rFonts w:ascii="Arial" w:cs="Arial" w:eastAsia="Arial" w:hAnsi="Arial"/>
          <w:sz w:val="13"/>
          <w:szCs w:val="13"/>
          <w:color w:val="010000"/>
        </w:rPr>
        <w:t xml:space="preserve">SECTION 8.05 </w:t>
      </w:r>
      <w:r>
        <w:rPr>
          <w:rFonts w:ascii="Arial" w:cs="Arial" w:eastAsia="Arial" w:hAnsi="Arial"/>
          <w:sz w:val="13"/>
          <w:szCs w:val="13"/>
          <w:u w:val="single" w:color="auto"/>
          <w:color w:val="000000"/>
        </w:rPr>
        <w:t>Actions through Sub-Agents</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The Administrative Agent may perform any and all of its duties and exercise its rights and powers by or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296" w:lineRule="exact"/>
        <w:rPr>
          <w:sz w:val="20"/>
          <w:szCs w:val="20"/>
          <w:color w:val="auto"/>
        </w:rPr>
      </w:pPr>
    </w:p>
    <w:p>
      <w:pPr>
        <w:ind w:left="120" w:right="739" w:firstLine="438"/>
        <w:spacing w:after="0" w:line="254" w:lineRule="auto"/>
        <w:rPr>
          <w:sz w:val="20"/>
          <w:szCs w:val="20"/>
          <w:color w:val="auto"/>
        </w:rPr>
      </w:pPr>
      <w:r>
        <w:rPr>
          <w:rFonts w:ascii="Arial" w:cs="Arial" w:eastAsia="Arial" w:hAnsi="Arial"/>
          <w:sz w:val="13"/>
          <w:szCs w:val="13"/>
          <w:color w:val="010000"/>
        </w:rPr>
        <w:t xml:space="preserve">SECTION 8.06 </w:t>
      </w:r>
      <w:r>
        <w:rPr>
          <w:rFonts w:ascii="Arial" w:cs="Arial" w:eastAsia="Arial" w:hAnsi="Arial"/>
          <w:sz w:val="13"/>
          <w:szCs w:val="13"/>
          <w:u w:val="single" w:color="auto"/>
          <w:color w:val="000000"/>
        </w:rPr>
        <w:t>Resignation</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Subject to the appointment and acceptance of a successor Administrative Agent as provided in this paragraph, the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Administrative Agent may resign at any time by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5" w:name="page136"/>
    <w:bookmarkEnd w:id="135"/>
    <w:p>
      <w:pPr>
        <w:ind w:left="120" w:right="119"/>
        <w:spacing w:after="0"/>
        <w:rPr>
          <w:sz w:val="20"/>
          <w:szCs w:val="20"/>
          <w:color w:val="auto"/>
        </w:rPr>
      </w:pPr>
      <w:r>
        <w:rPr>
          <w:rFonts w:ascii="Arial" w:cs="Arial" w:eastAsia="Arial" w:hAnsi="Arial"/>
          <w:sz w:val="12"/>
          <w:szCs w:val="12"/>
          <w:u w:val="single" w:color="auto"/>
          <w:color w:val="auto"/>
        </w:rPr>
        <w:t>notifying the Lenders, the Issuing Bank and the Borrower. Upon any such resignation, the Required Lenders shall have the right, in consultation with the Borrower,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its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the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8.07 </w:t>
      </w:r>
      <w:r>
        <w:rPr>
          <w:rFonts w:ascii="Arial" w:cs="Arial" w:eastAsia="Arial" w:hAnsi="Arial"/>
          <w:sz w:val="13"/>
          <w:szCs w:val="13"/>
          <w:u w:val="single" w:color="auto"/>
          <w:color w:val="000000"/>
        </w:rPr>
        <w:t>Non-Reliance</w:t>
      </w:r>
      <w:r>
        <w:rPr>
          <w:rFonts w:ascii="Arial" w:cs="Arial" w:eastAsia="Arial" w:hAnsi="Arial"/>
          <w:sz w:val="13"/>
          <w:szCs w:val="13"/>
          <w:color w:val="000000"/>
        </w:rPr>
        <w:t>.</w:t>
      </w:r>
    </w:p>
    <w:p>
      <w:pPr>
        <w:spacing w:after="0" w:line="325" w:lineRule="exact"/>
        <w:rPr>
          <w:sz w:val="20"/>
          <w:szCs w:val="20"/>
          <w:color w:val="auto"/>
        </w:rPr>
      </w:pPr>
    </w:p>
    <w:p>
      <w:pPr>
        <w:jc w:val="both"/>
        <w:ind w:left="120" w:right="119" w:firstLine="879"/>
        <w:spacing w:after="0" w:line="213" w:lineRule="auto"/>
        <w:tabs>
          <w:tab w:leader="none" w:pos="1189" w:val="left"/>
        </w:tabs>
        <w:numPr>
          <w:ilvl w:val="0"/>
          <w:numId w:val="142"/>
        </w:numPr>
        <w:rPr>
          <w:rFonts w:ascii="Arial" w:cs="Arial" w:eastAsia="Arial" w:hAnsi="Arial"/>
          <w:sz w:val="13"/>
          <w:szCs w:val="13"/>
          <w:color w:val="010000"/>
        </w:rPr>
      </w:pPr>
      <w:r>
        <w:rPr>
          <w:rFonts w:ascii="Arial" w:cs="Arial" w:eastAsia="Arial" w:hAnsi="Arial"/>
          <w:sz w:val="13"/>
          <w:szCs w:val="13"/>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any arranger of this credit facility or any amendment thereto or any other Lender and their respective Related Parties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of this credit facility or any amendment thereto or any other Lender and their respective Related Parties and based on such documents and information (which may contain material, non-public information within the meaning of the U.S. securities laws concerning the Borrower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6" w:name="page137"/>
    <w:bookmarkEnd w:id="136"/>
    <w:p>
      <w:pPr>
        <w:jc w:val="both"/>
        <w:ind w:left="120" w:right="119"/>
        <w:spacing w:after="0" w:line="228" w:lineRule="auto"/>
        <w:rPr>
          <w:sz w:val="20"/>
          <w:szCs w:val="20"/>
          <w:color w:val="auto"/>
        </w:rPr>
      </w:pPr>
      <w:r>
        <w:rPr>
          <w:rFonts w:ascii="Arial" w:cs="Arial" w:eastAsia="Arial" w:hAnsi="Arial"/>
          <w:sz w:val="13"/>
          <w:szCs w:val="13"/>
          <w:color w:val="auto"/>
        </w:rPr>
        <w:t>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03" w:lineRule="exact"/>
        <w:rPr>
          <w:sz w:val="20"/>
          <w:szCs w:val="20"/>
          <w:color w:val="auto"/>
        </w:rPr>
      </w:pPr>
    </w:p>
    <w:p>
      <w:pPr>
        <w:jc w:val="both"/>
        <w:ind w:left="120" w:right="119" w:firstLine="879"/>
        <w:spacing w:after="0" w:line="209" w:lineRule="auto"/>
        <w:tabs>
          <w:tab w:leader="none" w:pos="1197" w:val="left"/>
        </w:tabs>
        <w:numPr>
          <w:ilvl w:val="0"/>
          <w:numId w:val="143"/>
        </w:numPr>
        <w:rPr>
          <w:rFonts w:ascii="Arial" w:cs="Arial" w:eastAsia="Arial" w:hAnsi="Arial"/>
          <w:sz w:val="13"/>
          <w:szCs w:val="13"/>
          <w:color w:val="010000"/>
        </w:rPr>
      </w:pPr>
      <w:r>
        <w:rPr>
          <w:rFonts w:ascii="Arial" w:cs="Arial" w:eastAsia="Arial" w:hAnsi="Arial"/>
          <w:sz w:val="13"/>
          <w:szCs w:val="13"/>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11" w:lineRule="exact"/>
        <w:rPr>
          <w:sz w:val="20"/>
          <w:szCs w:val="20"/>
          <w:color w:val="auto"/>
        </w:rPr>
      </w:pPr>
    </w:p>
    <w:p>
      <w:pPr>
        <w:ind w:left="120" w:right="219" w:firstLine="438"/>
        <w:spacing w:after="0" w:line="233" w:lineRule="auto"/>
        <w:rPr>
          <w:sz w:val="20"/>
          <w:szCs w:val="20"/>
          <w:color w:val="auto"/>
        </w:rPr>
      </w:pPr>
      <w:r>
        <w:rPr>
          <w:rFonts w:ascii="Arial" w:cs="Arial" w:eastAsia="Arial" w:hAnsi="Arial"/>
          <w:sz w:val="13"/>
          <w:szCs w:val="13"/>
          <w:color w:val="010000"/>
        </w:rPr>
        <w:t xml:space="preserve">SECTION 8.08 </w:t>
      </w:r>
      <w:r>
        <w:rPr>
          <w:rFonts w:ascii="Arial" w:cs="Arial" w:eastAsia="Arial" w:hAnsi="Arial"/>
          <w:sz w:val="13"/>
          <w:szCs w:val="13"/>
          <w:u w:val="single" w:color="auto"/>
          <w:color w:val="000000"/>
        </w:rPr>
        <w:t>Other Agency Titles</w:t>
      </w:r>
      <w:r>
        <w:rPr>
          <w:rFonts w:ascii="Arial" w:cs="Arial" w:eastAsia="Arial" w:hAnsi="Arial"/>
          <w:sz w:val="13"/>
          <w:szCs w:val="13"/>
          <w:color w:val="000000"/>
        </w:rPr>
        <w:t>. The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Agents shall not have any right, power, obligation, liability, responsibility or duty under this Agreement other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Agents as it makes with respect to the Administrative Agent in the preceding paragraph.</w:t>
      </w:r>
    </w:p>
    <w:p>
      <w:pPr>
        <w:spacing w:after="0" w:line="295" w:lineRule="exact"/>
        <w:rPr>
          <w:sz w:val="20"/>
          <w:szCs w:val="20"/>
          <w:color w:val="auto"/>
        </w:rPr>
      </w:pPr>
    </w:p>
    <w:p>
      <w:pPr>
        <w:ind w:left="120" w:right="239" w:firstLine="438"/>
        <w:spacing w:after="0" w:line="233" w:lineRule="auto"/>
        <w:rPr>
          <w:sz w:val="20"/>
          <w:szCs w:val="20"/>
          <w:color w:val="auto"/>
        </w:rPr>
      </w:pPr>
      <w:r>
        <w:rPr>
          <w:rFonts w:ascii="Arial" w:cs="Arial" w:eastAsia="Arial" w:hAnsi="Arial"/>
          <w:sz w:val="13"/>
          <w:szCs w:val="13"/>
          <w:color w:val="010000"/>
        </w:rPr>
        <w:t xml:space="preserve">SECTION 8.09 </w:t>
      </w:r>
      <w:r>
        <w:rPr>
          <w:rFonts w:ascii="Arial" w:cs="Arial" w:eastAsia="Arial" w:hAnsi="Arial"/>
          <w:sz w:val="13"/>
          <w:szCs w:val="13"/>
          <w:u w:val="single" w:color="auto"/>
          <w:color w:val="000000"/>
        </w:rPr>
        <w:t>Not Partners or Co-Venturers; Administrative Agent as Representative of the Secured Parties</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304" w:lineRule="exact"/>
        <w:rPr>
          <w:sz w:val="20"/>
          <w:szCs w:val="20"/>
          <w:color w:val="auto"/>
        </w:rPr>
      </w:pPr>
    </w:p>
    <w:p>
      <w:pPr>
        <w:jc w:val="both"/>
        <w:ind w:left="120" w:right="119" w:firstLine="879"/>
        <w:spacing w:after="0" w:line="234" w:lineRule="auto"/>
        <w:tabs>
          <w:tab w:leader="none" w:pos="1197" w:val="left"/>
        </w:tabs>
        <w:numPr>
          <w:ilvl w:val="0"/>
          <w:numId w:val="144"/>
        </w:numPr>
        <w:rPr>
          <w:rFonts w:ascii="Arial" w:cs="Arial" w:eastAsia="Arial" w:hAnsi="Arial"/>
          <w:sz w:val="12"/>
          <w:szCs w:val="12"/>
          <w:color w:val="010000"/>
        </w:rPr>
      </w:pPr>
      <w:r>
        <w:rPr>
          <w:rFonts w:ascii="Arial" w:cs="Arial" w:eastAsia="Arial" w:hAnsi="Arial"/>
          <w:sz w:val="12"/>
          <w:szCs w:val="12"/>
          <w:color w:val="auto"/>
        </w:rPr>
        <w:t>In its capacity, the Administrative Agent is a “representative” of the Secured Parties within the meaning of the term “secured party” as defined in the UCC.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7" w:name="page138"/>
    <w:bookmarkEnd w:id="137"/>
    <w:p>
      <w:pPr>
        <w:ind w:left="120" w:right="119"/>
        <w:spacing w:after="0" w:line="239" w:lineRule="auto"/>
        <w:rPr>
          <w:sz w:val="20"/>
          <w:szCs w:val="20"/>
          <w:color w:val="auto"/>
        </w:rPr>
      </w:pPr>
      <w:r>
        <w:rPr>
          <w:rFonts w:ascii="Arial" w:cs="Arial" w:eastAsia="Arial" w:hAnsi="Arial"/>
          <w:sz w:val="13"/>
          <w:szCs w:val="13"/>
          <w:color w:val="auto"/>
        </w:rPr>
        <w:t>attorney, to execute and deliver on behalf of the Secured Parties any Loan Documents necessary or appropriate to grant and perfect a Lien on such Collateral in favor of the Administrative Agent on behalf of the Secured Parties.</w:t>
      </w:r>
    </w:p>
    <w:p>
      <w:pPr>
        <w:spacing w:after="0" w:line="104" w:lineRule="exact"/>
        <w:rPr>
          <w:sz w:val="20"/>
          <w:szCs w:val="20"/>
          <w:color w:val="auto"/>
        </w:rPr>
      </w:pPr>
    </w:p>
    <w:p>
      <w:pPr>
        <w:ind w:left="120" w:right="119" w:firstLine="438"/>
        <w:spacing w:after="0" w:line="239" w:lineRule="auto"/>
        <w:rPr>
          <w:sz w:val="20"/>
          <w:szCs w:val="20"/>
          <w:color w:val="auto"/>
        </w:rPr>
      </w:pPr>
      <w:r>
        <w:rPr>
          <w:rFonts w:ascii="Arial" w:cs="Arial" w:eastAsia="Arial" w:hAnsi="Arial"/>
          <w:sz w:val="12"/>
          <w:szCs w:val="12"/>
          <w:color w:val="010000"/>
        </w:rPr>
        <w:t xml:space="preserve">SECTION 8.10 </w:t>
      </w:r>
      <w:r>
        <w:rPr>
          <w:rFonts w:ascii="Arial" w:cs="Arial" w:eastAsia="Arial" w:hAnsi="Arial"/>
          <w:sz w:val="12"/>
          <w:szCs w:val="12"/>
          <w:u w:val="single" w:color="auto"/>
          <w:color w:val="000000"/>
        </w:rPr>
        <w:t>Credit Bidding</w:t>
      </w:r>
      <w:r>
        <w:rPr>
          <w:rFonts w:ascii="Arial" w:cs="Arial" w:eastAsia="Arial" w:hAnsi="Arial"/>
          <w:sz w:val="12"/>
          <w:szCs w:val="12"/>
          <w:color w:val="000000"/>
        </w:rPr>
        <w:t>. The Secured Parties hereby irrevocably authorize the Administrative Agent, at the direction of the Required Lenders, to</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-1480820</wp:posOffset>
            </wp:positionV>
            <wp:extent cx="414655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46550" cy="5715"/>
                    </a:xfrm>
                    <a:prstGeom prst="rect">
                      <a:avLst/>
                    </a:prstGeom>
                    <a:noFill/>
                  </pic:spPr>
                </pic:pic>
              </a:graphicData>
            </a:graphic>
          </wp:anchor>
        </w:drawing>
      </w:r>
    </w:p>
    <w:p>
      <w:pPr>
        <w:ind w:left="120" w:right="179" w:firstLine="4"/>
        <w:spacing w:after="0" w:line="237" w:lineRule="auto"/>
        <w:tabs>
          <w:tab w:leader="none" w:pos="346" w:val="left"/>
        </w:tabs>
        <w:numPr>
          <w:ilvl w:val="0"/>
          <w:numId w:val="145"/>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w:t>
      </w:r>
    </w:p>
    <w:p>
      <w:pPr>
        <w:spacing w:after="0" w:line="1" w:lineRule="exact"/>
        <w:rPr>
          <w:rFonts w:ascii="Arial" w:cs="Arial" w:eastAsia="Arial" w:hAnsi="Arial"/>
          <w:sz w:val="12"/>
          <w:szCs w:val="12"/>
          <w:u w:val="single" w:color="auto"/>
          <w:color w:val="auto"/>
        </w:rPr>
      </w:pPr>
    </w:p>
    <w:p>
      <w:pPr>
        <w:ind w:left="120" w:right="119" w:firstLine="4"/>
        <w:spacing w:after="0" w:line="244" w:lineRule="auto"/>
        <w:tabs>
          <w:tab w:leader="none" w:pos="309" w:val="left"/>
        </w:tabs>
        <w:numPr>
          <w:ilvl w:val="0"/>
          <w:numId w:val="145"/>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to the extent that Obligations that are assigned to an acquisition vehicle are not used to acquire Collateral for any reason,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3"/>
          <w:szCs w:val="13"/>
          <w:u w:val="single" w:color="auto"/>
          <w:color w:val="010000"/>
        </w:rPr>
        <w:t>ARTICLE IX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Miscellaneous</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9.01 </w:t>
      </w:r>
      <w:r>
        <w:rPr>
          <w:rFonts w:ascii="Arial" w:cs="Arial" w:eastAsia="Arial" w:hAnsi="Arial"/>
          <w:sz w:val="13"/>
          <w:szCs w:val="13"/>
          <w:u w:val="single" w:color="auto"/>
          <w:color w:val="000000"/>
        </w:rPr>
        <w:t>Notices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28" w:lineRule="auto"/>
        <w:tabs>
          <w:tab w:leader="none" w:pos="1189" w:val="left"/>
        </w:tabs>
        <w:numPr>
          <w:ilvl w:val="0"/>
          <w:numId w:val="146"/>
        </w:numPr>
        <w:rPr>
          <w:rFonts w:ascii="Arial" w:cs="Arial" w:eastAsia="Arial" w:hAnsi="Arial"/>
          <w:sz w:val="13"/>
          <w:szCs w:val="13"/>
          <w:color w:val="010000"/>
        </w:rPr>
      </w:pPr>
      <w:r>
        <w:rPr>
          <w:rFonts w:ascii="Arial" w:cs="Arial" w:eastAsia="Arial" w:hAnsi="Arial"/>
          <w:sz w:val="13"/>
          <w:szCs w:val="13"/>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fax, as follows:</w:t>
      </w:r>
    </w:p>
    <w:p>
      <w:pPr>
        <w:spacing w:after="0" w:line="102" w:lineRule="exact"/>
        <w:rPr>
          <w:rFonts w:ascii="Arial" w:cs="Arial" w:eastAsia="Arial" w:hAnsi="Arial"/>
          <w:sz w:val="13"/>
          <w:szCs w:val="13"/>
          <w:color w:val="010000"/>
        </w:rPr>
      </w:pPr>
    </w:p>
    <w:p>
      <w:pPr>
        <w:ind w:left="1600" w:hanging="163"/>
        <w:spacing w:after="0"/>
        <w:tabs>
          <w:tab w:leader="none" w:pos="1600" w:val="left"/>
        </w:tabs>
        <w:numPr>
          <w:ilvl w:val="1"/>
          <w:numId w:val="146"/>
        </w:numPr>
        <w:rPr>
          <w:rFonts w:ascii="Arial" w:cs="Arial" w:eastAsia="Arial" w:hAnsi="Arial"/>
          <w:sz w:val="13"/>
          <w:szCs w:val="13"/>
          <w:color w:val="010000"/>
        </w:rPr>
      </w:pPr>
      <w:r>
        <w:rPr>
          <w:rFonts w:ascii="Arial" w:cs="Arial" w:eastAsia="Arial" w:hAnsi="Arial"/>
          <w:sz w:val="13"/>
          <w:szCs w:val="13"/>
          <w:color w:val="auto"/>
        </w:rPr>
        <w:t>if to any Loan Party, to it in care of the Borrower at:</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c/o USA Technologies, Inc.</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100 Deerfield Lane</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Suite 300</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Malvern, PA 19355</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Attention: Priyanka Singh, Chief Financial Officer</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Telephone: 610-989-0340</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Fax: 610-989-0344</w:t>
      </w:r>
    </w:p>
    <w:p>
      <w:pPr>
        <w:spacing w:after="0" w:line="31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With a copy to:</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Lurio and Associates</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One Commerce Square</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2005 Market Street</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Suite 3120</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Philadelphia, PA 19103-7015</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Attention: Douglas Lurio</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Fax No.: (215) 665-8582</w:t>
      </w:r>
    </w:p>
    <w:p>
      <w:pPr>
        <w:spacing w:after="0" w:line="123" w:lineRule="exact"/>
        <w:rPr>
          <w:sz w:val="20"/>
          <w:szCs w:val="20"/>
          <w:color w:val="auto"/>
        </w:rPr>
      </w:pPr>
    </w:p>
    <w:p>
      <w:pPr>
        <w:ind w:left="1640" w:hanging="203"/>
        <w:spacing w:after="0"/>
        <w:tabs>
          <w:tab w:leader="none" w:pos="1640" w:val="left"/>
        </w:tabs>
        <w:numPr>
          <w:ilvl w:val="0"/>
          <w:numId w:val="147"/>
        </w:numPr>
        <w:rPr>
          <w:rFonts w:ascii="Arial" w:cs="Arial" w:eastAsia="Arial" w:hAnsi="Arial"/>
          <w:sz w:val="13"/>
          <w:szCs w:val="13"/>
          <w:color w:val="010000"/>
        </w:rPr>
      </w:pPr>
      <w:r>
        <w:rPr>
          <w:rFonts w:ascii="Arial" w:cs="Arial" w:eastAsia="Arial" w:hAnsi="Arial"/>
          <w:sz w:val="13"/>
          <w:szCs w:val="13"/>
          <w:color w:val="auto"/>
        </w:rPr>
        <w:t>if to the Administrative Agent, the Swingline Lender, or JPM in its capacity as an Issuing Bank, to JPMorgan Chase Bank, N.A.</w:t>
      </w:r>
    </w:p>
    <w:p>
      <w:pPr>
        <w:ind w:left="120"/>
        <w:spacing w:after="0"/>
        <w:rPr>
          <w:sz w:val="20"/>
          <w:szCs w:val="20"/>
          <w:color w:val="auto"/>
        </w:rPr>
      </w:pPr>
      <w:r>
        <w:rPr>
          <w:rFonts w:ascii="Arial" w:cs="Arial" w:eastAsia="Arial" w:hAnsi="Arial"/>
          <w:sz w:val="13"/>
          <w:szCs w:val="13"/>
          <w:color w:val="auto"/>
        </w:rPr>
        <w:t>at:</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JPMorgan Chase Bank, N.A.</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Middle Market Servicing</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10 South Dearborn, Floor L2</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Suite IL1-0480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39" w:name="page140"/>
    <w:bookmarkEnd w:id="139"/>
    <w:p>
      <w:pPr>
        <w:ind w:left="1440"/>
        <w:spacing w:after="0"/>
        <w:rPr>
          <w:sz w:val="20"/>
          <w:szCs w:val="20"/>
          <w:color w:val="auto"/>
        </w:rPr>
      </w:pPr>
      <w:r>
        <w:rPr>
          <w:rFonts w:ascii="Arial" w:cs="Arial" w:eastAsia="Arial" w:hAnsi="Arial"/>
          <w:sz w:val="13"/>
          <w:szCs w:val="13"/>
          <w:color w:val="auto"/>
        </w:rPr>
        <w:t>Chicago, IL, 60603-2300</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Attention: Maggie Pietrukaniec</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Fax No: 1-(844) 490-5663</w:t>
      </w:r>
    </w:p>
    <w:p>
      <w:pPr>
        <w:spacing w:after="0" w:line="37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With a copy to:</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JPMorgan Chase Bank, N.A.</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Middle Market Technology Banking</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270 Park Avenue, 42nd Floor</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New York, NY 10017</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Attention: Ted Karsos</w:t>
      </w:r>
    </w:p>
    <w:p>
      <w:pPr>
        <w:spacing w:after="0" w:line="88"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Fax No: (917) 464-6072</w:t>
      </w:r>
    </w:p>
    <w:p>
      <w:pPr>
        <w:spacing w:after="0" w:line="133" w:lineRule="exact"/>
        <w:rPr>
          <w:sz w:val="20"/>
          <w:szCs w:val="20"/>
          <w:color w:val="auto"/>
        </w:rPr>
      </w:pPr>
    </w:p>
    <w:p>
      <w:pPr>
        <w:ind w:left="1680" w:hanging="243"/>
        <w:spacing w:after="0"/>
        <w:tabs>
          <w:tab w:leader="none" w:pos="1680" w:val="left"/>
        </w:tabs>
        <w:numPr>
          <w:ilvl w:val="0"/>
          <w:numId w:val="148"/>
        </w:numPr>
        <w:rPr>
          <w:rFonts w:ascii="Arial" w:cs="Arial" w:eastAsia="Arial" w:hAnsi="Arial"/>
          <w:sz w:val="13"/>
          <w:szCs w:val="13"/>
          <w:color w:val="010000"/>
        </w:rPr>
      </w:pPr>
      <w:r>
        <w:rPr>
          <w:rFonts w:ascii="Arial" w:cs="Arial" w:eastAsia="Arial" w:hAnsi="Arial"/>
          <w:sz w:val="13"/>
          <w:szCs w:val="13"/>
          <w:color w:val="auto"/>
        </w:rPr>
        <w:t>if to any other Lender or Issuing Bank, to it at its address or fax number set forth in its Administrative Questionnaire.</w:t>
      </w:r>
    </w:p>
    <w:p>
      <w:pPr>
        <w:spacing w:after="0" w:line="124" w:lineRule="exact"/>
        <w:rPr>
          <w:sz w:val="20"/>
          <w:szCs w:val="20"/>
          <w:color w:val="auto"/>
        </w:rPr>
      </w:pPr>
    </w:p>
    <w:p>
      <w:pPr>
        <w:jc w:val="both"/>
        <w:ind w:left="120" w:right="119"/>
        <w:spacing w:after="0" w:line="233" w:lineRule="auto"/>
        <w:rPr>
          <w:sz w:val="20"/>
          <w:szCs w:val="20"/>
          <w:color w:val="auto"/>
        </w:rPr>
      </w:pPr>
      <w:r>
        <w:rPr>
          <w:rFonts w:ascii="Arial" w:cs="Arial" w:eastAsia="Arial" w:hAnsi="Arial"/>
          <w:sz w:val="13"/>
          <w:szCs w:val="13"/>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not given during normal business hours for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113" w:lineRule="exact"/>
        <w:rPr>
          <w:sz w:val="20"/>
          <w:szCs w:val="20"/>
          <w:color w:val="auto"/>
        </w:rPr>
      </w:pPr>
    </w:p>
    <w:p>
      <w:pPr>
        <w:jc w:val="both"/>
        <w:ind w:left="120" w:right="119" w:firstLine="879"/>
        <w:spacing w:after="0" w:line="228" w:lineRule="auto"/>
        <w:tabs>
          <w:tab w:leader="none" w:pos="1197" w:val="left"/>
        </w:tabs>
        <w:numPr>
          <w:ilvl w:val="0"/>
          <w:numId w:val="149"/>
        </w:numPr>
        <w:rPr>
          <w:rFonts w:ascii="Arial" w:cs="Arial" w:eastAsia="Arial" w:hAnsi="Arial"/>
          <w:sz w:val="12"/>
          <w:szCs w:val="12"/>
          <w:color w:val="010000"/>
        </w:rPr>
      </w:pPr>
      <w:r>
        <w:rPr>
          <w:rFonts w:ascii="Arial" w:cs="Arial" w:eastAsia="Arial" w:hAnsi="Arial"/>
          <w:sz w:val="12"/>
          <w:szCs w:val="12"/>
          <w:color w:val="auto"/>
        </w:rPr>
        <w:t>Notices and other communications to the Lenders hereunder may be delivered or furnished by Electronic Systems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0" w:name="page141"/>
    <w:bookmarkEnd w:id="140"/>
    <w:p>
      <w:pPr>
        <w:ind w:left="1200" w:hanging="201"/>
        <w:spacing w:after="0"/>
        <w:tabs>
          <w:tab w:leader="none" w:pos="1200" w:val="left"/>
        </w:tabs>
        <w:numPr>
          <w:ilvl w:val="0"/>
          <w:numId w:val="150"/>
        </w:numPr>
        <w:rPr>
          <w:rFonts w:ascii="Arial" w:cs="Arial" w:eastAsia="Arial" w:hAnsi="Arial"/>
          <w:sz w:val="12"/>
          <w:szCs w:val="12"/>
          <w:color w:val="010000"/>
        </w:rPr>
      </w:pPr>
      <w:r>
        <w:rPr>
          <w:rFonts w:ascii="Arial" w:cs="Arial" w:eastAsia="Arial" w:hAnsi="Arial"/>
          <w:sz w:val="12"/>
          <w:szCs w:val="12"/>
          <w:color w:val="auto"/>
        </w:rPr>
        <w:t>Any party hereto may change its address, facsimile number or e-mail address for notices and other communications hereunder by notice to the</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other parties hereto.</w:t>
      </w:r>
    </w:p>
    <w:p>
      <w:pPr>
        <w:spacing w:after="0" w:line="112" w:lineRule="exact"/>
        <w:rPr>
          <w:rFonts w:ascii="Arial" w:cs="Arial" w:eastAsia="Arial" w:hAnsi="Arial"/>
          <w:sz w:val="12"/>
          <w:szCs w:val="12"/>
          <w:color w:val="010000"/>
        </w:rPr>
      </w:pPr>
    </w:p>
    <w:p>
      <w:pPr>
        <w:ind w:left="1200" w:hanging="201"/>
        <w:spacing w:after="0"/>
        <w:tabs>
          <w:tab w:leader="none" w:pos="1200" w:val="left"/>
        </w:tabs>
        <w:numPr>
          <w:ilvl w:val="0"/>
          <w:numId w:val="150"/>
        </w:numPr>
        <w:rPr>
          <w:rFonts w:ascii="Arial" w:cs="Arial" w:eastAsia="Arial" w:hAnsi="Arial"/>
          <w:sz w:val="13"/>
          <w:szCs w:val="13"/>
          <w:color w:val="010000"/>
        </w:rPr>
      </w:pPr>
      <w:r>
        <w:rPr>
          <w:rFonts w:ascii="Arial" w:cs="Arial" w:eastAsia="Arial" w:hAnsi="Arial"/>
          <w:sz w:val="13"/>
          <w:szCs w:val="13"/>
          <w:color w:val="auto"/>
        </w:rPr>
        <w:t>Electronic Systems.</w:t>
      </w:r>
    </w:p>
    <w:p>
      <w:pPr>
        <w:spacing w:after="0" w:line="124" w:lineRule="exact"/>
        <w:rPr>
          <w:rFonts w:ascii="Arial" w:cs="Arial" w:eastAsia="Arial" w:hAnsi="Arial"/>
          <w:sz w:val="13"/>
          <w:szCs w:val="13"/>
          <w:color w:val="010000"/>
        </w:rPr>
      </w:pPr>
    </w:p>
    <w:p>
      <w:pPr>
        <w:jc w:val="both"/>
        <w:ind w:left="120" w:right="119" w:firstLine="1317"/>
        <w:spacing w:after="0" w:line="228" w:lineRule="auto"/>
        <w:tabs>
          <w:tab w:leader="none" w:pos="1605" w:val="left"/>
        </w:tabs>
        <w:numPr>
          <w:ilvl w:val="1"/>
          <w:numId w:val="150"/>
        </w:numPr>
        <w:rPr>
          <w:rFonts w:ascii="Arial" w:cs="Arial" w:eastAsia="Arial" w:hAnsi="Arial"/>
          <w:sz w:val="13"/>
          <w:szCs w:val="13"/>
          <w:color w:val="010000"/>
        </w:rPr>
      </w:pPr>
      <w:r>
        <w:rPr>
          <w:rFonts w:ascii="Arial" w:cs="Arial" w:eastAsia="Arial" w:hAnsi="Arial"/>
          <w:sz w:val="13"/>
          <w:szCs w:val="13"/>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02" w:lineRule="exact"/>
        <w:rPr>
          <w:rFonts w:ascii="Arial" w:cs="Arial" w:eastAsia="Arial" w:hAnsi="Arial"/>
          <w:sz w:val="13"/>
          <w:szCs w:val="13"/>
          <w:color w:val="010000"/>
        </w:rPr>
      </w:pPr>
    </w:p>
    <w:p>
      <w:pPr>
        <w:jc w:val="both"/>
        <w:ind w:left="120" w:right="119" w:firstLine="1317"/>
        <w:spacing w:after="0" w:line="229" w:lineRule="auto"/>
        <w:tabs>
          <w:tab w:leader="none" w:pos="1642" w:val="left"/>
        </w:tabs>
        <w:numPr>
          <w:ilvl w:val="1"/>
          <w:numId w:val="150"/>
        </w:numPr>
        <w:rPr>
          <w:rFonts w:ascii="Arial" w:cs="Arial" w:eastAsia="Arial" w:hAnsi="Arial"/>
          <w:sz w:val="12"/>
          <w:szCs w:val="12"/>
          <w:color w:val="010000"/>
        </w:rPr>
      </w:pPr>
      <w:r>
        <w:rPr>
          <w:rFonts w:ascii="Arial" w:cs="Arial" w:eastAsia="Arial" w:hAnsi="Arial"/>
          <w:sz w:val="12"/>
          <w:szCs w:val="12"/>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2"/>
          <w:szCs w:val="12"/>
          <w:u w:val="single" w:color="auto"/>
          <w:color w:val="auto"/>
        </w:rPr>
        <w:t>Agent Parties</w:t>
      </w:r>
      <w:r>
        <w:rPr>
          <w:rFonts w:ascii="Arial" w:cs="Arial" w:eastAsia="Arial" w:hAnsi="Arial"/>
          <w:sz w:val="12"/>
          <w:szCs w:val="12"/>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Arial" w:cs="Arial" w:eastAsia="Arial" w:hAnsi="Arial"/>
          <w:sz w:val="12"/>
          <w:szCs w:val="12"/>
          <w:u w:val="single" w:color="auto"/>
          <w:color w:val="auto"/>
        </w:rPr>
        <w:t>Communications</w:t>
      </w:r>
      <w:r>
        <w:rPr>
          <w:rFonts w:ascii="Arial" w:cs="Arial" w:eastAsia="Arial" w:hAnsi="Arial"/>
          <w:sz w:val="12"/>
          <w:szCs w:val="12"/>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9.02 </w:t>
      </w:r>
      <w:r>
        <w:rPr>
          <w:rFonts w:ascii="Arial" w:cs="Arial" w:eastAsia="Arial" w:hAnsi="Arial"/>
          <w:sz w:val="13"/>
          <w:szCs w:val="13"/>
          <w:u w:val="single" w:color="auto"/>
          <w:color w:val="000000"/>
        </w:rPr>
        <w:t>Waivers; Amendments</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212" w:lineRule="auto"/>
        <w:tabs>
          <w:tab w:leader="none" w:pos="1189" w:val="left"/>
        </w:tabs>
        <w:numPr>
          <w:ilvl w:val="0"/>
          <w:numId w:val="151"/>
        </w:numPr>
        <w:rPr>
          <w:rFonts w:ascii="Arial" w:cs="Arial" w:eastAsia="Arial" w:hAnsi="Arial"/>
          <w:sz w:val="13"/>
          <w:szCs w:val="13"/>
          <w:color w:val="010000"/>
        </w:rPr>
      </w:pPr>
      <w:r>
        <w:rPr>
          <w:rFonts w:ascii="Arial" w:cs="Arial" w:eastAsia="Arial" w:hAnsi="Arial"/>
          <w:sz w:val="13"/>
          <w:szCs w:val="13"/>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06" w:lineRule="exact"/>
        <w:rPr>
          <w:rFonts w:ascii="Arial" w:cs="Arial" w:eastAsia="Arial" w:hAnsi="Arial"/>
          <w:sz w:val="13"/>
          <w:szCs w:val="13"/>
          <w:color w:val="010000"/>
        </w:rPr>
      </w:pPr>
    </w:p>
    <w:p>
      <w:pPr>
        <w:jc w:val="both"/>
        <w:ind w:left="120" w:right="119" w:firstLine="879"/>
        <w:spacing w:after="0" w:line="216" w:lineRule="auto"/>
        <w:tabs>
          <w:tab w:leader="none" w:pos="1197" w:val="left"/>
        </w:tabs>
        <w:numPr>
          <w:ilvl w:val="0"/>
          <w:numId w:val="151"/>
        </w:numPr>
        <w:rPr>
          <w:rFonts w:ascii="Arial" w:cs="Arial" w:eastAsia="Arial" w:hAnsi="Arial"/>
          <w:sz w:val="13"/>
          <w:szCs w:val="13"/>
          <w:color w:val="010000"/>
        </w:rPr>
      </w:pPr>
      <w:r>
        <w:rPr>
          <w:rFonts w:ascii="Arial" w:cs="Arial" w:eastAsia="Arial" w:hAnsi="Arial"/>
          <w:sz w:val="13"/>
          <w:szCs w:val="13"/>
          <w:color w:val="auto"/>
        </w:rPr>
        <w:t xml:space="preserve">Subject to Section 2.14(b) and Section 9.02(c) below, neither this Agreement nor any other Loan Document nor any provision hereof or thereof may be waived, amended or modified except (i) in the case of this Agreement, pursuant to an agreement or agreements in writing entered into by the Borrower and the Required Lenders (unless otherwise expressly provided) or (ii) in the case of any other Loan Document, pursuant to an agreement or agreements in writing entered into by the Administrative Agent and the Loan Party or Loan Parties that are parties thereto, with the consent of the Required Lenders (unless otherwise expressly provided);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agreement shall (A) increase the Commitment of any Lender without the written consent of such Lender (including any such Lender that is a Defaulting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1" w:name="page142"/>
    <w:bookmarkEnd w:id="141"/>
    <w:p>
      <w:pPr>
        <w:jc w:val="both"/>
        <w:ind w:left="120" w:right="119"/>
        <w:spacing w:after="0" w:line="223" w:lineRule="auto"/>
        <w:rPr>
          <w:sz w:val="20"/>
          <w:szCs w:val="20"/>
          <w:color w:val="auto"/>
        </w:rPr>
      </w:pPr>
      <w:r>
        <w:rPr>
          <w:rFonts w:ascii="Arial" w:cs="Arial" w:eastAsia="Arial" w:hAnsi="Arial"/>
          <w:sz w:val="12"/>
          <w:szCs w:val="12"/>
          <w:color w:val="auto"/>
        </w:rPr>
        <w:t>Lender), (B) reduce or forgive the principal amount of any Loan or LC Disbursement or reduce the rate of interest thereon (subject to Section 2.13(c)), or reduce or forgive any interest or fees payable hereunder (subject to Section 2.13(c)),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2.18(b) or (d) in a manner that would alter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Section 2.20, without the consent of each Lender (other than any Defaulting Lender), (G) release any Guarantor from its obligation under its Loan Guaranty or Obligation Guaranty (except as otherwise permitted herein or in the other Loan Documents), without the written consent of each Lender (other than any Defaulting Lender), (H) permit any Loan Party to assign its obligations under the Loan Documents, or</w:t>
      </w:r>
    </w:p>
    <w:p>
      <w:pPr>
        <w:spacing w:after="0" w:line="5" w:lineRule="exact"/>
        <w:rPr>
          <w:sz w:val="20"/>
          <w:szCs w:val="20"/>
          <w:color w:val="auto"/>
        </w:rPr>
      </w:pPr>
    </w:p>
    <w:p>
      <w:pPr>
        <w:jc w:val="both"/>
        <w:ind w:left="120" w:right="119" w:firstLine="4"/>
        <w:spacing w:after="0" w:line="226" w:lineRule="auto"/>
        <w:tabs>
          <w:tab w:leader="none" w:pos="287" w:val="left"/>
        </w:tabs>
        <w:numPr>
          <w:ilvl w:val="0"/>
          <w:numId w:val="152"/>
        </w:numPr>
        <w:rPr>
          <w:rFonts w:ascii="Arial" w:cs="Arial" w:eastAsia="Arial" w:hAnsi="Arial"/>
          <w:sz w:val="12"/>
          <w:szCs w:val="12"/>
          <w:color w:val="auto"/>
        </w:rPr>
      </w:pPr>
      <w:r>
        <w:rPr>
          <w:rFonts w:ascii="Arial" w:cs="Arial" w:eastAsia="Arial" w:hAnsi="Arial"/>
          <w:sz w:val="12"/>
          <w:szCs w:val="12"/>
          <w:color w:val="auto"/>
        </w:rPr>
        <w:t xml:space="preserve">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2.07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Arial" w:cs="Arial" w:eastAsia="Arial" w:hAnsi="Arial"/>
          <w:sz w:val="12"/>
          <w:szCs w:val="12"/>
          <w:u w:val="single" w:color="auto"/>
          <w:color w:val="auto"/>
        </w:rPr>
        <w:t>Commitment Schedule</w:t>
      </w:r>
      <w:r>
        <w:rPr>
          <w:rFonts w:ascii="Arial" w:cs="Arial" w:eastAsia="Arial" w:hAnsi="Arial"/>
          <w:sz w:val="12"/>
          <w:szCs w:val="12"/>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106" w:lineRule="exact"/>
        <w:rPr>
          <w:rFonts w:ascii="Arial" w:cs="Arial" w:eastAsia="Arial" w:hAnsi="Arial"/>
          <w:sz w:val="12"/>
          <w:szCs w:val="12"/>
          <w:color w:val="auto"/>
        </w:rPr>
      </w:pPr>
    </w:p>
    <w:p>
      <w:pPr>
        <w:jc w:val="both"/>
        <w:ind w:left="120" w:right="119" w:firstLine="879"/>
        <w:spacing w:after="0" w:line="231" w:lineRule="auto"/>
        <w:tabs>
          <w:tab w:leader="none" w:pos="1189" w:val="left"/>
        </w:tabs>
        <w:numPr>
          <w:ilvl w:val="1"/>
          <w:numId w:val="152"/>
        </w:numPr>
        <w:rPr>
          <w:rFonts w:ascii="Arial" w:cs="Arial" w:eastAsia="Arial" w:hAnsi="Arial"/>
          <w:sz w:val="12"/>
          <w:szCs w:val="12"/>
          <w:color w:val="010000"/>
        </w:rPr>
      </w:pPr>
      <w:r>
        <w:rPr>
          <w:rFonts w:ascii="Arial" w:cs="Arial" w:eastAsia="Arial" w:hAnsi="Arial"/>
          <w:sz w:val="12"/>
          <w:szCs w:val="12"/>
          <w:color w:val="auto"/>
        </w:rPr>
        <w:t>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42" w:name="page143"/>
    <w:bookmarkEnd w:id="142"/>
    <w:p>
      <w:pPr>
        <w:jc w:val="both"/>
        <w:ind w:left="120" w:right="119"/>
        <w:spacing w:after="0" w:line="213" w:lineRule="auto"/>
        <w:rPr>
          <w:sz w:val="20"/>
          <w:szCs w:val="20"/>
          <w:color w:val="auto"/>
        </w:rPr>
      </w:pPr>
      <w:r>
        <w:rPr>
          <w:rFonts w:ascii="Arial" w:cs="Arial" w:eastAsia="Arial" w:hAnsi="Arial"/>
          <w:sz w:val="13"/>
          <w:szCs w:val="13"/>
          <w:color w:val="auto"/>
        </w:rPr>
        <w:t xml:space="preserve">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may, in its discretion, release its Liens on Collateral valued in the aggregate not in excess of $500,000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06" w:lineRule="exact"/>
        <w:rPr>
          <w:sz w:val="20"/>
          <w:szCs w:val="20"/>
          <w:color w:val="auto"/>
        </w:rPr>
      </w:pPr>
    </w:p>
    <w:p>
      <w:pPr>
        <w:jc w:val="both"/>
        <w:ind w:left="120" w:right="119" w:firstLine="879"/>
        <w:spacing w:after="0" w:line="228" w:lineRule="auto"/>
        <w:tabs>
          <w:tab w:leader="none" w:pos="1197" w:val="left"/>
        </w:tabs>
        <w:numPr>
          <w:ilvl w:val="0"/>
          <w:numId w:val="153"/>
        </w:numPr>
        <w:rPr>
          <w:rFonts w:ascii="Arial" w:cs="Arial" w:eastAsia="Arial" w:hAnsi="Arial"/>
          <w:sz w:val="12"/>
          <w:szCs w:val="12"/>
          <w:color w:val="010000"/>
        </w:rPr>
      </w:pPr>
      <w:r>
        <w:rPr>
          <w:rFonts w:ascii="Arial" w:cs="Arial" w:eastAsia="Arial" w:hAnsi="Arial"/>
          <w:sz w:val="12"/>
          <w:szCs w:val="12"/>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2"/>
          <w:szCs w:val="12"/>
          <w:u w:val="single" w:color="auto"/>
          <w:color w:val="auto"/>
        </w:rPr>
        <w:t>Non-Consenting Lender</w:t>
      </w:r>
      <w:r>
        <w:rPr>
          <w:rFonts w:ascii="Arial" w:cs="Arial" w:eastAsia="Arial" w:hAnsi="Arial"/>
          <w:sz w:val="12"/>
          <w:szCs w:val="12"/>
          <w:color w:val="auto"/>
        </w:rPr>
        <w:t xml:space="preserve">”), then the Borrower may elect to replace a Non-Consenting Lender as a Lender party to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08" w:lineRule="exact"/>
        <w:rPr>
          <w:rFonts w:ascii="Arial" w:cs="Arial" w:eastAsia="Arial" w:hAnsi="Arial"/>
          <w:sz w:val="12"/>
          <w:szCs w:val="12"/>
          <w:color w:val="010000"/>
        </w:rPr>
      </w:pPr>
    </w:p>
    <w:p>
      <w:pPr>
        <w:ind w:left="120" w:right="119" w:firstLine="879"/>
        <w:spacing w:after="0" w:line="239" w:lineRule="auto"/>
        <w:tabs>
          <w:tab w:leader="none" w:pos="1189" w:val="left"/>
        </w:tabs>
        <w:numPr>
          <w:ilvl w:val="0"/>
          <w:numId w:val="153"/>
        </w:numPr>
        <w:rPr>
          <w:rFonts w:ascii="Arial" w:cs="Arial" w:eastAsia="Arial" w:hAnsi="Arial"/>
          <w:sz w:val="13"/>
          <w:szCs w:val="13"/>
          <w:color w:val="010000"/>
        </w:rPr>
      </w:pPr>
      <w:r>
        <w:rPr>
          <w:rFonts w:ascii="Arial" w:cs="Arial" w:eastAsia="Arial" w:hAnsi="Arial"/>
          <w:sz w:val="13"/>
          <w:szCs w:val="13"/>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9.03 </w:t>
      </w:r>
      <w:r>
        <w:rPr>
          <w:rFonts w:ascii="Arial" w:cs="Arial" w:eastAsia="Arial" w:hAnsi="Arial"/>
          <w:sz w:val="13"/>
          <w:szCs w:val="13"/>
          <w:u w:val="single" w:color="auto"/>
          <w:color w:val="000000"/>
        </w:rPr>
        <w:t>Expenses; Indemnity; Damage Waiver</w:t>
      </w:r>
      <w:r>
        <w:rPr>
          <w:rFonts w:ascii="Arial" w:cs="Arial" w:eastAsia="Arial" w:hAnsi="Arial"/>
          <w:sz w:val="13"/>
          <w:szCs w:val="13"/>
          <w:color w:val="000000"/>
        </w:rPr>
        <w:t>.</w:t>
      </w:r>
    </w:p>
    <w:p>
      <w:pPr>
        <w:spacing w:after="0" w:line="316" w:lineRule="exact"/>
        <w:rPr>
          <w:sz w:val="20"/>
          <w:szCs w:val="20"/>
          <w:color w:val="auto"/>
        </w:rPr>
      </w:pPr>
    </w:p>
    <w:p>
      <w:pPr>
        <w:jc w:val="both"/>
        <w:ind w:left="120" w:right="119" w:firstLine="879"/>
        <w:spacing w:after="0" w:line="133" w:lineRule="exact"/>
        <w:tabs>
          <w:tab w:leader="none" w:pos="1189" w:val="left"/>
        </w:tabs>
        <w:numPr>
          <w:ilvl w:val="0"/>
          <w:numId w:val="154"/>
        </w:numPr>
        <w:rPr>
          <w:rFonts w:ascii="Arial" w:cs="Arial" w:eastAsia="Arial" w:hAnsi="Arial"/>
          <w:sz w:val="12"/>
          <w:szCs w:val="12"/>
          <w:color w:val="010000"/>
        </w:rPr>
      </w:pPr>
      <w:r>
        <w:rPr>
          <w:rFonts w:ascii="Arial" w:cs="Arial" w:eastAsia="Arial" w:hAnsi="Arial"/>
          <w:sz w:val="12"/>
          <w:szCs w:val="12"/>
          <w:color w:val="auto"/>
        </w:rPr>
        <w:t>The Loan Parties, jointly and severally, shall pay all (i) reasonable out</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professionals and other advisors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2"/>
          <w:szCs w:val="12"/>
          <w:color w:val="auto"/>
        </w:rPr>
        <w:t>‑</w:t>
      </w:r>
      <w:r>
        <w:rPr>
          <w:rFonts w:ascii="Arial" w:cs="Arial" w:eastAsia="Arial" w:hAnsi="Arial"/>
          <w:sz w:val="12"/>
          <w:szCs w:val="12"/>
          <w:color w:val="auto"/>
        </w:rPr>
        <w:t>pocket expenses incurred during any workout,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43" w:name="page144"/>
    <w:bookmarkEnd w:id="143"/>
    <w:p>
      <w:pPr>
        <w:jc w:val="both"/>
        <w:ind w:left="120" w:right="119"/>
        <w:spacing w:after="0" w:line="216" w:lineRule="auto"/>
        <w:rPr>
          <w:sz w:val="20"/>
          <w:szCs w:val="20"/>
          <w:color w:val="auto"/>
        </w:rPr>
      </w:pPr>
      <w:r>
        <w:rPr>
          <w:rFonts w:ascii="Arial" w:cs="Arial" w:eastAsia="Arial" w:hAnsi="Arial"/>
          <w:sz w:val="13"/>
          <w:szCs w:val="13"/>
          <w:color w:val="auto"/>
        </w:rPr>
        <w:t xml:space="preserve">restructuring or negotiations in respect of such Loans or Letters of Credit;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any action brought by the Administrative Agent, any Lender or the Issuing Bank in connection with the enforcement, collection or protection of its rights under the Loan Documents, with respect to the payment of legal fees, the Borrower shall only be responsible for the legal fees one counsel to the Administrative Agent, the Lenders and the Issuing Bank (and, in the event of any actual or perceived conflict of interest, one additional counsel to the affected parties) and appropriate local counsel and regulatory counsel. Expenses being reimbursed by the Loan Parties under this Section include, without limiting the generality of the foregoing, fees, costs and expenses incurred in connection with:</w:t>
      </w:r>
    </w:p>
    <w:p>
      <w:pPr>
        <w:spacing w:after="0" w:line="105" w:lineRule="exact"/>
        <w:rPr>
          <w:sz w:val="20"/>
          <w:szCs w:val="20"/>
          <w:color w:val="auto"/>
        </w:rPr>
      </w:pPr>
    </w:p>
    <w:p>
      <w:pPr>
        <w:ind w:left="2100" w:hanging="225"/>
        <w:spacing w:after="0"/>
        <w:tabs>
          <w:tab w:leader="none" w:pos="2100"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appraisals and insurance reviews;</w:t>
      </w:r>
    </w:p>
    <w:p>
      <w:pPr>
        <w:spacing w:after="0" w:line="124" w:lineRule="exact"/>
        <w:rPr>
          <w:rFonts w:ascii="Arial" w:cs="Arial" w:eastAsia="Arial" w:hAnsi="Arial"/>
          <w:sz w:val="13"/>
          <w:szCs w:val="13"/>
          <w:color w:val="010000"/>
        </w:rPr>
      </w:pPr>
    </w:p>
    <w:p>
      <w:pPr>
        <w:ind w:left="120" w:right="119" w:firstLine="1755"/>
        <w:spacing w:after="0" w:line="239" w:lineRule="auto"/>
        <w:tabs>
          <w:tab w:leader="none" w:pos="2095"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03" w:lineRule="exact"/>
        <w:rPr>
          <w:rFonts w:ascii="Arial" w:cs="Arial" w:eastAsia="Arial" w:hAnsi="Arial"/>
          <w:sz w:val="13"/>
          <w:szCs w:val="13"/>
          <w:color w:val="010000"/>
        </w:rPr>
      </w:pPr>
    </w:p>
    <w:p>
      <w:pPr>
        <w:ind w:left="120" w:right="119" w:firstLine="1755"/>
        <w:spacing w:after="0" w:line="239" w:lineRule="auto"/>
        <w:tabs>
          <w:tab w:leader="none" w:pos="2095"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background checks regarding senior management and/or key investors, as deemed necessary or appropriate in the sole discretion of the Administrative Agent;</w:t>
      </w:r>
    </w:p>
    <w:p>
      <w:pPr>
        <w:spacing w:after="0" w:line="103" w:lineRule="exact"/>
        <w:rPr>
          <w:rFonts w:ascii="Arial" w:cs="Arial" w:eastAsia="Arial" w:hAnsi="Arial"/>
          <w:sz w:val="13"/>
          <w:szCs w:val="13"/>
          <w:color w:val="010000"/>
        </w:rPr>
      </w:pPr>
    </w:p>
    <w:p>
      <w:pPr>
        <w:ind w:left="120" w:right="119" w:firstLine="1755"/>
        <w:spacing w:after="0" w:line="239" w:lineRule="auto"/>
        <w:tabs>
          <w:tab w:leader="none" w:pos="2102"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Taxes, fees and other charges for (i) lien and title searches and title insurance and (ii) recording the Mortgages, filing financing statements and continuations, and other actions to perfect, protect, and continue the Administrative Agent’s Liens;</w:t>
      </w:r>
    </w:p>
    <w:p>
      <w:pPr>
        <w:spacing w:after="0" w:line="103" w:lineRule="exact"/>
        <w:rPr>
          <w:rFonts w:ascii="Arial" w:cs="Arial" w:eastAsia="Arial" w:hAnsi="Arial"/>
          <w:sz w:val="13"/>
          <w:szCs w:val="13"/>
          <w:color w:val="010000"/>
        </w:rPr>
      </w:pPr>
    </w:p>
    <w:p>
      <w:pPr>
        <w:ind w:left="2100" w:hanging="225"/>
        <w:spacing w:after="0"/>
        <w:tabs>
          <w:tab w:leader="none" w:pos="2100" w:val="left"/>
        </w:tabs>
        <w:numPr>
          <w:ilvl w:val="0"/>
          <w:numId w:val="155"/>
        </w:numPr>
        <w:rPr>
          <w:rFonts w:ascii="Arial" w:cs="Arial" w:eastAsia="Arial" w:hAnsi="Arial"/>
          <w:sz w:val="12"/>
          <w:szCs w:val="12"/>
          <w:color w:val="010000"/>
        </w:rPr>
      </w:pPr>
      <w:r>
        <w:rPr>
          <w:rFonts w:ascii="Arial" w:cs="Arial" w:eastAsia="Arial" w:hAnsi="Arial"/>
          <w:sz w:val="12"/>
          <w:szCs w:val="12"/>
          <w:color w:val="auto"/>
        </w:rPr>
        <w:t>sums paid or incurred to take any action required of any Loan Party under the Loan Documents that such Loan Party fails to</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pay or take; and</w:t>
      </w:r>
    </w:p>
    <w:p>
      <w:pPr>
        <w:spacing w:after="0" w:line="112" w:lineRule="exact"/>
        <w:rPr>
          <w:rFonts w:ascii="Arial" w:cs="Arial" w:eastAsia="Arial" w:hAnsi="Arial"/>
          <w:sz w:val="12"/>
          <w:szCs w:val="12"/>
          <w:color w:val="010000"/>
        </w:rPr>
      </w:pPr>
    </w:p>
    <w:p>
      <w:pPr>
        <w:ind w:left="120" w:right="119" w:firstLine="1755"/>
        <w:spacing w:after="0" w:line="239" w:lineRule="auto"/>
        <w:tabs>
          <w:tab w:leader="none" w:pos="2080"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forwarding loan proceeds, collecting checks and other items of payment, and establishing and maintaining the accounts and lock boxes, and costs and expenses of preserving and protecting the Collateral.</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All of the foregoing fees, costs and expenses may be charged to the Borrower as Revolving Loans or to another deposit account, all as described in Section 2.18(c).</w:t>
      </w:r>
    </w:p>
    <w:p>
      <w:pPr>
        <w:spacing w:after="0" w:line="145" w:lineRule="exact"/>
        <w:rPr>
          <w:sz w:val="20"/>
          <w:szCs w:val="20"/>
          <w:color w:val="auto"/>
        </w:rPr>
      </w:pPr>
    </w:p>
    <w:p>
      <w:pPr>
        <w:jc w:val="both"/>
        <w:ind w:left="120" w:right="119" w:firstLine="879"/>
        <w:spacing w:after="0" w:line="227" w:lineRule="auto"/>
        <w:tabs>
          <w:tab w:leader="none" w:pos="1197" w:val="left"/>
        </w:tabs>
        <w:numPr>
          <w:ilvl w:val="0"/>
          <w:numId w:val="156"/>
        </w:numPr>
        <w:rPr>
          <w:rFonts w:ascii="Arial" w:cs="Arial" w:eastAsia="Arial" w:hAnsi="Arial"/>
          <w:sz w:val="12"/>
          <w:szCs w:val="12"/>
          <w:color w:val="010000"/>
        </w:rPr>
      </w:pPr>
      <w:r>
        <w:rPr>
          <w:rFonts w:ascii="Arial" w:cs="Arial" w:eastAsia="Arial" w:hAnsi="Arial"/>
          <w:sz w:val="12"/>
          <w:szCs w:val="12"/>
          <w:color w:val="auto"/>
        </w:rPr>
        <w:t>The Loan Parties, jointly and severally, shall indemnify the Administrative Agent, the Issuing Bank and each Lender, and each Related Party of any of the foregoing Persons (each such Person being called an “</w:t>
      </w:r>
      <w:r>
        <w:rPr>
          <w:rFonts w:ascii="Arial" w:cs="Arial" w:eastAsia="Arial" w:hAnsi="Arial"/>
          <w:sz w:val="12"/>
          <w:szCs w:val="12"/>
          <w:u w:val="single" w:color="auto"/>
          <w:color w:val="auto"/>
        </w:rPr>
        <w:t>Indemnitee</w:t>
      </w:r>
      <w:r>
        <w:rPr>
          <w:rFonts w:ascii="Arial" w:cs="Arial" w:eastAsia="Arial" w:hAnsi="Arial"/>
          <w:sz w:val="12"/>
          <w:szCs w:val="12"/>
          <w:color w:val="auto"/>
        </w:rPr>
        <w:t>”) against, and hold each Indemnitee harmless from, any and all losses, claims, damages, penalties, incremental taxes, liabilities and related expenses, including the fees, charges and disbursements of any counsel for any Indemnitee (subject to Section 9.03(a)(iii) above),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such Loan Party for Taxes pursuant to Section 2.17, or (v)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44" w:name="page145"/>
    <w:bookmarkEnd w:id="144"/>
    <w:p>
      <w:pPr>
        <w:jc w:val="both"/>
        <w:ind w:left="120" w:right="119"/>
        <w:spacing w:after="0" w:line="222" w:lineRule="auto"/>
        <w:rPr>
          <w:sz w:val="20"/>
          <w:szCs w:val="20"/>
          <w:color w:val="auto"/>
        </w:rPr>
      </w:pPr>
      <w:r>
        <w:rPr>
          <w:rFonts w:ascii="Arial" w:cs="Arial" w:eastAsia="Arial" w:hAnsi="Arial"/>
          <w:sz w:val="13"/>
          <w:szCs w:val="13"/>
          <w:color w:val="auto"/>
        </w:rPr>
        <w:t xml:space="preserve">of whether any Indemnitee is a party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w:t>
      </w:r>
    </w:p>
    <w:p>
      <w:pPr>
        <w:spacing w:after="0" w:line="104" w:lineRule="exact"/>
        <w:rPr>
          <w:sz w:val="20"/>
          <w:szCs w:val="20"/>
          <w:color w:val="auto"/>
        </w:rPr>
      </w:pPr>
    </w:p>
    <w:p>
      <w:pPr>
        <w:jc w:val="both"/>
        <w:ind w:left="120" w:right="119" w:firstLine="879"/>
        <w:spacing w:after="0" w:line="214" w:lineRule="auto"/>
        <w:tabs>
          <w:tab w:leader="none" w:pos="1189"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 xml:space="preserve">To the extent that any Loan Party fails to pay any amount required to be paid by it to the Administrative Agent (or any sub-agent thereof), the Swingline Lender or the Issuing Bank (or any Related Party of any of the foregoing) under paragraph (a) or (b) of this Section, each Lender severally agrees to pay to the Administrative Agent, the Swingline Lender or the Issuing Bank (or any Related Party of any of the foregoing), as the case may be, such Lender’s Applicable Percentage (determined as of the time that the applicable unreimbursed expense or indemnity payment is sought) of such unpaid amount (it being understood that any such payment by the Lenders shall not relieve the Borrower of any default in the payment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unreimbursed expense or indemnified loss, claim, damage, penalty, liability or related expense, as the case may be, was incurred by or asserted against the Administrative Agent, the Swingline Lender or the Issuing Bank in its capacity as such.</w:t>
      </w:r>
    </w:p>
    <w:p>
      <w:pPr>
        <w:spacing w:after="0" w:line="106" w:lineRule="exact"/>
        <w:rPr>
          <w:rFonts w:ascii="Arial" w:cs="Arial" w:eastAsia="Arial" w:hAnsi="Arial"/>
          <w:sz w:val="13"/>
          <w:szCs w:val="13"/>
          <w:color w:val="010000"/>
        </w:rPr>
      </w:pPr>
    </w:p>
    <w:p>
      <w:pPr>
        <w:jc w:val="both"/>
        <w:ind w:left="120" w:right="119" w:firstLine="879"/>
        <w:spacing w:after="0" w:line="214" w:lineRule="auto"/>
        <w:tabs>
          <w:tab w:leader="none" w:pos="1197"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 xml:space="preserve">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06" w:lineRule="exact"/>
        <w:rPr>
          <w:rFonts w:ascii="Arial" w:cs="Arial" w:eastAsia="Arial" w:hAnsi="Arial"/>
          <w:sz w:val="13"/>
          <w:szCs w:val="13"/>
          <w:color w:val="010000"/>
        </w:rPr>
      </w:pPr>
    </w:p>
    <w:p>
      <w:pPr>
        <w:ind w:left="1200" w:hanging="201"/>
        <w:spacing w:after="0"/>
        <w:tabs>
          <w:tab w:leader="none" w:pos="120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All amounts due under this Section shall be payable not later than five (5) Business Days after written demand therefor.</w:t>
      </w:r>
    </w:p>
    <w:p>
      <w:pPr>
        <w:spacing w:after="0" w:line="124" w:lineRule="exact"/>
        <w:rPr>
          <w:sz w:val="20"/>
          <w:szCs w:val="20"/>
          <w:color w:val="auto"/>
        </w:rPr>
      </w:pPr>
    </w:p>
    <w:p>
      <w:pPr>
        <w:ind w:left="120" w:right="139" w:firstLine="438"/>
        <w:spacing w:after="0" w:line="246" w:lineRule="auto"/>
        <w:rPr>
          <w:sz w:val="20"/>
          <w:szCs w:val="20"/>
          <w:color w:val="auto"/>
        </w:rPr>
      </w:pPr>
      <w:r>
        <w:rPr>
          <w:rFonts w:ascii="Arial" w:cs="Arial" w:eastAsia="Arial" w:hAnsi="Arial"/>
          <w:sz w:val="12"/>
          <w:szCs w:val="12"/>
          <w:color w:val="010000"/>
        </w:rPr>
        <w:t xml:space="preserve">SECTION 9.04 </w:t>
      </w:r>
      <w:r>
        <w:rPr>
          <w:rFonts w:ascii="Arial" w:cs="Arial" w:eastAsia="Arial" w:hAnsi="Arial"/>
          <w:sz w:val="12"/>
          <w:szCs w:val="12"/>
          <w:u w:val="single" w:color="auto"/>
          <w:color w:val="000000"/>
        </w:rPr>
        <w:t>Successors and Assigns</w:t>
      </w:r>
      <w:r>
        <w:rPr>
          <w:rFonts w:ascii="Arial" w:cs="Arial" w:eastAsia="Arial" w:hAnsi="Arial"/>
          <w:sz w:val="12"/>
          <w:szCs w:val="12"/>
          <w:color w:val="000000"/>
        </w:rPr>
        <w:t>.</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 The provisions of this Agreement shall be binding upon and inure to the benefit of the parties hereto and their</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91"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spacing w:after="0" w:line="113" w:lineRule="exact"/>
        <w:rPr>
          <w:sz w:val="20"/>
          <w:szCs w:val="20"/>
          <w:color w:val="auto"/>
        </w:rPr>
      </w:pPr>
    </w:p>
    <w:p>
      <w:pPr>
        <w:ind w:left="120" w:right="119" w:firstLine="1755"/>
        <w:spacing w:after="0" w:line="239" w:lineRule="auto"/>
        <w:tabs>
          <w:tab w:leader="none" w:pos="2102" w:val="left"/>
        </w:tabs>
        <w:numPr>
          <w:ilvl w:val="0"/>
          <w:numId w:val="158"/>
        </w:numPr>
        <w:rPr>
          <w:rFonts w:ascii="Arial" w:cs="Arial" w:eastAsia="Arial" w:hAnsi="Arial"/>
          <w:sz w:val="13"/>
          <w:szCs w:val="13"/>
          <w:color w:val="010000"/>
        </w:rPr>
      </w:pPr>
      <w:r>
        <w:rPr>
          <w:rFonts w:ascii="Arial" w:cs="Arial" w:eastAsia="Arial" w:hAnsi="Arial"/>
          <w:sz w:val="13"/>
          <w:szCs w:val="13"/>
          <w:color w:val="auto"/>
        </w:rPr>
        <w:t xml:space="preserve">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be deemed to have consented to any such assignment unless it shall object thereto by written notice to the Administrative Agent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45" w:name="page146"/>
    <w:bookmarkEnd w:id="145"/>
    <w:p>
      <w:pPr>
        <w:ind w:left="120" w:right="119"/>
        <w:spacing w:after="0" w:line="239" w:lineRule="auto"/>
        <w:rPr>
          <w:sz w:val="20"/>
          <w:szCs w:val="20"/>
          <w:color w:val="auto"/>
        </w:rPr>
      </w:pPr>
      <w:r>
        <w:rPr>
          <w:rFonts w:ascii="Arial" w:cs="Arial" w:eastAsia="Arial" w:hAnsi="Arial"/>
          <w:sz w:val="13"/>
          <w:szCs w:val="13"/>
          <w:color w:val="auto"/>
        </w:rPr>
        <w:t xml:space="preserve">within five (5) Business Days after having received notice thereof,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no consent of the Borrower shall be required for an assignment to a Lender, an Affiliate of a Lender, an Approved Fund or, if an Event of Default has occurred and is continuing, any other assignee;</w:t>
      </w:r>
    </w:p>
    <w:p>
      <w:pPr>
        <w:spacing w:after="0" w:line="104" w:lineRule="exact"/>
        <w:rPr>
          <w:sz w:val="20"/>
          <w:szCs w:val="20"/>
          <w:color w:val="auto"/>
        </w:rPr>
      </w:pPr>
    </w:p>
    <w:p>
      <w:pPr>
        <w:ind w:left="120" w:right="119" w:firstLine="1755"/>
        <w:spacing w:after="0" w:line="239" w:lineRule="auto"/>
        <w:tabs>
          <w:tab w:leader="none" w:pos="2095" w:val="left"/>
        </w:tabs>
        <w:numPr>
          <w:ilvl w:val="1"/>
          <w:numId w:val="159"/>
        </w:numPr>
        <w:rPr>
          <w:rFonts w:ascii="Arial" w:cs="Arial" w:eastAsia="Arial" w:hAnsi="Arial"/>
          <w:sz w:val="13"/>
          <w:szCs w:val="13"/>
          <w:color w:val="010000"/>
        </w:rPr>
      </w:pPr>
      <w:r>
        <w:rPr>
          <w:rFonts w:ascii="Arial" w:cs="Arial" w:eastAsia="Arial" w:hAnsi="Arial"/>
          <w:sz w:val="13"/>
          <w:szCs w:val="13"/>
          <w:color w:val="auto"/>
        </w:rPr>
        <w:t xml:space="preserve">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consent of the Administrative Agent shall be required for an assignment of all or any portion of a Term Loan to a Lender, an Affiliate of a Lender or an Approved Fund;</w:t>
      </w:r>
    </w:p>
    <w:p>
      <w:pPr>
        <w:spacing w:after="0" w:line="103" w:lineRule="exact"/>
        <w:rPr>
          <w:rFonts w:ascii="Arial" w:cs="Arial" w:eastAsia="Arial" w:hAnsi="Arial"/>
          <w:sz w:val="13"/>
          <w:szCs w:val="13"/>
          <w:color w:val="010000"/>
        </w:rPr>
      </w:pPr>
    </w:p>
    <w:p>
      <w:pPr>
        <w:ind w:left="2100" w:hanging="225"/>
        <w:spacing w:after="0"/>
        <w:tabs>
          <w:tab w:leader="none" w:pos="2100" w:val="left"/>
        </w:tabs>
        <w:numPr>
          <w:ilvl w:val="1"/>
          <w:numId w:val="159"/>
        </w:numPr>
        <w:rPr>
          <w:rFonts w:ascii="Arial" w:cs="Arial" w:eastAsia="Arial" w:hAnsi="Arial"/>
          <w:sz w:val="12"/>
          <w:szCs w:val="12"/>
          <w:color w:val="010000"/>
        </w:rPr>
      </w:pPr>
      <w:r>
        <w:rPr>
          <w:rFonts w:ascii="Arial" w:cs="Arial" w:eastAsia="Arial" w:hAnsi="Arial"/>
          <w:sz w:val="12"/>
          <w:szCs w:val="12"/>
          <w:color w:val="auto"/>
        </w:rPr>
        <w:t xml:space="preserve">the Issuing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Issuing Bank shall be required for an assignment of all or any portion of a</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Term Loan; and</w:t>
      </w:r>
    </w:p>
    <w:p>
      <w:pPr>
        <w:spacing w:after="0" w:line="112" w:lineRule="exact"/>
        <w:rPr>
          <w:rFonts w:ascii="Arial" w:cs="Arial" w:eastAsia="Arial" w:hAnsi="Arial"/>
          <w:sz w:val="12"/>
          <w:szCs w:val="12"/>
          <w:color w:val="010000"/>
        </w:rPr>
      </w:pPr>
    </w:p>
    <w:p>
      <w:pPr>
        <w:ind w:left="2100" w:hanging="225"/>
        <w:spacing w:after="0"/>
        <w:tabs>
          <w:tab w:leader="none" w:pos="2100" w:val="left"/>
        </w:tabs>
        <w:numPr>
          <w:ilvl w:val="1"/>
          <w:numId w:val="159"/>
        </w:numPr>
        <w:rPr>
          <w:rFonts w:ascii="Arial" w:cs="Arial" w:eastAsia="Arial" w:hAnsi="Arial"/>
          <w:sz w:val="12"/>
          <w:szCs w:val="12"/>
          <w:color w:val="010000"/>
        </w:rPr>
      </w:pPr>
      <w:r>
        <w:rPr>
          <w:rFonts w:ascii="Arial" w:cs="Arial" w:eastAsia="Arial" w:hAnsi="Arial"/>
          <w:sz w:val="12"/>
          <w:szCs w:val="12"/>
          <w:color w:val="auto"/>
        </w:rPr>
        <w:t xml:space="preserve">the Swingline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Swingline Lender shall be required for an assignment of all or any</w:t>
      </w:r>
    </w:p>
    <w:p>
      <w:pPr>
        <w:spacing w:after="0" w:line="1" w:lineRule="exact"/>
        <w:rPr>
          <w:rFonts w:ascii="Arial" w:cs="Arial" w:eastAsia="Arial" w:hAnsi="Arial"/>
          <w:sz w:val="12"/>
          <w:szCs w:val="12"/>
          <w:color w:val="010000"/>
        </w:rPr>
      </w:pPr>
    </w:p>
    <w:p>
      <w:pPr>
        <w:ind w:left="120"/>
        <w:spacing w:after="0"/>
        <w:rPr>
          <w:rFonts w:ascii="Arial" w:cs="Arial" w:eastAsia="Arial" w:hAnsi="Arial"/>
          <w:sz w:val="12"/>
          <w:szCs w:val="12"/>
          <w:color w:val="010000"/>
        </w:rPr>
      </w:pPr>
      <w:r>
        <w:rPr>
          <w:rFonts w:ascii="Arial" w:cs="Arial" w:eastAsia="Arial" w:hAnsi="Arial"/>
          <w:sz w:val="13"/>
          <w:szCs w:val="13"/>
          <w:color w:val="auto"/>
        </w:rPr>
        <w:t>portion of a Term Loan.</w:t>
      </w:r>
    </w:p>
    <w:p>
      <w:pPr>
        <w:spacing w:after="0" w:line="112" w:lineRule="exact"/>
        <w:rPr>
          <w:rFonts w:ascii="Arial" w:cs="Arial" w:eastAsia="Arial" w:hAnsi="Arial"/>
          <w:sz w:val="12"/>
          <w:szCs w:val="12"/>
          <w:color w:val="010000"/>
        </w:rPr>
      </w:pPr>
    </w:p>
    <w:p>
      <w:pPr>
        <w:ind w:left="1640" w:hanging="203"/>
        <w:spacing w:after="0"/>
        <w:tabs>
          <w:tab w:leader="none" w:pos="1640" w:val="left"/>
        </w:tabs>
        <w:numPr>
          <w:ilvl w:val="0"/>
          <w:numId w:val="160"/>
        </w:numPr>
        <w:rPr>
          <w:rFonts w:ascii="Arial" w:cs="Arial" w:eastAsia="Arial" w:hAnsi="Arial"/>
          <w:sz w:val="13"/>
          <w:szCs w:val="13"/>
          <w:color w:val="010000"/>
        </w:rPr>
      </w:pPr>
      <w:r>
        <w:rPr>
          <w:rFonts w:ascii="Arial" w:cs="Arial" w:eastAsia="Arial" w:hAnsi="Arial"/>
          <w:sz w:val="13"/>
          <w:szCs w:val="13"/>
          <w:color w:val="auto"/>
        </w:rPr>
        <w:t>Assignments shall be subject to the following additional conditions:</w:t>
      </w:r>
    </w:p>
    <w:p>
      <w:pPr>
        <w:spacing w:after="0" w:line="124" w:lineRule="exact"/>
        <w:rPr>
          <w:rFonts w:ascii="Arial" w:cs="Arial" w:eastAsia="Arial" w:hAnsi="Arial"/>
          <w:sz w:val="13"/>
          <w:szCs w:val="13"/>
          <w:color w:val="010000"/>
        </w:rPr>
      </w:pPr>
    </w:p>
    <w:p>
      <w:pPr>
        <w:jc w:val="both"/>
        <w:ind w:left="120" w:right="119" w:firstLine="1755"/>
        <w:spacing w:after="0" w:line="218" w:lineRule="auto"/>
        <w:tabs>
          <w:tab w:leader="none" w:pos="2102"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 $5,000,000 unless each of the Borrower and the Administrative Agent otherwise consent,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consent of the Borrower shall be required if an Event of Default has occurred and is continuing;</w:t>
      </w:r>
    </w:p>
    <w:p>
      <w:pPr>
        <w:spacing w:after="0" w:line="105" w:lineRule="exact"/>
        <w:rPr>
          <w:rFonts w:ascii="Arial" w:cs="Arial" w:eastAsia="Arial" w:hAnsi="Arial"/>
          <w:sz w:val="13"/>
          <w:szCs w:val="13"/>
          <w:color w:val="010000"/>
        </w:rPr>
      </w:pPr>
    </w:p>
    <w:p>
      <w:pPr>
        <w:jc w:val="both"/>
        <w:ind w:left="120" w:right="119" w:firstLine="1755"/>
        <w:spacing w:after="0" w:line="228" w:lineRule="auto"/>
        <w:tabs>
          <w:tab w:leader="none" w:pos="2095"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 xml:space="preserve">each partial assignment shall be made as an assignment of a proportionate part of all the assigning Lender’s rights and obligations under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clause shall not be construed to prohibit the assignment of a proportionate part of all the assigning Lender’s rights and obligations in respect of one Class of Commitments or Loans;</w:t>
      </w:r>
    </w:p>
    <w:p>
      <w:pPr>
        <w:spacing w:after="0" w:line="102" w:lineRule="exact"/>
        <w:rPr>
          <w:rFonts w:ascii="Arial" w:cs="Arial" w:eastAsia="Arial" w:hAnsi="Arial"/>
          <w:sz w:val="13"/>
          <w:szCs w:val="13"/>
          <w:color w:val="010000"/>
        </w:rPr>
      </w:pPr>
    </w:p>
    <w:p>
      <w:pPr>
        <w:jc w:val="both"/>
        <w:ind w:left="120" w:right="119" w:firstLine="1755"/>
        <w:spacing w:after="0" w:line="250" w:lineRule="auto"/>
        <w:tabs>
          <w:tab w:leader="none" w:pos="2095" w:val="left"/>
        </w:tabs>
        <w:numPr>
          <w:ilvl w:val="1"/>
          <w:numId w:val="160"/>
        </w:numPr>
        <w:rPr>
          <w:rFonts w:ascii="Arial" w:cs="Arial" w:eastAsia="Arial" w:hAnsi="Arial"/>
          <w:sz w:val="12"/>
          <w:szCs w:val="12"/>
          <w:color w:val="010000"/>
        </w:rPr>
      </w:pPr>
      <w:r>
        <w:rPr>
          <w:rFonts w:ascii="Arial" w:cs="Arial" w:eastAsia="Arial" w:hAnsi="Arial"/>
          <w:sz w:val="12"/>
          <w:szCs w:val="12"/>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and</w:t>
      </w:r>
    </w:p>
    <w:p>
      <w:pPr>
        <w:spacing w:after="0" w:line="97" w:lineRule="exact"/>
        <w:rPr>
          <w:rFonts w:ascii="Arial" w:cs="Arial" w:eastAsia="Arial" w:hAnsi="Arial"/>
          <w:sz w:val="12"/>
          <w:szCs w:val="12"/>
          <w:color w:val="010000"/>
        </w:rPr>
      </w:pPr>
    </w:p>
    <w:p>
      <w:pPr>
        <w:jc w:val="both"/>
        <w:ind w:left="120" w:right="119" w:firstLine="1755"/>
        <w:spacing w:after="0" w:line="222" w:lineRule="auto"/>
        <w:tabs>
          <w:tab w:leader="none" w:pos="2102"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purposes of this Section 9.04(b), the terms “</w:t>
      </w:r>
      <w:r>
        <w:rPr>
          <w:rFonts w:ascii="Arial" w:cs="Arial" w:eastAsia="Arial" w:hAnsi="Arial"/>
          <w:sz w:val="13"/>
          <w:szCs w:val="13"/>
          <w:u w:val="single" w:color="auto"/>
          <w:color w:val="auto"/>
        </w:rPr>
        <w:t>Approved Fund</w:t>
      </w:r>
      <w:r>
        <w:rPr>
          <w:rFonts w:ascii="Arial" w:cs="Arial" w:eastAsia="Arial" w:hAnsi="Arial"/>
          <w:sz w:val="13"/>
          <w:szCs w:val="13"/>
          <w:color w:val="auto"/>
        </w:rPr>
        <w:t>” and “</w:t>
      </w:r>
      <w:r>
        <w:rPr>
          <w:rFonts w:ascii="Arial" w:cs="Arial" w:eastAsia="Arial" w:hAnsi="Arial"/>
          <w:sz w:val="13"/>
          <w:szCs w:val="13"/>
          <w:u w:val="single" w:color="auto"/>
          <w:color w:val="auto"/>
        </w:rPr>
        <w:t>Ineligible Institution</w:t>
      </w:r>
      <w:r>
        <w:rPr>
          <w:rFonts w:ascii="Arial" w:cs="Arial" w:eastAsia="Arial" w:hAnsi="Arial"/>
          <w:sz w:val="13"/>
          <w:szCs w:val="13"/>
          <w:color w:val="auto"/>
        </w:rPr>
        <w:t>” have the following meanings: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46" w:name="page147"/>
    <w:bookmarkEnd w:id="146"/>
    <w:p>
      <w:pPr>
        <w:jc w:val="both"/>
        <w:ind w:left="120" w:right="119" w:firstLine="438"/>
        <w:spacing w:after="0" w:line="24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Ineligible Institution</w:t>
      </w:r>
      <w:r>
        <w:rPr>
          <w:rFonts w:ascii="Arial" w:cs="Arial" w:eastAsia="Arial" w:hAnsi="Arial"/>
          <w:sz w:val="12"/>
          <w:szCs w:val="12"/>
          <w:color w:val="auto"/>
        </w:rPr>
        <w:t xml:space="preserve">” means a (a) natural person, (b) a Defaulting Lender or its Parent, (c) holding company, investment vehicle or trust for, or owned and operated for the primary benefit of, a natural person or relative(s)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upon the occurrence of an Event of Default, any Person (other than a Lender) shall be an Ineligible Institution if after giving effect to any proposed assignment to such Person, such Person would hold more than 25% of the then outstanding Aggregate Credit Exposure or Commitments, as the case may be or (d) a Loan Party or a Subsidiary or other Affiliate of a Loan Party.</w:t>
      </w:r>
    </w:p>
    <w:p>
      <w:pPr>
        <w:spacing w:after="0" w:line="109" w:lineRule="exact"/>
        <w:rPr>
          <w:sz w:val="20"/>
          <w:szCs w:val="20"/>
          <w:color w:val="auto"/>
        </w:rPr>
      </w:pPr>
    </w:p>
    <w:p>
      <w:pPr>
        <w:jc w:val="both"/>
        <w:ind w:left="120" w:right="119" w:firstLine="1317"/>
        <w:spacing w:after="0" w:line="213" w:lineRule="auto"/>
        <w:tabs>
          <w:tab w:leader="none" w:pos="1679"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05" w:lineRule="exact"/>
        <w:rPr>
          <w:rFonts w:ascii="Arial" w:cs="Arial" w:eastAsia="Arial" w:hAnsi="Arial"/>
          <w:sz w:val="13"/>
          <w:szCs w:val="13"/>
          <w:color w:val="010000"/>
        </w:rPr>
      </w:pPr>
    </w:p>
    <w:p>
      <w:pPr>
        <w:jc w:val="both"/>
        <w:ind w:left="120" w:right="119" w:firstLine="1317"/>
        <w:spacing w:after="0" w:line="234" w:lineRule="auto"/>
        <w:tabs>
          <w:tab w:leader="none" w:pos="1672" w:val="left"/>
        </w:tabs>
        <w:numPr>
          <w:ilvl w:val="0"/>
          <w:numId w:val="161"/>
        </w:numPr>
        <w:rPr>
          <w:rFonts w:ascii="Arial" w:cs="Arial" w:eastAsia="Arial" w:hAnsi="Arial"/>
          <w:sz w:val="12"/>
          <w:szCs w:val="12"/>
          <w:color w:val="010000"/>
        </w:rPr>
      </w:pPr>
      <w:r>
        <w:rPr>
          <w:rFonts w:ascii="Arial" w:cs="Arial" w:eastAsia="Arial" w:hAnsi="Arial"/>
          <w:sz w:val="12"/>
          <w:szCs w:val="12"/>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2"/>
          <w:szCs w:val="12"/>
          <w:u w:val="single" w:color="auto"/>
          <w:color w:val="auto"/>
        </w:rPr>
        <w:t>Register</w:t>
      </w:r>
      <w:r>
        <w:rPr>
          <w:rFonts w:ascii="Arial" w:cs="Arial" w:eastAsia="Arial" w:hAnsi="Arial"/>
          <w:sz w:val="12"/>
          <w:szCs w:val="12"/>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04" w:lineRule="exact"/>
        <w:rPr>
          <w:rFonts w:ascii="Arial" w:cs="Arial" w:eastAsia="Arial" w:hAnsi="Arial"/>
          <w:sz w:val="12"/>
          <w:szCs w:val="12"/>
          <w:color w:val="010000"/>
        </w:rPr>
      </w:pPr>
    </w:p>
    <w:p>
      <w:pPr>
        <w:jc w:val="both"/>
        <w:ind w:left="120" w:right="119" w:firstLine="1317"/>
        <w:spacing w:after="0" w:line="230" w:lineRule="auto"/>
        <w:tabs>
          <w:tab w:leader="none" w:pos="1635" w:val="left"/>
        </w:tabs>
        <w:numPr>
          <w:ilvl w:val="0"/>
          <w:numId w:val="161"/>
        </w:numPr>
        <w:rPr>
          <w:rFonts w:ascii="Arial" w:cs="Arial" w:eastAsia="Arial" w:hAnsi="Arial"/>
          <w:sz w:val="12"/>
          <w:szCs w:val="12"/>
          <w:color w:val="010000"/>
        </w:rPr>
      </w:pPr>
      <w:r>
        <w:rPr>
          <w:rFonts w:ascii="Arial" w:cs="Arial" w:eastAsia="Arial" w:hAnsi="Arial"/>
          <w:sz w:val="12"/>
          <w:szCs w:val="12"/>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7" w:name="page148"/>
    <w:bookmarkEnd w:id="147"/>
    <w:p>
      <w:pPr>
        <w:jc w:val="both"/>
        <w:ind w:left="120" w:right="119" w:firstLine="879"/>
        <w:spacing w:after="0"/>
        <w:tabs>
          <w:tab w:leader="none" w:pos="1189" w:val="left"/>
        </w:tabs>
        <w:numPr>
          <w:ilvl w:val="0"/>
          <w:numId w:val="162"/>
        </w:numPr>
        <w:rPr>
          <w:rFonts w:ascii="Arial" w:cs="Arial" w:eastAsia="Arial" w:hAnsi="Arial"/>
          <w:sz w:val="12"/>
          <w:szCs w:val="12"/>
          <w:color w:val="010000"/>
        </w:rPr>
      </w:pPr>
      <w:r>
        <w:rPr>
          <w:rFonts w:ascii="Arial" w:cs="Arial" w:eastAsia="Arial" w:hAnsi="Arial"/>
          <w:sz w:val="12"/>
          <w:szCs w:val="12"/>
          <w:color w:val="auto"/>
        </w:rPr>
        <w:t>Any Lender may, without the consent of the Borrower, the Administrative Agent, the Swingline Lender or the Issuing Bank, sell participations to one or more banks or other entities (a “</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and the information and documentation required under Section 2.17(g) will be delivered to the Borrower and the Administrative Agent)) to the same extent as if it were a Lender and had acquired its interest by assignment pursuant to paragraph (b) of this Section;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19" w:lineRule="exact"/>
        <w:rPr>
          <w:sz w:val="20"/>
          <w:szCs w:val="20"/>
          <w:color w:val="auto"/>
        </w:rPr>
      </w:pPr>
    </w:p>
    <w:p>
      <w:pPr>
        <w:jc w:val="both"/>
        <w:ind w:left="120" w:right="119" w:firstLine="438"/>
        <w:spacing w:after="0" w:line="243" w:lineRule="auto"/>
        <w:rPr>
          <w:sz w:val="20"/>
          <w:szCs w:val="20"/>
          <w:color w:val="auto"/>
        </w:rPr>
      </w:pPr>
      <w:r>
        <w:rPr>
          <w:rFonts w:ascii="Arial" w:cs="Arial" w:eastAsia="Arial" w:hAnsi="Arial"/>
          <w:sz w:val="12"/>
          <w:szCs w:val="12"/>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11" w:lineRule="exact"/>
        <w:rPr>
          <w:sz w:val="20"/>
          <w:szCs w:val="20"/>
          <w:color w:val="auto"/>
        </w:rPr>
      </w:pPr>
    </w:p>
    <w:p>
      <w:pPr>
        <w:jc w:val="both"/>
        <w:ind w:left="120" w:right="119" w:firstLine="879"/>
        <w:spacing w:after="0" w:line="228" w:lineRule="auto"/>
        <w:tabs>
          <w:tab w:leader="none" w:pos="1197" w:val="left"/>
        </w:tabs>
        <w:numPr>
          <w:ilvl w:val="0"/>
          <w:numId w:val="163"/>
        </w:numPr>
        <w:rPr>
          <w:rFonts w:ascii="Arial" w:cs="Arial" w:eastAsia="Arial" w:hAnsi="Arial"/>
          <w:sz w:val="13"/>
          <w:szCs w:val="13"/>
          <w:color w:val="010000"/>
        </w:rPr>
      </w:pPr>
      <w:r>
        <w:rPr>
          <w:rFonts w:ascii="Arial" w:cs="Arial" w:eastAsia="Arial" w:hAnsi="Arial"/>
          <w:sz w:val="13"/>
          <w:szCs w:val="13"/>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of 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8" w:name="page149"/>
    <w:bookmarkEnd w:id="148"/>
    <w:p>
      <w:pPr>
        <w:ind w:left="120"/>
        <w:spacing w:after="0"/>
        <w:rPr>
          <w:sz w:val="20"/>
          <w:szCs w:val="20"/>
          <w:color w:val="auto"/>
        </w:rPr>
      </w:pPr>
      <w:r>
        <w:rPr>
          <w:rFonts w:ascii="Arial" w:cs="Arial" w:eastAsia="Arial" w:hAnsi="Arial"/>
          <w:sz w:val="12"/>
          <w:szCs w:val="12"/>
          <w:color w:val="auto"/>
        </w:rPr>
        <w:t>security interest shall release a Lender from any of its obligations hereunder or substitute any such pledgee or assignee for such Lender as a party hereto.</w:t>
      </w:r>
    </w:p>
    <w:p>
      <w:pPr>
        <w:spacing w:after="0" w:line="136" w:lineRule="exact"/>
        <w:rPr>
          <w:sz w:val="20"/>
          <w:szCs w:val="20"/>
          <w:color w:val="auto"/>
        </w:rPr>
      </w:pPr>
    </w:p>
    <w:p>
      <w:pPr>
        <w:ind w:left="120" w:right="159" w:firstLine="438"/>
        <w:spacing w:after="0" w:line="241" w:lineRule="auto"/>
        <w:rPr>
          <w:sz w:val="20"/>
          <w:szCs w:val="20"/>
          <w:color w:val="auto"/>
        </w:rPr>
      </w:pPr>
      <w:r>
        <w:rPr>
          <w:rFonts w:ascii="Arial" w:cs="Arial" w:eastAsia="Arial" w:hAnsi="Arial"/>
          <w:sz w:val="12"/>
          <w:szCs w:val="12"/>
          <w:color w:val="010000"/>
        </w:rPr>
        <w:t xml:space="preserve">SECTION 9.05 </w:t>
      </w:r>
      <w:r>
        <w:rPr>
          <w:rFonts w:ascii="Arial" w:cs="Arial" w:eastAsia="Arial" w:hAnsi="Arial"/>
          <w:sz w:val="12"/>
          <w:szCs w:val="12"/>
          <w:u w:val="single" w:color="auto"/>
          <w:color w:val="000000"/>
        </w:rPr>
        <w:t>Survival</w:t>
      </w:r>
      <w:r>
        <w:rPr>
          <w:rFonts w:ascii="Arial" w:cs="Arial" w:eastAsia="Arial" w:hAnsi="Arial"/>
          <w:sz w:val="12"/>
          <w:szCs w:val="12"/>
          <w:color w:val="000000"/>
        </w:rPr>
        <w:t>. All covenants, agreements, representations and warranties made by the Loan Parties in the Loan Documents and in the</w:t>
      </w:r>
      <w:r>
        <w:rPr>
          <w:rFonts w:ascii="Arial" w:cs="Arial" w:eastAsia="Arial" w:hAnsi="Arial"/>
          <w:sz w:val="12"/>
          <w:szCs w:val="12"/>
          <w:color w:val="010000"/>
        </w:rPr>
        <w:t xml:space="preserve"> </w:t>
      </w:r>
      <w:r>
        <w:rPr>
          <w:rFonts w:ascii="Arial" w:cs="Arial" w:eastAsia="Arial" w:hAnsi="Arial"/>
          <w:sz w:val="12"/>
          <w:szCs w:val="12"/>
          <w:color w:val="000000"/>
        </w:rPr>
        <w:t>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w:t>
      </w:r>
      <w:r>
        <w:rPr>
          <w:rFonts w:ascii="Arial" w:cs="Arial" w:eastAsia="Arial" w:hAnsi="Arial"/>
          <w:sz w:val="12"/>
          <w:szCs w:val="12"/>
          <w:u w:val="single" w:color="auto"/>
          <w:color w:val="000000"/>
        </w:rPr>
        <w:t>ing and</w:t>
      </w:r>
    </w:p>
    <w:p>
      <w:pPr>
        <w:spacing w:after="0" w:line="1" w:lineRule="exact"/>
        <w:rPr>
          <w:sz w:val="20"/>
          <w:szCs w:val="20"/>
          <w:color w:val="auto"/>
        </w:rPr>
      </w:pPr>
    </w:p>
    <w:p>
      <w:pPr>
        <w:ind w:left="120" w:right="179"/>
        <w:spacing w:after="0" w:line="228" w:lineRule="auto"/>
        <w:rPr>
          <w:sz w:val="20"/>
          <w:szCs w:val="20"/>
          <w:color w:val="auto"/>
        </w:rPr>
      </w:pPr>
      <w:r>
        <w:rPr>
          <w:rFonts w:ascii="Arial" w:cs="Arial" w:eastAsia="Arial" w:hAnsi="Arial"/>
          <w:sz w:val="13"/>
          <w:szCs w:val="13"/>
          <w:u w:val="single" w:color="auto"/>
          <w:color w:val="auto"/>
        </w:rPr>
        <w:t>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2"/>
          <w:szCs w:val="12"/>
          <w:color w:val="010000"/>
        </w:rPr>
        <w:t xml:space="preserve">SECTION 9.06 </w:t>
      </w:r>
      <w:r>
        <w:rPr>
          <w:rFonts w:ascii="Arial" w:cs="Arial" w:eastAsia="Arial" w:hAnsi="Arial"/>
          <w:sz w:val="12"/>
          <w:szCs w:val="12"/>
          <w:u w:val="single" w:color="auto"/>
          <w:color w:val="000000"/>
        </w:rPr>
        <w:t>Counterparts; Integration; Effectiveness; Electronic Execution</w:t>
      </w:r>
      <w:r>
        <w:rPr>
          <w:rFonts w:ascii="Arial" w:cs="Arial" w:eastAsia="Arial" w:hAnsi="Arial"/>
          <w:sz w:val="12"/>
          <w:szCs w:val="12"/>
          <w:color w:val="000000"/>
        </w:rPr>
        <w:t>.  (a) This Agreement may be executed in counterparts (and by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1270</wp:posOffset>
            </wp:positionV>
            <wp:extent cx="239522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95220" cy="5715"/>
                    </a:xfrm>
                    <a:prstGeom prst="rect">
                      <a:avLst/>
                    </a:prstGeom>
                    <a:noFill/>
                  </pic:spPr>
                </pic:pic>
              </a:graphicData>
            </a:graphic>
          </wp:anchor>
        </w:drawing>
      </w:r>
    </w:p>
    <w:p>
      <w:pPr>
        <w:ind w:left="120" w:right="159"/>
        <w:spacing w:after="0" w:line="224" w:lineRule="auto"/>
        <w:rPr>
          <w:sz w:val="20"/>
          <w:szCs w:val="20"/>
          <w:color w:val="auto"/>
        </w:rPr>
      </w:pPr>
      <w:r>
        <w:rPr>
          <w:rFonts w:ascii="Arial" w:cs="Arial" w:eastAsia="Arial" w:hAnsi="Arial"/>
          <w:sz w:val="13"/>
          <w:szCs w:val="13"/>
          <w:u w:val="single" w:color="auto"/>
          <w:color w:val="auto"/>
        </w:rPr>
        <w:t>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306" w:lineRule="exact"/>
        <w:rPr>
          <w:sz w:val="20"/>
          <w:szCs w:val="20"/>
          <w:color w:val="auto"/>
        </w:rPr>
      </w:pPr>
    </w:p>
    <w:p>
      <w:pPr>
        <w:jc w:val="both"/>
        <w:ind w:left="120" w:right="119" w:firstLine="879"/>
        <w:spacing w:after="0" w:line="231" w:lineRule="auto"/>
        <w:tabs>
          <w:tab w:leader="none" w:pos="1197" w:val="left"/>
        </w:tabs>
        <w:numPr>
          <w:ilvl w:val="0"/>
          <w:numId w:val="164"/>
        </w:numPr>
        <w:rPr>
          <w:rFonts w:ascii="Arial" w:cs="Arial" w:eastAsia="Arial" w:hAnsi="Arial"/>
          <w:sz w:val="12"/>
          <w:szCs w:val="12"/>
          <w:color w:val="010000"/>
        </w:rPr>
      </w:pPr>
      <w:r>
        <w:rPr>
          <w:rFonts w:ascii="Arial" w:cs="Arial" w:eastAsia="Arial" w:hAnsi="Arial"/>
          <w:sz w:val="12"/>
          <w:szCs w:val="12"/>
          <w:color w:val="auto"/>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require the Administrative Agent to accept electronic signatures in any form or format without its prior written consent.</w:t>
      </w:r>
    </w:p>
    <w:p>
      <w:pPr>
        <w:spacing w:after="0" w:line="105" w:lineRule="exact"/>
        <w:rPr>
          <w:sz w:val="20"/>
          <w:szCs w:val="20"/>
          <w:color w:val="auto"/>
        </w:rPr>
      </w:pPr>
    </w:p>
    <w:p>
      <w:pPr>
        <w:ind w:left="120" w:right="279" w:firstLine="438"/>
        <w:spacing w:after="0" w:line="266" w:lineRule="auto"/>
        <w:rPr>
          <w:sz w:val="20"/>
          <w:szCs w:val="20"/>
          <w:color w:val="auto"/>
        </w:rPr>
      </w:pPr>
      <w:r>
        <w:rPr>
          <w:rFonts w:ascii="Arial" w:cs="Arial" w:eastAsia="Arial" w:hAnsi="Arial"/>
          <w:sz w:val="12"/>
          <w:szCs w:val="12"/>
          <w:color w:val="010000"/>
        </w:rPr>
        <w:t xml:space="preserve">SECTION 9.07 </w:t>
      </w:r>
      <w:r>
        <w:rPr>
          <w:rFonts w:ascii="Arial" w:cs="Arial" w:eastAsia="Arial" w:hAnsi="Arial"/>
          <w:sz w:val="12"/>
          <w:szCs w:val="12"/>
          <w:u w:val="single" w:color="auto"/>
          <w:color w:val="000000"/>
        </w:rPr>
        <w:t>Severability</w:t>
      </w:r>
      <w:r>
        <w:rPr>
          <w:rFonts w:ascii="Arial" w:cs="Arial" w:eastAsia="Arial" w:hAnsi="Arial"/>
          <w:sz w:val="12"/>
          <w:szCs w:val="12"/>
          <w:color w:val="000000"/>
        </w:rPr>
        <w:t>. Any provision of any Loan Document held to be invalid, illegal or unenforceable in any jurisdiction shall, as to such</w:t>
      </w:r>
      <w:r>
        <w:rPr>
          <w:rFonts w:ascii="Arial" w:cs="Arial" w:eastAsia="Arial" w:hAnsi="Arial"/>
          <w:sz w:val="12"/>
          <w:szCs w:val="12"/>
          <w:color w:val="010000"/>
        </w:rPr>
        <w:t xml:space="preserve"> </w:t>
      </w:r>
      <w:r>
        <w:rPr>
          <w:rFonts w:ascii="Arial" w:cs="Arial" w:eastAsia="Arial" w:hAnsi="Arial"/>
          <w:sz w:val="12"/>
          <w:szCs w:val="12"/>
          <w:color w:val="000000"/>
        </w:rPr>
        <w:t>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49" w:name="page150"/>
    <w:bookmarkEnd w:id="149"/>
    <w:p>
      <w:pPr>
        <w:ind w:left="120" w:right="119" w:firstLine="438"/>
        <w:spacing w:after="0" w:line="247" w:lineRule="auto"/>
        <w:rPr>
          <w:sz w:val="20"/>
          <w:szCs w:val="20"/>
          <w:color w:val="auto"/>
        </w:rPr>
      </w:pPr>
      <w:r>
        <w:rPr>
          <w:rFonts w:ascii="Arial" w:cs="Arial" w:eastAsia="Arial" w:hAnsi="Arial"/>
          <w:sz w:val="12"/>
          <w:szCs w:val="12"/>
          <w:color w:val="010000"/>
        </w:rPr>
        <w:t xml:space="preserve">SECTION 9.08 </w:t>
      </w:r>
      <w:r>
        <w:rPr>
          <w:rFonts w:ascii="Arial" w:cs="Arial" w:eastAsia="Arial" w:hAnsi="Arial"/>
          <w:sz w:val="12"/>
          <w:szCs w:val="12"/>
          <w:u w:val="single" w:color="auto"/>
          <w:color w:val="000000"/>
        </w:rPr>
        <w:t>Right of Setoff</w:t>
      </w:r>
      <w:r>
        <w:rPr>
          <w:rFonts w:ascii="Arial" w:cs="Arial" w:eastAsia="Arial" w:hAnsi="Arial"/>
          <w:sz w:val="12"/>
          <w:szCs w:val="12"/>
          <w:color w:val="000000"/>
        </w:rPr>
        <w:t>. If an Event of Default shall have occurred and be continuing, each Lender and each of its Affiliates is hereby authorized at</w:t>
      </w:r>
      <w:r>
        <w:rPr>
          <w:rFonts w:ascii="Arial" w:cs="Arial" w:eastAsia="Arial" w:hAnsi="Arial"/>
          <w:sz w:val="12"/>
          <w:szCs w:val="12"/>
          <w:color w:val="010000"/>
        </w:rPr>
        <w:t xml:space="preserve"> </w:t>
      </w:r>
      <w:r>
        <w:rPr>
          <w:rFonts w:ascii="Arial" w:cs="Arial" w:eastAsia="Arial" w:hAnsi="Arial"/>
          <w:sz w:val="12"/>
          <w:szCs w:val="12"/>
          <w:color w:val="000000"/>
        </w:rPr>
        <w:t>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provided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9.09 </w:t>
      </w:r>
      <w:r>
        <w:rPr>
          <w:rFonts w:ascii="Arial" w:cs="Arial" w:eastAsia="Arial" w:hAnsi="Arial"/>
          <w:sz w:val="13"/>
          <w:szCs w:val="13"/>
          <w:u w:val="single" w:color="auto"/>
          <w:color w:val="000000"/>
        </w:rPr>
        <w:t>Governing Law; Jurisdiction; Consent to Service of Process</w:t>
      </w:r>
      <w:r>
        <w:rPr>
          <w:rFonts w:ascii="Arial" w:cs="Arial" w:eastAsia="Arial" w:hAnsi="Arial"/>
          <w:sz w:val="13"/>
          <w:szCs w:val="13"/>
          <w:color w:val="000000"/>
        </w:rPr>
        <w:t>.</w:t>
      </w:r>
    </w:p>
    <w:p>
      <w:pPr>
        <w:spacing w:after="0" w:line="316" w:lineRule="exact"/>
        <w:rPr>
          <w:sz w:val="20"/>
          <w:szCs w:val="20"/>
          <w:color w:val="auto"/>
        </w:rPr>
      </w:pPr>
    </w:p>
    <w:p>
      <w:pPr>
        <w:ind w:left="120" w:right="119" w:firstLine="879"/>
        <w:spacing w:after="0" w:line="239" w:lineRule="auto"/>
        <w:tabs>
          <w:tab w:leader="none" w:pos="1189" w:val="left"/>
        </w:tabs>
        <w:numPr>
          <w:ilvl w:val="0"/>
          <w:numId w:val="165"/>
        </w:numPr>
        <w:rPr>
          <w:rFonts w:ascii="Arial" w:cs="Arial" w:eastAsia="Arial" w:hAnsi="Arial"/>
          <w:sz w:val="13"/>
          <w:szCs w:val="13"/>
          <w:color w:val="010000"/>
        </w:rPr>
      </w:pPr>
      <w:r>
        <w:rPr>
          <w:rFonts w:ascii="Arial" w:cs="Arial" w:eastAsia="Arial" w:hAnsi="Arial"/>
          <w:sz w:val="13"/>
          <w:szCs w:val="13"/>
          <w:color w:val="auto"/>
        </w:rPr>
        <w:t>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03" w:lineRule="exact"/>
        <w:rPr>
          <w:rFonts w:ascii="Arial" w:cs="Arial" w:eastAsia="Arial" w:hAnsi="Arial"/>
          <w:sz w:val="13"/>
          <w:szCs w:val="13"/>
          <w:color w:val="010000"/>
        </w:rPr>
      </w:pPr>
    </w:p>
    <w:p>
      <w:pPr>
        <w:jc w:val="both"/>
        <w:ind w:left="120" w:right="119" w:firstLine="879"/>
        <w:spacing w:after="0" w:line="213" w:lineRule="auto"/>
        <w:tabs>
          <w:tab w:leader="none" w:pos="1197" w:val="left"/>
        </w:tabs>
        <w:numPr>
          <w:ilvl w:val="0"/>
          <w:numId w:val="165"/>
        </w:numPr>
        <w:rPr>
          <w:rFonts w:ascii="Arial" w:cs="Arial" w:eastAsia="Arial" w:hAnsi="Arial"/>
          <w:sz w:val="13"/>
          <w:szCs w:val="13"/>
          <w:color w:val="010000"/>
        </w:rPr>
      </w:pPr>
      <w:r>
        <w:rPr>
          <w:rFonts w:ascii="Arial" w:cs="Arial" w:eastAsia="Arial" w:hAnsi="Arial"/>
          <w:sz w:val="13"/>
          <w:szCs w:val="13"/>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05" w:lineRule="exact"/>
        <w:rPr>
          <w:rFonts w:ascii="Arial" w:cs="Arial" w:eastAsia="Arial" w:hAnsi="Arial"/>
          <w:sz w:val="13"/>
          <w:szCs w:val="13"/>
          <w:color w:val="010000"/>
        </w:rPr>
      </w:pPr>
    </w:p>
    <w:p>
      <w:pPr>
        <w:jc w:val="both"/>
        <w:ind w:left="120" w:right="119" w:firstLine="879"/>
        <w:spacing w:after="0" w:line="222" w:lineRule="auto"/>
        <w:tabs>
          <w:tab w:leader="none" w:pos="1189" w:val="left"/>
        </w:tabs>
        <w:numPr>
          <w:ilvl w:val="0"/>
          <w:numId w:val="165"/>
        </w:numPr>
        <w:rPr>
          <w:rFonts w:ascii="Arial" w:cs="Arial" w:eastAsia="Arial" w:hAnsi="Arial"/>
          <w:sz w:val="13"/>
          <w:szCs w:val="13"/>
          <w:color w:val="010000"/>
        </w:rPr>
      </w:pPr>
      <w:r>
        <w:rPr>
          <w:rFonts w:ascii="Arial" w:cs="Arial" w:eastAsia="Arial" w:hAnsi="Arial"/>
          <w:sz w:val="13"/>
          <w:szCs w:val="13"/>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65"/>
        </w:numPr>
        <w:rPr>
          <w:rFonts w:ascii="Arial" w:cs="Arial" w:eastAsia="Arial" w:hAnsi="Arial"/>
          <w:sz w:val="13"/>
          <w:szCs w:val="13"/>
          <w:color w:val="010000"/>
        </w:rPr>
      </w:pPr>
      <w:r>
        <w:rPr>
          <w:rFonts w:ascii="Arial" w:cs="Arial" w:eastAsia="Arial" w:hAnsi="Arial"/>
          <w:sz w:val="13"/>
          <w:szCs w:val="13"/>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04" w:lineRule="exact"/>
        <w:rPr>
          <w:sz w:val="20"/>
          <w:szCs w:val="20"/>
          <w:color w:val="auto"/>
        </w:rPr>
      </w:pPr>
    </w:p>
    <w:p>
      <w:pPr>
        <w:ind w:left="120" w:right="219" w:firstLine="438"/>
        <w:spacing w:after="0" w:line="227" w:lineRule="auto"/>
        <w:rPr>
          <w:sz w:val="20"/>
          <w:szCs w:val="20"/>
          <w:color w:val="auto"/>
        </w:rPr>
      </w:pPr>
      <w:r>
        <w:rPr>
          <w:rFonts w:ascii="Arial" w:cs="Arial" w:eastAsia="Arial" w:hAnsi="Arial"/>
          <w:sz w:val="13"/>
          <w:szCs w:val="13"/>
          <w:color w:val="010000"/>
        </w:rPr>
        <w:t xml:space="preserve">SECTION 9.10 </w:t>
      </w:r>
      <w:r>
        <w:rPr>
          <w:rFonts w:ascii="Arial" w:cs="Arial" w:eastAsia="Arial" w:hAnsi="Arial"/>
          <w:sz w:val="13"/>
          <w:szCs w:val="13"/>
          <w:u w:val="single" w:color="auto"/>
          <w:color w:val="000000"/>
        </w:rPr>
        <w:t>WAIVER OF JURY TRIAL</w:t>
      </w:r>
      <w:r>
        <w:rPr>
          <w:rFonts w:ascii="Arial" w:cs="Arial" w:eastAsia="Arial" w:hAnsi="Arial"/>
          <w:sz w:val="13"/>
          <w:szCs w:val="13"/>
          <w:color w:val="000000"/>
        </w:rPr>
        <w:t>. EACH PARTY HERETO HEREBY WAIVES, TO THE FULLEST EXTENT PERMITTED BY</w:t>
      </w:r>
      <w:r>
        <w:rPr>
          <w:rFonts w:ascii="Arial" w:cs="Arial" w:eastAsia="Arial" w:hAnsi="Arial"/>
          <w:sz w:val="13"/>
          <w:szCs w:val="13"/>
          <w:color w:val="010000"/>
        </w:rPr>
        <w:t xml:space="preserve"> </w:t>
      </w:r>
      <w:r>
        <w:rPr>
          <w:rFonts w:ascii="Arial" w:cs="Arial" w:eastAsia="Arial" w:hAnsi="Arial"/>
          <w:sz w:val="13"/>
          <w:szCs w:val="13"/>
          <w:color w:val="000000"/>
        </w:rPr>
        <w:t>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0" w:name="page151"/>
    <w:bookmarkEnd w:id="150"/>
    <w:p>
      <w:pPr>
        <w:ind w:left="120" w:right="819"/>
        <w:spacing w:after="0" w:line="254" w:lineRule="auto"/>
        <w:rPr>
          <w:sz w:val="20"/>
          <w:szCs w:val="20"/>
          <w:color w:val="auto"/>
        </w:rPr>
      </w:pPr>
      <w:r>
        <w:rPr>
          <w:rFonts w:ascii="Arial" w:cs="Arial" w:eastAsia="Arial" w:hAnsi="Arial"/>
          <w:sz w:val="13"/>
          <w:szCs w:val="13"/>
          <w:u w:val="single" w:color="auto"/>
          <w:color w:val="auto"/>
        </w:rPr>
        <w:t>INDUCED TO ENTER INTO THIS AGREEMENT BY, AMONG OTHER THINGS, THE MUTUAL WAIVERS AND CERTIFICATIONS IN THIS SECTION.</w:t>
      </w:r>
    </w:p>
    <w:p>
      <w:pPr>
        <w:spacing w:after="0" w:line="285" w:lineRule="exact"/>
        <w:rPr>
          <w:sz w:val="20"/>
          <w:szCs w:val="20"/>
          <w:color w:val="auto"/>
        </w:rPr>
      </w:pPr>
    </w:p>
    <w:p>
      <w:pPr>
        <w:ind w:left="120" w:right="319" w:firstLine="438"/>
        <w:spacing w:after="0" w:line="254" w:lineRule="auto"/>
        <w:rPr>
          <w:sz w:val="20"/>
          <w:szCs w:val="20"/>
          <w:color w:val="auto"/>
        </w:rPr>
      </w:pPr>
      <w:r>
        <w:rPr>
          <w:rFonts w:ascii="Arial" w:cs="Arial" w:eastAsia="Arial" w:hAnsi="Arial"/>
          <w:sz w:val="13"/>
          <w:szCs w:val="13"/>
          <w:color w:val="010000"/>
        </w:rPr>
        <w:t xml:space="preserve">SECTION 9.11 </w:t>
      </w:r>
      <w:r>
        <w:rPr>
          <w:rFonts w:ascii="Arial" w:cs="Arial" w:eastAsia="Arial" w:hAnsi="Arial"/>
          <w:sz w:val="13"/>
          <w:szCs w:val="13"/>
          <w:u w:val="single" w:color="auto"/>
          <w:color w:val="000000"/>
        </w:rPr>
        <w:t>Headings</w:t>
      </w:r>
      <w:r>
        <w:rPr>
          <w:rFonts w:ascii="Arial" w:cs="Arial" w:eastAsia="Arial" w:hAnsi="Arial"/>
          <w:sz w:val="13"/>
          <w:szCs w:val="13"/>
          <w:color w:val="000000"/>
        </w:rPr>
        <w:t>. Article and Section headings and the Table of Contents used herein are for convenience of reference only, are not part of this</w:t>
      </w:r>
      <w:r>
        <w:rPr>
          <w:rFonts w:ascii="Arial" w:cs="Arial" w:eastAsia="Arial" w:hAnsi="Arial"/>
          <w:sz w:val="13"/>
          <w:szCs w:val="13"/>
          <w:color w:val="010000"/>
        </w:rPr>
        <w:t xml:space="preserve"> </w:t>
      </w:r>
      <w:r>
        <w:rPr>
          <w:rFonts w:ascii="Arial" w:cs="Arial" w:eastAsia="Arial" w:hAnsi="Arial"/>
          <w:sz w:val="13"/>
          <w:szCs w:val="13"/>
          <w:color w:val="000000"/>
        </w:rPr>
        <w:t>Agreement and shall not affect the construction of, or be taken into consideration in interpreting, this Agreement.</w:t>
      </w:r>
    </w:p>
    <w:p>
      <w:pPr>
        <w:spacing w:after="0" w:line="295" w:lineRule="exact"/>
        <w:rPr>
          <w:sz w:val="20"/>
          <w:szCs w:val="20"/>
          <w:color w:val="auto"/>
        </w:rPr>
      </w:pPr>
    </w:p>
    <w:p>
      <w:pPr>
        <w:ind w:left="120" w:right="119" w:firstLine="438"/>
        <w:spacing w:after="0" w:line="241" w:lineRule="auto"/>
        <w:rPr>
          <w:sz w:val="20"/>
          <w:szCs w:val="20"/>
          <w:color w:val="auto"/>
        </w:rPr>
      </w:pPr>
      <w:r>
        <w:rPr>
          <w:rFonts w:ascii="Arial" w:cs="Arial" w:eastAsia="Arial" w:hAnsi="Arial"/>
          <w:sz w:val="12"/>
          <w:szCs w:val="12"/>
          <w:color w:val="010000"/>
        </w:rPr>
        <w:t xml:space="preserve">SECTION 9.12 </w:t>
      </w:r>
      <w:r>
        <w:rPr>
          <w:rFonts w:ascii="Arial" w:cs="Arial" w:eastAsia="Arial" w:hAnsi="Arial"/>
          <w:sz w:val="12"/>
          <w:szCs w:val="12"/>
          <w:u w:val="single" w:color="auto"/>
          <w:color w:val="000000"/>
        </w:rPr>
        <w:t>Confidentiality</w:t>
      </w:r>
      <w:r>
        <w:rPr>
          <w:rFonts w:ascii="Arial" w:cs="Arial" w:eastAsia="Arial" w:hAnsi="Arial"/>
          <w:sz w:val="12"/>
          <w:szCs w:val="12"/>
          <w:color w:val="000000"/>
        </w:rPr>
        <w:t>. Each of the Administrative Agent, the Issuing Bank and the Lenders agrees to maintain the confidentiality of the</w:t>
      </w:r>
      <w:r>
        <w:rPr>
          <w:rFonts w:ascii="Arial" w:cs="Arial" w:eastAsia="Arial" w:hAnsi="Arial"/>
          <w:sz w:val="12"/>
          <w:szCs w:val="12"/>
          <w:color w:val="010000"/>
        </w:rPr>
        <w:t xml:space="preserve"> </w:t>
      </w:r>
      <w:r>
        <w:rPr>
          <w:rFonts w:ascii="Arial" w:cs="Arial" w:eastAsia="Arial" w:hAnsi="Arial"/>
          <w:sz w:val="12"/>
          <w:szCs w:val="12"/>
          <w:color w:val="000000"/>
        </w:rPr>
        <w:t>Information (as defined below), except that Information may be disclosed (a) to its and its Affiliates</w:t>
      </w:r>
      <w:r>
        <w:rPr>
          <w:rFonts w:ascii="Arial" w:cs="Arial" w:eastAsia="Arial" w:hAnsi="Arial"/>
          <w:sz w:val="12"/>
          <w:szCs w:val="12"/>
          <w:u w:val="single" w:color="auto"/>
          <w:color w:val="000000"/>
        </w:rPr>
        <w:t>’ directors, officers, employees and agents, including</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with the consent of the Borrower, or (h)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“Information”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provided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3" w:lineRule="exact"/>
        <w:rPr>
          <w:sz w:val="20"/>
          <w:szCs w:val="20"/>
          <w:color w:val="auto"/>
        </w:rPr>
      </w:pPr>
    </w:p>
    <w:p>
      <w:pPr>
        <w:jc w:val="both"/>
        <w:ind w:left="120" w:right="119"/>
        <w:spacing w:after="0" w:line="229" w:lineRule="auto"/>
        <w:rPr>
          <w:sz w:val="20"/>
          <w:szCs w:val="20"/>
          <w:color w:val="auto"/>
        </w:rPr>
      </w:pPr>
      <w:r>
        <w:rPr>
          <w:rFonts w:ascii="Arial" w:cs="Arial" w:eastAsia="Arial" w:hAnsi="Arial"/>
          <w:sz w:val="13"/>
          <w:szCs w:val="13"/>
          <w:b w:val="1"/>
          <w:bCs w:val="1"/>
          <w:color w:val="auto"/>
        </w:rPr>
        <w:t>EACH LENDER ACKNOWLEDGES THAT INFORMATION (AS DEFINED IN THIS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11" w:lineRule="exact"/>
        <w:rPr>
          <w:sz w:val="20"/>
          <w:szCs w:val="20"/>
          <w:color w:val="auto"/>
        </w:rPr>
      </w:pPr>
    </w:p>
    <w:p>
      <w:pPr>
        <w:jc w:val="both"/>
        <w:ind w:left="120" w:right="119" w:firstLine="875"/>
        <w:spacing w:after="0" w:line="234" w:lineRule="auto"/>
        <w:rPr>
          <w:sz w:val="20"/>
          <w:szCs w:val="20"/>
          <w:color w:val="auto"/>
        </w:rPr>
      </w:pPr>
      <w:r>
        <w:rPr>
          <w:rFonts w:ascii="Arial" w:cs="Arial" w:eastAsia="Arial" w:hAnsi="Arial"/>
          <w:sz w:val="13"/>
          <w:szCs w:val="13"/>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151" w:name="page152"/>
    <w:bookmarkEnd w:id="151"/>
    <w:p>
      <w:pPr>
        <w:jc w:val="both"/>
        <w:ind w:left="120" w:right="119"/>
        <w:spacing w:after="0"/>
        <w:rPr>
          <w:sz w:val="20"/>
          <w:szCs w:val="20"/>
          <w:color w:val="auto"/>
        </w:rPr>
      </w:pPr>
      <w:r>
        <w:rPr>
          <w:rFonts w:ascii="Arial" w:cs="Arial" w:eastAsia="Arial" w:hAnsi="Arial"/>
          <w:sz w:val="13"/>
          <w:szCs w:val="13"/>
          <w:b w:val="1"/>
          <w:bCs w:val="1"/>
          <w:color w:val="auto"/>
        </w:rPr>
        <w:t>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47" w:lineRule="exact"/>
        <w:rPr>
          <w:sz w:val="20"/>
          <w:szCs w:val="20"/>
          <w:color w:val="auto"/>
        </w:rPr>
      </w:pPr>
    </w:p>
    <w:p>
      <w:pPr>
        <w:ind w:left="120" w:right="199" w:firstLine="438"/>
        <w:spacing w:after="0" w:line="230" w:lineRule="auto"/>
        <w:rPr>
          <w:sz w:val="20"/>
          <w:szCs w:val="20"/>
          <w:color w:val="auto"/>
        </w:rPr>
      </w:pPr>
      <w:r>
        <w:rPr>
          <w:rFonts w:ascii="Arial" w:cs="Arial" w:eastAsia="Arial" w:hAnsi="Arial"/>
          <w:sz w:val="13"/>
          <w:szCs w:val="13"/>
          <w:color w:val="010000"/>
        </w:rPr>
        <w:t xml:space="preserve">SECTION 9.13 </w:t>
      </w:r>
      <w:r>
        <w:rPr>
          <w:rFonts w:ascii="Arial" w:cs="Arial" w:eastAsia="Arial" w:hAnsi="Arial"/>
          <w:sz w:val="13"/>
          <w:szCs w:val="13"/>
          <w:color w:val="000000"/>
        </w:rPr>
        <w:t>Several Obligations; Nonreliance; Violation of Law. The respective obligations of the Lenders hereunder are several and not joint and the</w:t>
      </w:r>
      <w:r>
        <w:rPr>
          <w:rFonts w:ascii="Arial" w:cs="Arial" w:eastAsia="Arial" w:hAnsi="Arial"/>
          <w:sz w:val="13"/>
          <w:szCs w:val="13"/>
          <w:color w:val="010000"/>
        </w:rPr>
        <w:t xml:space="preserve"> </w:t>
      </w:r>
      <w:r>
        <w:rPr>
          <w:rFonts w:ascii="Arial" w:cs="Arial" w:eastAsia="Arial" w:hAnsi="Arial"/>
          <w:sz w:val="13"/>
          <w:szCs w:val="13"/>
          <w:color w:val="000000"/>
        </w:rPr>
        <w:t>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296" w:lineRule="exact"/>
        <w:rPr>
          <w:sz w:val="20"/>
          <w:szCs w:val="20"/>
          <w:color w:val="auto"/>
        </w:rPr>
      </w:pPr>
    </w:p>
    <w:p>
      <w:pPr>
        <w:ind w:left="120" w:right="319" w:firstLine="438"/>
        <w:spacing w:after="0" w:line="233" w:lineRule="auto"/>
        <w:rPr>
          <w:sz w:val="20"/>
          <w:szCs w:val="20"/>
          <w:color w:val="auto"/>
        </w:rPr>
      </w:pPr>
      <w:r>
        <w:rPr>
          <w:rFonts w:ascii="Arial" w:cs="Arial" w:eastAsia="Arial" w:hAnsi="Arial"/>
          <w:sz w:val="13"/>
          <w:szCs w:val="13"/>
          <w:color w:val="010000"/>
        </w:rPr>
        <w:t xml:space="preserve">SECTION 9.14 </w:t>
      </w:r>
      <w:r>
        <w:rPr>
          <w:rFonts w:ascii="Arial" w:cs="Arial" w:eastAsia="Arial" w:hAnsi="Arial"/>
          <w:sz w:val="13"/>
          <w:szCs w:val="13"/>
          <w:color w:val="000000"/>
        </w:rPr>
        <w:t>USA PATRIOT Act. Each Lender that is subject to the requirements of the USA PATRIOT Act hereby notifies each Loan Party that</w:t>
      </w:r>
      <w:r>
        <w:rPr>
          <w:rFonts w:ascii="Arial" w:cs="Arial" w:eastAsia="Arial" w:hAnsi="Arial"/>
          <w:sz w:val="13"/>
          <w:szCs w:val="13"/>
          <w:color w:val="010000"/>
        </w:rPr>
        <w:t xml:space="preserve"> </w:t>
      </w:r>
      <w:r>
        <w:rPr>
          <w:rFonts w:ascii="Arial" w:cs="Arial" w:eastAsia="Arial" w:hAnsi="Arial"/>
          <w:sz w:val="13"/>
          <w:szCs w:val="13"/>
          <w:color w:val="000000"/>
        </w:rPr>
        <w:t>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304" w:lineRule="exact"/>
        <w:rPr>
          <w:sz w:val="20"/>
          <w:szCs w:val="20"/>
          <w:color w:val="auto"/>
        </w:rPr>
      </w:pPr>
    </w:p>
    <w:p>
      <w:pPr>
        <w:ind w:left="120" w:right="159" w:firstLine="438"/>
        <w:spacing w:after="0" w:line="237" w:lineRule="auto"/>
        <w:rPr>
          <w:sz w:val="20"/>
          <w:szCs w:val="20"/>
          <w:color w:val="auto"/>
        </w:rPr>
      </w:pPr>
      <w:r>
        <w:rPr>
          <w:rFonts w:ascii="Arial" w:cs="Arial" w:eastAsia="Arial" w:hAnsi="Arial"/>
          <w:sz w:val="13"/>
          <w:szCs w:val="13"/>
          <w:color w:val="010000"/>
        </w:rPr>
        <w:t xml:space="preserve">SECTION 9.15 </w:t>
      </w:r>
      <w:r>
        <w:rPr>
          <w:rFonts w:ascii="Arial" w:cs="Arial" w:eastAsia="Arial" w:hAnsi="Arial"/>
          <w:sz w:val="13"/>
          <w:szCs w:val="13"/>
          <w:u w:val="single" w:color="auto"/>
          <w:color w:val="000000"/>
        </w:rPr>
        <w:t>Disclosure</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Each Loan Party, each Lender and the Issuing Bank hereby acknowledges and agrees that the Administrative Agent and/or its</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Affiliates from time to time may hold investments in, make other loans to or have other relationships with, any of the Loan Parties and their respective Affiliates.</w:t>
      </w:r>
    </w:p>
    <w:p>
      <w:pPr>
        <w:spacing w:after="0" w:line="296" w:lineRule="exact"/>
        <w:rPr>
          <w:sz w:val="20"/>
          <w:szCs w:val="20"/>
          <w:color w:val="auto"/>
        </w:rPr>
      </w:pPr>
    </w:p>
    <w:p>
      <w:pPr>
        <w:ind w:left="120" w:right="199" w:firstLine="438"/>
        <w:spacing w:after="0" w:line="230" w:lineRule="auto"/>
        <w:rPr>
          <w:sz w:val="20"/>
          <w:szCs w:val="20"/>
          <w:color w:val="auto"/>
        </w:rPr>
      </w:pPr>
      <w:r>
        <w:rPr>
          <w:rFonts w:ascii="Arial" w:cs="Arial" w:eastAsia="Arial" w:hAnsi="Arial"/>
          <w:sz w:val="13"/>
          <w:szCs w:val="13"/>
          <w:color w:val="010000"/>
        </w:rPr>
        <w:t xml:space="preserve">SECTION 9.16 </w:t>
      </w:r>
      <w:r>
        <w:rPr>
          <w:rFonts w:ascii="Arial" w:cs="Arial" w:eastAsia="Arial" w:hAnsi="Arial"/>
          <w:sz w:val="13"/>
          <w:szCs w:val="13"/>
          <w:u w:val="single" w:color="auto"/>
          <w:color w:val="000000"/>
        </w:rPr>
        <w:t>Appointment for Perfection. Each Lender hereby appoints each other Lender as its agent for the purpose of perfecting Liens, for the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96" w:lineRule="exact"/>
        <w:rPr>
          <w:sz w:val="20"/>
          <w:szCs w:val="20"/>
          <w:color w:val="auto"/>
        </w:rPr>
      </w:pPr>
    </w:p>
    <w:p>
      <w:pPr>
        <w:ind w:left="120" w:right="159" w:firstLine="438"/>
        <w:spacing w:after="0" w:line="226" w:lineRule="auto"/>
        <w:rPr>
          <w:sz w:val="20"/>
          <w:szCs w:val="20"/>
          <w:color w:val="auto"/>
        </w:rPr>
      </w:pPr>
      <w:r>
        <w:rPr>
          <w:rFonts w:ascii="Arial" w:cs="Arial" w:eastAsia="Arial" w:hAnsi="Arial"/>
          <w:sz w:val="13"/>
          <w:szCs w:val="13"/>
          <w:color w:val="010000"/>
        </w:rPr>
        <w:t xml:space="preserve">SECTION 9.17 </w:t>
      </w:r>
      <w:r>
        <w:rPr>
          <w:rFonts w:ascii="Arial" w:cs="Arial" w:eastAsia="Arial" w:hAnsi="Arial"/>
          <w:sz w:val="13"/>
          <w:szCs w:val="13"/>
          <w:u w:val="single" w:color="auto"/>
          <w:color w:val="000000"/>
        </w:rPr>
        <w:t>Interest Rate Limitation</w:t>
      </w:r>
      <w:r>
        <w:rPr>
          <w:rFonts w:ascii="Arial" w:cs="Arial" w:eastAsia="Arial" w:hAnsi="Arial"/>
          <w:sz w:val="13"/>
          <w:szCs w:val="13"/>
          <w:color w:val="000000"/>
        </w:rPr>
        <w:t>. Notwithstanding anything herein to the contrary, if at any time the interest rate applicable to any Loan, together</w:t>
      </w:r>
      <w:r>
        <w:rPr>
          <w:rFonts w:ascii="Arial" w:cs="Arial" w:eastAsia="Arial" w:hAnsi="Arial"/>
          <w:sz w:val="13"/>
          <w:szCs w:val="13"/>
          <w:color w:val="010000"/>
        </w:rPr>
        <w:t xml:space="preserve"> </w:t>
      </w:r>
      <w:r>
        <w:rPr>
          <w:rFonts w:ascii="Arial" w:cs="Arial" w:eastAsia="Arial" w:hAnsi="Arial"/>
          <w:sz w:val="13"/>
          <w:szCs w:val="13"/>
          <w:color w:val="000000"/>
        </w:rPr>
        <w:t>with all fees, charges and other amounts which are treated as interest on such Loan under appli</w:t>
      </w:r>
      <w:r>
        <w:rPr>
          <w:rFonts w:ascii="Arial" w:cs="Arial" w:eastAsia="Arial" w:hAnsi="Arial"/>
          <w:sz w:val="13"/>
          <w:szCs w:val="13"/>
          <w:u w:val="single" w:color="auto"/>
          <w:color w:val="000000"/>
        </w:rPr>
        <w:t>cable law (collectively the “Charges”), shall exceed the maximum</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306" w:lineRule="exact"/>
        <w:rPr>
          <w:sz w:val="20"/>
          <w:szCs w:val="20"/>
          <w:color w:val="auto"/>
        </w:rPr>
      </w:pPr>
    </w:p>
    <w:p>
      <w:pPr>
        <w:ind w:left="120" w:right="179" w:firstLine="438"/>
        <w:spacing w:after="0" w:line="233" w:lineRule="auto"/>
        <w:rPr>
          <w:sz w:val="20"/>
          <w:szCs w:val="20"/>
          <w:color w:val="auto"/>
        </w:rPr>
      </w:pPr>
      <w:r>
        <w:rPr>
          <w:rFonts w:ascii="Arial" w:cs="Arial" w:eastAsia="Arial" w:hAnsi="Arial"/>
          <w:sz w:val="13"/>
          <w:szCs w:val="13"/>
          <w:color w:val="010000"/>
        </w:rPr>
        <w:t xml:space="preserve">SECTION 9.18 </w:t>
      </w:r>
      <w:r>
        <w:rPr>
          <w:rFonts w:ascii="Arial" w:cs="Arial" w:eastAsia="Arial" w:hAnsi="Arial"/>
          <w:sz w:val="13"/>
          <w:szCs w:val="13"/>
          <w:u w:val="single" w:color="auto"/>
          <w:color w:val="000000"/>
        </w:rPr>
        <w:t>No Fiduciary Duty, etc</w:t>
      </w:r>
      <w:r>
        <w:rPr>
          <w:rFonts w:ascii="Arial" w:cs="Arial" w:eastAsia="Arial" w:hAnsi="Arial"/>
          <w:sz w:val="13"/>
          <w:szCs w:val="13"/>
          <w:color w:val="000000"/>
        </w:rPr>
        <w:t>. The Borrower acknowledges and agrees, and acknowledges its subsidiaries’ understanding, that no Credit Party</w:t>
      </w:r>
      <w:r>
        <w:rPr>
          <w:rFonts w:ascii="Arial" w:cs="Arial" w:eastAsia="Arial" w:hAnsi="Arial"/>
          <w:sz w:val="13"/>
          <w:szCs w:val="13"/>
          <w:color w:val="010000"/>
        </w:rPr>
        <w:t xml:space="preserve"> </w:t>
      </w:r>
      <w:r>
        <w:rPr>
          <w:rFonts w:ascii="Arial" w:cs="Arial" w:eastAsia="Arial" w:hAnsi="Arial"/>
          <w:sz w:val="13"/>
          <w:szCs w:val="13"/>
          <w:color w:val="000000"/>
        </w:rPr>
        <w:t>will have any obligations except those obligations expressly set forth herein and in the other Loan Documents and each Credit Party is acting solely in the capacity of an arm’s length contractual counterparty to the Borrower with respect to the Loan Documents and the transaction contemplated therein and not as a financial advisor or a fiduciary to, or an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4" w:right="1440" w:bottom="1440" w:gutter="0" w:footer="0" w:header="0"/>
        </w:sectPr>
      </w:pPr>
    </w:p>
    <w:bookmarkStart w:id="152" w:name="page153"/>
    <w:bookmarkEnd w:id="152"/>
    <w:p>
      <w:pPr>
        <w:ind w:left="120" w:right="239"/>
        <w:spacing w:after="0" w:line="252" w:lineRule="auto"/>
        <w:rPr>
          <w:sz w:val="20"/>
          <w:szCs w:val="20"/>
          <w:color w:val="auto"/>
        </w:rPr>
      </w:pPr>
      <w:r>
        <w:rPr>
          <w:rFonts w:ascii="Arial" w:cs="Arial" w:eastAsia="Arial" w:hAnsi="Arial"/>
          <w:sz w:val="12"/>
          <w:szCs w:val="12"/>
          <w:u w:val="single" w:color="auto"/>
          <w:color w:val="auto"/>
        </w:rPr>
        <w:t>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288" w:lineRule="exact"/>
        <w:rPr>
          <w:sz w:val="20"/>
          <w:szCs w:val="20"/>
          <w:color w:val="auto"/>
        </w:rPr>
      </w:pPr>
    </w:p>
    <w:p>
      <w:pPr>
        <w:jc w:val="both"/>
        <w:ind w:left="120" w:right="119" w:firstLine="875"/>
        <w:spacing w:after="0" w:line="214" w:lineRule="auto"/>
        <w:rPr>
          <w:sz w:val="20"/>
          <w:szCs w:val="20"/>
          <w:color w:val="auto"/>
        </w:rPr>
      </w:pPr>
      <w:r>
        <w:rPr>
          <w:rFonts w:ascii="Arial" w:cs="Arial" w:eastAsia="Arial" w:hAnsi="Arial"/>
          <w:sz w:val="13"/>
          <w:szCs w:val="13"/>
          <w:u w:val="single" w:color="auto"/>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07" w:lineRule="exact"/>
        <w:rPr>
          <w:sz w:val="20"/>
          <w:szCs w:val="20"/>
          <w:color w:val="auto"/>
        </w:rPr>
      </w:pPr>
    </w:p>
    <w:p>
      <w:pPr>
        <w:jc w:val="both"/>
        <w:ind w:left="120" w:right="119" w:firstLine="875"/>
        <w:spacing w:after="0" w:line="214" w:lineRule="auto"/>
        <w:rPr>
          <w:sz w:val="20"/>
          <w:szCs w:val="20"/>
          <w:color w:val="auto"/>
        </w:rPr>
      </w:pPr>
      <w:r>
        <w:rPr>
          <w:rFonts w:ascii="Arial" w:cs="Arial" w:eastAsia="Arial" w:hAnsi="Arial"/>
          <w:sz w:val="13"/>
          <w:szCs w:val="13"/>
          <w:u w:val="single" w:color="auto"/>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07" w:lineRule="exact"/>
        <w:rPr>
          <w:sz w:val="20"/>
          <w:szCs w:val="20"/>
          <w:color w:val="auto"/>
        </w:rPr>
      </w:pPr>
    </w:p>
    <w:p>
      <w:pPr>
        <w:ind w:left="120" w:right="379" w:firstLine="438"/>
        <w:spacing w:after="0" w:line="233" w:lineRule="auto"/>
        <w:rPr>
          <w:sz w:val="20"/>
          <w:szCs w:val="20"/>
          <w:color w:val="auto"/>
        </w:rPr>
      </w:pPr>
      <w:r>
        <w:rPr>
          <w:rFonts w:ascii="Arial" w:cs="Arial" w:eastAsia="Arial" w:hAnsi="Arial"/>
          <w:sz w:val="13"/>
          <w:szCs w:val="13"/>
          <w:color w:val="010000"/>
        </w:rPr>
        <w:t xml:space="preserve">SECTION 9.19 </w:t>
      </w:r>
      <w:r>
        <w:rPr>
          <w:rFonts w:ascii="Arial" w:cs="Arial" w:eastAsia="Arial" w:hAnsi="Arial"/>
          <w:sz w:val="13"/>
          <w:szCs w:val="13"/>
          <w:u w:val="single" w:color="auto"/>
          <w:color w:val="000000"/>
        </w:rPr>
        <w:t>Marketing Consent. The Borrower hereby authorizes JPM and its affiliates (collectively, the “JPM Parties”), at their respective sole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expense, but without any prior approval by the Borrower, to publish such tombstones and give such other publicity to this Agreement as each may from time to time determine in its sole discretion. The foregoing authorization shall remain in effect unless the Borrower notifies JPM in writing that such authorization is revoked.</w:t>
      </w:r>
    </w:p>
    <w:p>
      <w:pPr>
        <w:spacing w:after="0" w:line="304" w:lineRule="exact"/>
        <w:rPr>
          <w:sz w:val="20"/>
          <w:szCs w:val="20"/>
          <w:color w:val="auto"/>
        </w:rPr>
      </w:pPr>
    </w:p>
    <w:p>
      <w:pPr>
        <w:ind w:left="120" w:right="119" w:firstLine="438"/>
        <w:spacing w:after="0" w:line="233" w:lineRule="auto"/>
        <w:rPr>
          <w:sz w:val="20"/>
          <w:szCs w:val="20"/>
          <w:color w:val="auto"/>
        </w:rPr>
      </w:pPr>
      <w:r>
        <w:rPr>
          <w:rFonts w:ascii="Arial" w:cs="Arial" w:eastAsia="Arial" w:hAnsi="Arial"/>
          <w:sz w:val="13"/>
          <w:szCs w:val="13"/>
          <w:color w:val="010000"/>
        </w:rPr>
        <w:t xml:space="preserve">SECTION 9.20 </w:t>
      </w:r>
      <w:r>
        <w:rPr>
          <w:rFonts w:ascii="Arial" w:cs="Arial" w:eastAsia="Arial" w:hAnsi="Arial"/>
          <w:sz w:val="13"/>
          <w:szCs w:val="13"/>
          <w:u w:val="single" w:color="auto"/>
          <w:color w:val="000000"/>
        </w:rPr>
        <w:t>Acknowledgement and Consent to Bail-In of EEA Financial Institutions</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Notwithstanding anything to the contrary in any Loan Document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295" w:lineRule="exact"/>
        <w:rPr>
          <w:sz w:val="20"/>
          <w:szCs w:val="20"/>
          <w:color w:val="auto"/>
        </w:rPr>
      </w:pPr>
    </w:p>
    <w:p>
      <w:pPr>
        <w:ind w:left="120" w:right="119" w:firstLine="879"/>
        <w:spacing w:after="0" w:line="239" w:lineRule="auto"/>
        <w:tabs>
          <w:tab w:leader="none" w:pos="1189" w:val="left"/>
        </w:tabs>
        <w:numPr>
          <w:ilvl w:val="0"/>
          <w:numId w:val="166"/>
        </w:numPr>
        <w:rPr>
          <w:rFonts w:ascii="Arial" w:cs="Arial" w:eastAsia="Arial" w:hAnsi="Arial"/>
          <w:sz w:val="13"/>
          <w:szCs w:val="13"/>
          <w:color w:val="010000"/>
        </w:rPr>
      </w:pPr>
      <w:r>
        <w:rPr>
          <w:rFonts w:ascii="Arial" w:cs="Arial" w:eastAsia="Arial" w:hAnsi="Arial"/>
          <w:sz w:val="13"/>
          <w:szCs w:val="13"/>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3" w:lineRule="exact"/>
        <w:rPr>
          <w:rFonts w:ascii="Arial" w:cs="Arial" w:eastAsia="Arial" w:hAnsi="Arial"/>
          <w:sz w:val="13"/>
          <w:szCs w:val="13"/>
          <w:color w:val="010000"/>
        </w:rPr>
      </w:pPr>
    </w:p>
    <w:p>
      <w:pPr>
        <w:ind w:left="1200" w:hanging="201"/>
        <w:spacing w:after="0"/>
        <w:tabs>
          <w:tab w:leader="none" w:pos="1200" w:val="left"/>
        </w:tabs>
        <w:numPr>
          <w:ilvl w:val="0"/>
          <w:numId w:val="166"/>
        </w:numPr>
        <w:rPr>
          <w:rFonts w:ascii="Arial" w:cs="Arial" w:eastAsia="Arial" w:hAnsi="Arial"/>
          <w:sz w:val="13"/>
          <w:szCs w:val="13"/>
          <w:color w:val="010000"/>
        </w:rPr>
      </w:pPr>
      <w:r>
        <w:rPr>
          <w:rFonts w:ascii="Arial" w:cs="Arial" w:eastAsia="Arial" w:hAnsi="Arial"/>
          <w:sz w:val="13"/>
          <w:szCs w:val="13"/>
          <w:color w:val="auto"/>
        </w:rPr>
        <w:t>the effects of any Bail-In Action on any such liability, including, if applicable:</w:t>
      </w:r>
    </w:p>
    <w:p>
      <w:pPr>
        <w:spacing w:after="0" w:line="124" w:lineRule="exact"/>
        <w:rPr>
          <w:rFonts w:ascii="Arial" w:cs="Arial" w:eastAsia="Arial" w:hAnsi="Arial"/>
          <w:sz w:val="13"/>
          <w:szCs w:val="13"/>
          <w:color w:val="010000"/>
        </w:rPr>
      </w:pPr>
    </w:p>
    <w:p>
      <w:pPr>
        <w:ind w:left="1600" w:hanging="163"/>
        <w:spacing w:after="0"/>
        <w:tabs>
          <w:tab w:leader="none" w:pos="1600" w:val="left"/>
        </w:tabs>
        <w:numPr>
          <w:ilvl w:val="1"/>
          <w:numId w:val="166"/>
        </w:numPr>
        <w:rPr>
          <w:rFonts w:ascii="Arial" w:cs="Arial" w:eastAsia="Arial" w:hAnsi="Arial"/>
          <w:sz w:val="13"/>
          <w:szCs w:val="13"/>
          <w:color w:val="010000"/>
        </w:rPr>
      </w:pPr>
      <w:r>
        <w:rPr>
          <w:rFonts w:ascii="Arial" w:cs="Arial" w:eastAsia="Arial" w:hAnsi="Arial"/>
          <w:sz w:val="13"/>
          <w:szCs w:val="13"/>
          <w:color w:val="auto"/>
        </w:rPr>
        <w:t>a reduction in full or in part or cancellation of any such liability;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53" w:name="page154"/>
    <w:bookmarkEnd w:id="153"/>
    <w:p>
      <w:pPr>
        <w:jc w:val="both"/>
        <w:ind w:left="120" w:right="119" w:firstLine="1317"/>
        <w:spacing w:after="0" w:line="228" w:lineRule="auto"/>
        <w:tabs>
          <w:tab w:leader="none" w:pos="1642" w:val="left"/>
        </w:tabs>
        <w:numPr>
          <w:ilvl w:val="0"/>
          <w:numId w:val="167"/>
        </w:numPr>
        <w:rPr>
          <w:rFonts w:ascii="Arial" w:cs="Arial" w:eastAsia="Arial" w:hAnsi="Arial"/>
          <w:sz w:val="13"/>
          <w:szCs w:val="13"/>
          <w:color w:val="010000"/>
        </w:rPr>
      </w:pPr>
      <w:r>
        <w:rPr>
          <w:rFonts w:ascii="Arial" w:cs="Arial" w:eastAsia="Arial" w:hAnsi="Arial"/>
          <w:sz w:val="13"/>
          <w:szCs w:val="13"/>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3" w:lineRule="exact"/>
        <w:rPr>
          <w:rFonts w:ascii="Arial" w:cs="Arial" w:eastAsia="Arial" w:hAnsi="Arial"/>
          <w:sz w:val="13"/>
          <w:szCs w:val="13"/>
          <w:color w:val="010000"/>
        </w:rPr>
      </w:pPr>
    </w:p>
    <w:p>
      <w:pPr>
        <w:ind w:left="1680" w:hanging="243"/>
        <w:spacing w:after="0"/>
        <w:tabs>
          <w:tab w:leader="none" w:pos="1680" w:val="left"/>
        </w:tabs>
        <w:numPr>
          <w:ilvl w:val="0"/>
          <w:numId w:val="167"/>
        </w:numPr>
        <w:rPr>
          <w:rFonts w:ascii="Arial" w:cs="Arial" w:eastAsia="Arial" w:hAnsi="Arial"/>
          <w:sz w:val="13"/>
          <w:szCs w:val="13"/>
          <w:color w:val="010000"/>
        </w:rPr>
      </w:pPr>
      <w:r>
        <w:rPr>
          <w:rFonts w:ascii="Arial" w:cs="Arial" w:eastAsia="Arial" w:hAnsi="Arial"/>
          <w:sz w:val="13"/>
          <w:szCs w:val="13"/>
          <w:color w:val="auto"/>
        </w:rPr>
        <w:t>the variation of the terms of such liability in connection with the exercise of the write-down and conversion powers of any EEA</w:t>
      </w:r>
    </w:p>
    <w:p>
      <w:pPr>
        <w:ind w:left="120"/>
        <w:spacing w:after="0"/>
        <w:rPr>
          <w:rFonts w:ascii="Arial" w:cs="Arial" w:eastAsia="Arial" w:hAnsi="Arial"/>
          <w:sz w:val="13"/>
          <w:szCs w:val="13"/>
          <w:color w:val="010000"/>
        </w:rPr>
      </w:pPr>
      <w:r>
        <w:rPr>
          <w:rFonts w:ascii="Arial" w:cs="Arial" w:eastAsia="Arial" w:hAnsi="Arial"/>
          <w:sz w:val="13"/>
          <w:szCs w:val="13"/>
          <w:color w:val="auto"/>
        </w:rPr>
        <w:t>Resolution Authority.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010000"/>
        </w:rPr>
        <w:t>ARTICLE 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Loan Guaranty</w:t>
      </w:r>
    </w:p>
    <w:p>
      <w:pPr>
        <w:spacing w:after="0" w:line="51" w:lineRule="exact"/>
        <w:rPr>
          <w:sz w:val="20"/>
          <w:szCs w:val="20"/>
          <w:color w:val="auto"/>
        </w:rPr>
      </w:pPr>
    </w:p>
    <w:p>
      <w:pPr>
        <w:jc w:val="both"/>
        <w:ind w:left="120" w:right="279" w:firstLine="438"/>
        <w:spacing w:after="0" w:line="244" w:lineRule="auto"/>
        <w:rPr>
          <w:sz w:val="20"/>
          <w:szCs w:val="20"/>
          <w:color w:val="auto"/>
        </w:rPr>
      </w:pPr>
      <w:r>
        <w:rPr>
          <w:rFonts w:ascii="Arial" w:cs="Arial" w:eastAsia="Arial" w:hAnsi="Arial"/>
          <w:sz w:val="12"/>
          <w:szCs w:val="12"/>
          <w:color w:val="010000"/>
        </w:rPr>
        <w:t xml:space="preserve">SECTION 10.01 </w:t>
      </w:r>
      <w:r>
        <w:rPr>
          <w:rFonts w:ascii="Arial" w:cs="Arial" w:eastAsia="Arial" w:hAnsi="Arial"/>
          <w:sz w:val="12"/>
          <w:szCs w:val="12"/>
          <w:u w:val="single" w:color="auto"/>
          <w:color w:val="000000"/>
        </w:rPr>
        <w:t>Guaranty</w:t>
      </w:r>
      <w:r>
        <w:rPr>
          <w:rFonts w:ascii="Arial" w:cs="Arial" w:eastAsia="Arial" w:hAnsi="Arial"/>
          <w:sz w:val="12"/>
          <w:szCs w:val="12"/>
          <w:color w:val="000000"/>
        </w:rPr>
        <w:t>. Each Loan Guarantor (other than those that have delivered a separate Guaranty) hereby agrees that it is jointly and severally</w:t>
      </w:r>
      <w:r>
        <w:rPr>
          <w:rFonts w:ascii="Arial" w:cs="Arial" w:eastAsia="Arial" w:hAnsi="Arial"/>
          <w:sz w:val="12"/>
          <w:szCs w:val="12"/>
          <w:color w:val="010000"/>
        </w:rPr>
        <w:t xml:space="preserve"> </w:t>
      </w:r>
      <w:r>
        <w:rPr>
          <w:rFonts w:ascii="Arial" w:cs="Arial" w:eastAsia="Arial" w:hAnsi="Arial"/>
          <w:sz w:val="12"/>
          <w:szCs w:val="12"/>
          <w:color w:val="000000"/>
        </w:rPr>
        <w:t>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w:t>
      </w:r>
    </w:p>
    <w:p>
      <w:pPr>
        <w:spacing w:after="0" w:line="2" w:lineRule="exact"/>
        <w:rPr>
          <w:sz w:val="20"/>
          <w:szCs w:val="20"/>
          <w:color w:val="auto"/>
        </w:rPr>
      </w:pPr>
    </w:p>
    <w:p>
      <w:pPr>
        <w:ind w:left="120" w:right="119"/>
        <w:spacing w:after="0" w:line="243" w:lineRule="auto"/>
        <w:rPr>
          <w:sz w:val="20"/>
          <w:szCs w:val="20"/>
          <w:color w:val="auto"/>
        </w:rPr>
      </w:pPr>
      <w:r>
        <w:rPr>
          <w:rFonts w:ascii="Arial" w:cs="Arial" w:eastAsia="Arial" w:hAnsi="Arial"/>
          <w:sz w:val="12"/>
          <w:szCs w:val="12"/>
          <w:color w:val="auto"/>
        </w:rPr>
        <w:t>without limitation, all court costs and reasonable attorneys</w:t>
      </w:r>
      <w:r>
        <w:rPr>
          <w:rFonts w:ascii="Arial" w:cs="Arial" w:eastAsia="Arial" w:hAnsi="Arial"/>
          <w:sz w:val="12"/>
          <w:szCs w:val="12"/>
          <w:u w:val="single" w:color="auto"/>
          <w:color w:val="auto"/>
        </w:rPr>
        <w:t>’ and paralegals’ fees and expenses paid or incurred by the Administrative Agent, the Issuing Bank and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“Guaranteed Obligations”); provided, however,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93" w:lineRule="exact"/>
        <w:rPr>
          <w:sz w:val="20"/>
          <w:szCs w:val="20"/>
          <w:color w:val="auto"/>
        </w:rPr>
      </w:pPr>
    </w:p>
    <w:p>
      <w:pPr>
        <w:ind w:left="120" w:right="259" w:firstLine="438"/>
        <w:spacing w:after="0" w:line="248" w:lineRule="auto"/>
        <w:rPr>
          <w:sz w:val="20"/>
          <w:szCs w:val="20"/>
          <w:color w:val="auto"/>
        </w:rPr>
      </w:pPr>
      <w:r>
        <w:rPr>
          <w:rFonts w:ascii="Arial" w:cs="Arial" w:eastAsia="Arial" w:hAnsi="Arial"/>
          <w:sz w:val="12"/>
          <w:szCs w:val="12"/>
          <w:color w:val="010000"/>
        </w:rPr>
        <w:t xml:space="preserve">SECTION 10.02 </w:t>
      </w:r>
      <w:r>
        <w:rPr>
          <w:rFonts w:ascii="Arial" w:cs="Arial" w:eastAsia="Arial" w:hAnsi="Arial"/>
          <w:sz w:val="12"/>
          <w:szCs w:val="12"/>
          <w:u w:val="single" w:color="auto"/>
          <w:color w:val="000000"/>
        </w:rPr>
        <w:t>Guaranty of Payment</w:t>
      </w:r>
      <w:r>
        <w:rPr>
          <w:rFonts w:ascii="Arial" w:cs="Arial" w:eastAsia="Arial" w:hAnsi="Arial"/>
          <w:sz w:val="12"/>
          <w:szCs w:val="12"/>
          <w:color w:val="000000"/>
        </w:rPr>
        <w:t>. This Loan Guaranty is a guaranty of payment and not of collection. Each Loan Guarantor waives any right to</w:t>
      </w:r>
      <w:r>
        <w:rPr>
          <w:rFonts w:ascii="Arial" w:cs="Arial" w:eastAsia="Arial" w:hAnsi="Arial"/>
          <w:sz w:val="12"/>
          <w:szCs w:val="12"/>
          <w:color w:val="010000"/>
        </w:rPr>
        <w:t xml:space="preserve"> </w:t>
      </w:r>
      <w:r>
        <w:rPr>
          <w:rFonts w:ascii="Arial" w:cs="Arial" w:eastAsia="Arial" w:hAnsi="Arial"/>
          <w:sz w:val="12"/>
          <w:szCs w:val="12"/>
          <w:color w:val="000000"/>
        </w:rPr>
        <w:t>require the Administrative Agent, the Issuing Bank or any Lender to sue the Borrower, any Loan Guarantor, any other guarantor of, or any other Person obligated</w:t>
      </w:r>
    </w:p>
    <w:p>
      <w:pPr>
        <w:ind w:left="120" w:right="219"/>
        <w:spacing w:after="0" w:line="237" w:lineRule="auto"/>
        <w:rPr>
          <w:sz w:val="20"/>
          <w:szCs w:val="20"/>
          <w:color w:val="auto"/>
        </w:rPr>
      </w:pPr>
      <w:r>
        <w:rPr>
          <w:rFonts w:ascii="Arial" w:cs="Arial" w:eastAsia="Arial" w:hAnsi="Arial"/>
          <w:sz w:val="13"/>
          <w:szCs w:val="13"/>
          <w:color w:val="auto"/>
        </w:rPr>
        <w:t xml:space="preserve">for all or any part of the Guaranteed Obligations (each, an </w:t>
      </w:r>
      <w:r>
        <w:rPr>
          <w:rFonts w:ascii="Arial" w:cs="Arial" w:eastAsia="Arial" w:hAnsi="Arial"/>
          <w:sz w:val="13"/>
          <w:szCs w:val="13"/>
          <w:u w:val="single" w:color="auto"/>
          <w:color w:val="auto"/>
        </w:rPr>
        <w:t>“Obligated Party”), or otherwise to enforce its payment against any collateral securing all or any part of</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 Guaranteed Obligations.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10.03 </w:t>
      </w:r>
      <w:r>
        <w:rPr>
          <w:rFonts w:ascii="Arial" w:cs="Arial" w:eastAsia="Arial" w:hAnsi="Arial"/>
          <w:sz w:val="13"/>
          <w:szCs w:val="13"/>
          <w:u w:val="single" w:color="auto"/>
          <w:color w:val="000000"/>
        </w:rPr>
        <w:t>No Discharge or Diminishment of Loan Guaranty</w:t>
      </w:r>
      <w:r>
        <w:rPr>
          <w:rFonts w:ascii="Arial" w:cs="Arial" w:eastAsia="Arial" w:hAnsi="Arial"/>
          <w:sz w:val="13"/>
          <w:szCs w:val="13"/>
          <w:color w:val="000000"/>
        </w:rPr>
        <w:t>.</w:t>
      </w:r>
    </w:p>
    <w:p>
      <w:pPr>
        <w:spacing w:after="0" w:line="325" w:lineRule="exact"/>
        <w:rPr>
          <w:sz w:val="20"/>
          <w:szCs w:val="20"/>
          <w:color w:val="auto"/>
        </w:rPr>
      </w:pPr>
    </w:p>
    <w:p>
      <w:pPr>
        <w:jc w:val="both"/>
        <w:ind w:left="120" w:right="119" w:firstLine="879"/>
        <w:spacing w:after="0" w:line="232" w:lineRule="auto"/>
        <w:tabs>
          <w:tab w:leader="none" w:pos="1189" w:val="left"/>
        </w:tabs>
        <w:numPr>
          <w:ilvl w:val="0"/>
          <w:numId w:val="168"/>
        </w:numPr>
        <w:rPr>
          <w:rFonts w:ascii="Arial" w:cs="Arial" w:eastAsia="Arial" w:hAnsi="Arial"/>
          <w:sz w:val="12"/>
          <w:szCs w:val="12"/>
          <w:color w:val="010000"/>
        </w:rPr>
      </w:pPr>
      <w:r>
        <w:rPr>
          <w:rFonts w:ascii="Arial" w:cs="Arial" w:eastAsia="Arial" w:hAnsi="Arial"/>
          <w:sz w:val="12"/>
          <w:szCs w:val="12"/>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4" w:name="page155"/>
    <w:bookmarkEnd w:id="154"/>
    <w:p>
      <w:pPr>
        <w:jc w:val="both"/>
        <w:ind w:left="120" w:right="119" w:firstLine="879"/>
        <w:spacing w:after="0" w:line="228" w:lineRule="auto"/>
        <w:tabs>
          <w:tab w:leader="none" w:pos="1197" w:val="left"/>
        </w:tabs>
        <w:numPr>
          <w:ilvl w:val="0"/>
          <w:numId w:val="169"/>
        </w:numPr>
        <w:rPr>
          <w:rFonts w:ascii="Arial" w:cs="Arial" w:eastAsia="Arial" w:hAnsi="Arial"/>
          <w:sz w:val="13"/>
          <w:szCs w:val="13"/>
          <w:color w:val="010000"/>
        </w:rPr>
      </w:pPr>
      <w:r>
        <w:rPr>
          <w:rFonts w:ascii="Arial" w:cs="Arial" w:eastAsia="Arial" w:hAnsi="Arial"/>
          <w:sz w:val="13"/>
          <w:szCs w:val="13"/>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02" w:lineRule="exact"/>
        <w:rPr>
          <w:rFonts w:ascii="Arial" w:cs="Arial" w:eastAsia="Arial" w:hAnsi="Arial"/>
          <w:sz w:val="13"/>
          <w:szCs w:val="13"/>
          <w:color w:val="010000"/>
        </w:rPr>
      </w:pPr>
    </w:p>
    <w:p>
      <w:pPr>
        <w:jc w:val="both"/>
        <w:ind w:left="120" w:right="119" w:firstLine="879"/>
        <w:spacing w:after="0" w:line="212" w:lineRule="auto"/>
        <w:tabs>
          <w:tab w:leader="none" w:pos="1189" w:val="left"/>
        </w:tabs>
        <w:numPr>
          <w:ilvl w:val="0"/>
          <w:numId w:val="169"/>
        </w:numPr>
        <w:rPr>
          <w:rFonts w:ascii="Arial" w:cs="Arial" w:eastAsia="Arial" w:hAnsi="Arial"/>
          <w:sz w:val="13"/>
          <w:szCs w:val="13"/>
          <w:color w:val="010000"/>
        </w:rPr>
      </w:pPr>
      <w:r>
        <w:rPr>
          <w:rFonts w:ascii="Arial" w:cs="Arial" w:eastAsia="Arial" w:hAnsi="Arial"/>
          <w:sz w:val="13"/>
          <w:szCs w:val="13"/>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07" w:lineRule="exact"/>
        <w:rPr>
          <w:sz w:val="20"/>
          <w:szCs w:val="20"/>
          <w:color w:val="auto"/>
        </w:rPr>
      </w:pPr>
    </w:p>
    <w:p>
      <w:pPr>
        <w:jc w:val="both"/>
        <w:ind w:left="120" w:right="199" w:firstLine="438"/>
        <w:spacing w:after="0" w:line="244" w:lineRule="auto"/>
        <w:rPr>
          <w:sz w:val="20"/>
          <w:szCs w:val="20"/>
          <w:color w:val="auto"/>
        </w:rPr>
      </w:pPr>
      <w:r>
        <w:rPr>
          <w:rFonts w:ascii="Arial" w:cs="Arial" w:eastAsia="Arial" w:hAnsi="Arial"/>
          <w:sz w:val="12"/>
          <w:szCs w:val="12"/>
          <w:color w:val="010000"/>
        </w:rPr>
        <w:t xml:space="preserve">SECTION 10.04 </w:t>
      </w:r>
      <w:r>
        <w:rPr>
          <w:rFonts w:ascii="Arial" w:cs="Arial" w:eastAsia="Arial" w:hAnsi="Arial"/>
          <w:sz w:val="12"/>
          <w:szCs w:val="12"/>
          <w:u w:val="single" w:color="auto"/>
          <w:color w:val="000000"/>
        </w:rPr>
        <w:t>Defenses Waived</w:t>
      </w:r>
      <w:r>
        <w:rPr>
          <w:rFonts w:ascii="Arial" w:cs="Arial" w:eastAsia="Arial" w:hAnsi="Arial"/>
          <w:sz w:val="12"/>
          <w:szCs w:val="12"/>
          <w:color w:val="000000"/>
        </w:rPr>
        <w:t>. To the fullest extent permitted by applicable law, each Loan Guarantor hereby waives any defense based on or arising</w:t>
      </w:r>
      <w:r>
        <w:rPr>
          <w:rFonts w:ascii="Arial" w:cs="Arial" w:eastAsia="Arial" w:hAnsi="Arial"/>
          <w:sz w:val="12"/>
          <w:szCs w:val="12"/>
          <w:color w:val="010000"/>
        </w:rPr>
        <w:t xml:space="preserve"> </w:t>
      </w:r>
      <w:r>
        <w:rPr>
          <w:rFonts w:ascii="Arial" w:cs="Arial" w:eastAsia="Arial" w:hAnsi="Arial"/>
          <w:sz w:val="12"/>
          <w:szCs w:val="12"/>
          <w:color w:val="000000"/>
        </w:rPr>
        <w:t xml:space="preserve">out of any defense of the Borrower or any Loan Guarantor or the unenforceability of all or any part of the Guaranteed Obligations from any cause, or the cessation from any cause of the liability of the Borrower, any Loan Guarantor or any other Obligated Party, other than the </w:t>
      </w:r>
      <w:r>
        <w:rPr>
          <w:rFonts w:ascii="Arial" w:cs="Arial" w:eastAsia="Arial" w:hAnsi="Arial"/>
          <w:sz w:val="12"/>
          <w:szCs w:val="12"/>
          <w:u w:val="single" w:color="auto"/>
          <w:color w:val="000000"/>
        </w:rPr>
        <w:t>Payment in Full of the Guaranteed Obligations.</w:t>
      </w:r>
    </w:p>
    <w:p>
      <w:pPr>
        <w:spacing w:after="0" w:line="2" w:lineRule="exact"/>
        <w:rPr>
          <w:sz w:val="20"/>
          <w:szCs w:val="20"/>
          <w:color w:val="auto"/>
        </w:rPr>
      </w:pPr>
    </w:p>
    <w:p>
      <w:pPr>
        <w:ind w:left="120" w:right="139"/>
        <w:spacing w:after="0" w:line="242" w:lineRule="auto"/>
        <w:rPr>
          <w:sz w:val="20"/>
          <w:szCs w:val="20"/>
          <w:color w:val="auto"/>
        </w:rPr>
      </w:pPr>
      <w:r>
        <w:rPr>
          <w:rFonts w:ascii="Arial" w:cs="Arial" w:eastAsia="Arial" w:hAnsi="Arial"/>
          <w:sz w:val="12"/>
          <w:szCs w:val="12"/>
          <w:u w:val="single" w:color="auto"/>
          <w:color w:val="auto"/>
        </w:rPr>
        <w:t>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93" w:lineRule="exact"/>
        <w:rPr>
          <w:sz w:val="20"/>
          <w:szCs w:val="20"/>
          <w:color w:val="auto"/>
        </w:rPr>
      </w:pPr>
    </w:p>
    <w:p>
      <w:pPr>
        <w:ind w:left="120" w:right="379" w:firstLine="438"/>
        <w:spacing w:after="0" w:line="266" w:lineRule="auto"/>
        <w:rPr>
          <w:sz w:val="20"/>
          <w:szCs w:val="20"/>
          <w:color w:val="auto"/>
        </w:rPr>
      </w:pPr>
      <w:r>
        <w:rPr>
          <w:rFonts w:ascii="Arial" w:cs="Arial" w:eastAsia="Arial" w:hAnsi="Arial"/>
          <w:sz w:val="12"/>
          <w:szCs w:val="12"/>
          <w:color w:val="010000"/>
        </w:rPr>
        <w:t xml:space="preserve">SECTION 10.05 </w:t>
      </w:r>
      <w:r>
        <w:rPr>
          <w:rFonts w:ascii="Arial" w:cs="Arial" w:eastAsia="Arial" w:hAnsi="Arial"/>
          <w:sz w:val="12"/>
          <w:szCs w:val="12"/>
          <w:u w:val="single" w:color="auto"/>
          <w:color w:val="000000"/>
        </w:rPr>
        <w:t>Rights of Subrogation</w:t>
      </w:r>
      <w:r>
        <w:rPr>
          <w:rFonts w:ascii="Arial" w:cs="Arial" w:eastAsia="Arial" w:hAnsi="Arial"/>
          <w:sz w:val="12"/>
          <w:szCs w:val="12"/>
          <w:color w:val="000000"/>
        </w:rPr>
        <w:t>. No Loan Guarantor will assert any right, claim or cause of action, including, without limitation, a claim of</w:t>
      </w:r>
      <w:r>
        <w:rPr>
          <w:rFonts w:ascii="Arial" w:cs="Arial" w:eastAsia="Arial" w:hAnsi="Arial"/>
          <w:sz w:val="12"/>
          <w:szCs w:val="12"/>
          <w:color w:val="010000"/>
        </w:rPr>
        <w:t xml:space="preserve"> </w:t>
      </w:r>
      <w:r>
        <w:rPr>
          <w:rFonts w:ascii="Arial" w:cs="Arial" w:eastAsia="Arial" w:hAnsi="Arial"/>
          <w:sz w:val="12"/>
          <w:szCs w:val="12"/>
          <w:color w:val="000000"/>
        </w:rPr>
        <w:t xml:space="preserve">subrogation, contribution or indemnification that it has against any Obligated Party </w:t>
      </w:r>
      <w:r>
        <w:rPr>
          <w:rFonts w:ascii="Arial" w:cs="Arial" w:eastAsia="Arial" w:hAnsi="Arial"/>
          <w:sz w:val="12"/>
          <w:szCs w:val="12"/>
          <w:u w:val="single" w:color="auto"/>
          <w:color w:val="000000"/>
        </w:rPr>
        <w:t>with respect to the Guaranteed Obligations, or any collateral, until the Loan</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Parties and the Loan Guarantors have fully performed all their obligations to the Administrative Agent, the Issuing Bank and the Lenders.</w:t>
      </w:r>
    </w:p>
    <w:p>
      <w:pPr>
        <w:spacing w:after="0" w:line="280" w:lineRule="exact"/>
        <w:rPr>
          <w:sz w:val="20"/>
          <w:szCs w:val="20"/>
          <w:color w:val="auto"/>
        </w:rPr>
      </w:pPr>
    </w:p>
    <w:p>
      <w:pPr>
        <w:jc w:val="both"/>
        <w:ind w:left="120" w:right="439" w:firstLine="438"/>
        <w:spacing w:after="0" w:line="237" w:lineRule="auto"/>
        <w:rPr>
          <w:sz w:val="20"/>
          <w:szCs w:val="20"/>
          <w:color w:val="auto"/>
        </w:rPr>
      </w:pPr>
      <w:r>
        <w:rPr>
          <w:rFonts w:ascii="Arial" w:cs="Arial" w:eastAsia="Arial" w:hAnsi="Arial"/>
          <w:sz w:val="13"/>
          <w:szCs w:val="13"/>
          <w:color w:val="010000"/>
        </w:rPr>
        <w:t xml:space="preserve">SECTION 10.06 </w:t>
      </w:r>
      <w:r>
        <w:rPr>
          <w:rFonts w:ascii="Arial" w:cs="Arial" w:eastAsia="Arial" w:hAnsi="Arial"/>
          <w:sz w:val="13"/>
          <w:szCs w:val="13"/>
          <w:u w:val="single" w:color="auto"/>
          <w:color w:val="000000"/>
        </w:rPr>
        <w:t>Reinstatement; Stay of Acceleration</w:t>
      </w:r>
      <w:r>
        <w:rPr>
          <w:rFonts w:ascii="Arial" w:cs="Arial" w:eastAsia="Arial" w:hAnsi="Arial"/>
          <w:sz w:val="13"/>
          <w:szCs w:val="13"/>
          <w:color w:val="000000"/>
        </w:rPr>
        <w: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If at any time any payment of any portion of the Guaranteed Obligations (including a payment</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effected through exercise of a right of setoff) is rescinded, or must otherwise be restored or returned upon the insolvency, bankruptcy or reorganization of the Borrower or otherwise (including pursuant to any settlement entered into by a Secured Party in its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5" w:name="page156"/>
    <w:bookmarkEnd w:id="155"/>
    <w:p>
      <w:pPr>
        <w:jc w:val="both"/>
        <w:ind w:left="120" w:right="199"/>
        <w:spacing w:after="0" w:line="230" w:lineRule="auto"/>
        <w:rPr>
          <w:sz w:val="20"/>
          <w:szCs w:val="20"/>
          <w:color w:val="auto"/>
        </w:rPr>
      </w:pPr>
      <w:r>
        <w:rPr>
          <w:rFonts w:ascii="Arial" w:cs="Arial" w:eastAsia="Arial" w:hAnsi="Arial"/>
          <w:sz w:val="13"/>
          <w:szCs w:val="13"/>
          <w:u w:val="single" w:color="auto"/>
          <w:color w:val="auto"/>
        </w:rPr>
        <w:t>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296" w:lineRule="exact"/>
        <w:rPr>
          <w:sz w:val="20"/>
          <w:szCs w:val="20"/>
          <w:color w:val="auto"/>
        </w:rPr>
      </w:pPr>
    </w:p>
    <w:p>
      <w:pPr>
        <w:ind w:left="120" w:right="139" w:firstLine="438"/>
        <w:spacing w:after="0" w:line="233" w:lineRule="auto"/>
        <w:rPr>
          <w:sz w:val="20"/>
          <w:szCs w:val="20"/>
          <w:color w:val="auto"/>
        </w:rPr>
      </w:pPr>
      <w:r>
        <w:rPr>
          <w:rFonts w:ascii="Arial" w:cs="Arial" w:eastAsia="Arial" w:hAnsi="Arial"/>
          <w:sz w:val="13"/>
          <w:szCs w:val="13"/>
          <w:color w:val="010000"/>
        </w:rPr>
        <w:t xml:space="preserve">SECTION 10.07 </w:t>
      </w:r>
      <w:r>
        <w:rPr>
          <w:rFonts w:ascii="Arial" w:cs="Arial" w:eastAsia="Arial" w:hAnsi="Arial"/>
          <w:sz w:val="13"/>
          <w:szCs w:val="13"/>
          <w:u w:val="single" w:color="auto"/>
          <w:color w:val="000000"/>
        </w:rPr>
        <w:t>Information</w:t>
      </w:r>
      <w:r>
        <w:rPr>
          <w:rFonts w:ascii="Arial" w:cs="Arial" w:eastAsia="Arial" w:hAnsi="Arial"/>
          <w:sz w:val="13"/>
          <w:szCs w:val="13"/>
          <w:color w:val="000000"/>
        </w:rPr>
        <w:t>. Each Loan Guarantor assumes all responsibility for being and keeping itself informed of the Borrower</w:t>
      </w:r>
      <w:r>
        <w:rPr>
          <w:rFonts w:ascii="Arial" w:cs="Arial" w:eastAsia="Arial" w:hAnsi="Arial"/>
          <w:sz w:val="13"/>
          <w:szCs w:val="13"/>
          <w:u w:val="single" w:color="auto"/>
          <w:color w:val="000000"/>
        </w:rPr>
        <w:t>’s financial condition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304" w:lineRule="exact"/>
        <w:rPr>
          <w:sz w:val="20"/>
          <w:szCs w:val="20"/>
          <w:color w:val="auto"/>
        </w:rPr>
      </w:pPr>
    </w:p>
    <w:p>
      <w:pPr>
        <w:ind w:left="120" w:right="159" w:firstLine="438"/>
        <w:spacing w:after="0" w:line="227" w:lineRule="auto"/>
        <w:rPr>
          <w:sz w:val="20"/>
          <w:szCs w:val="20"/>
          <w:color w:val="auto"/>
        </w:rPr>
      </w:pPr>
      <w:r>
        <w:rPr>
          <w:rFonts w:ascii="Arial" w:cs="Arial" w:eastAsia="Arial" w:hAnsi="Arial"/>
          <w:sz w:val="13"/>
          <w:szCs w:val="13"/>
          <w:color w:val="010000"/>
        </w:rPr>
        <w:t xml:space="preserve">SECTION 10.08 </w:t>
      </w:r>
      <w:r>
        <w:rPr>
          <w:rFonts w:ascii="Arial" w:cs="Arial" w:eastAsia="Arial" w:hAnsi="Arial"/>
          <w:sz w:val="13"/>
          <w:szCs w:val="13"/>
          <w:u w:val="single" w:color="auto"/>
          <w:color w:val="000000"/>
        </w:rPr>
        <w:t>Termination</w:t>
      </w:r>
      <w:r>
        <w:rPr>
          <w:rFonts w:ascii="Arial" w:cs="Arial" w:eastAsia="Arial" w:hAnsi="Arial"/>
          <w:sz w:val="13"/>
          <w:szCs w:val="13"/>
          <w:color w:val="000000"/>
        </w:rPr>
        <w:t>. Each of the Lenders and the Issuing Bank may continue to make loans or extend credit to the Borrower based on this Loan</w:t>
      </w:r>
      <w:r>
        <w:rPr>
          <w:rFonts w:ascii="Arial" w:cs="Arial" w:eastAsia="Arial" w:hAnsi="Arial"/>
          <w:sz w:val="13"/>
          <w:szCs w:val="13"/>
          <w:color w:val="010000"/>
        </w:rPr>
        <w:t xml:space="preserve"> </w:t>
      </w:r>
      <w:r>
        <w:rPr>
          <w:rFonts w:ascii="Arial" w:cs="Arial" w:eastAsia="Arial" w:hAnsi="Arial"/>
          <w:sz w:val="13"/>
          <w:szCs w:val="13"/>
          <w:color w:val="000000"/>
        </w:rPr>
        <w:t>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296" w:lineRule="exact"/>
        <w:rPr>
          <w:sz w:val="20"/>
          <w:szCs w:val="20"/>
          <w:color w:val="auto"/>
        </w:rPr>
      </w:pPr>
    </w:p>
    <w:p>
      <w:pPr>
        <w:ind w:left="120" w:right="119" w:firstLine="438"/>
        <w:spacing w:after="0" w:line="228" w:lineRule="auto"/>
        <w:rPr>
          <w:sz w:val="20"/>
          <w:szCs w:val="20"/>
          <w:color w:val="auto"/>
        </w:rPr>
      </w:pPr>
      <w:r>
        <w:rPr>
          <w:rFonts w:ascii="Arial" w:cs="Arial" w:eastAsia="Arial" w:hAnsi="Arial"/>
          <w:sz w:val="13"/>
          <w:szCs w:val="13"/>
          <w:color w:val="010000"/>
        </w:rPr>
        <w:t xml:space="preserve">SECTION 10.09 </w:t>
      </w:r>
      <w:r>
        <w:rPr>
          <w:rFonts w:ascii="Arial" w:cs="Arial" w:eastAsia="Arial" w:hAnsi="Arial"/>
          <w:sz w:val="13"/>
          <w:szCs w:val="13"/>
          <w:u w:val="single" w:color="auto"/>
          <w:color w:val="000000"/>
        </w:rPr>
        <w:t>Taxes</w:t>
      </w:r>
      <w:r>
        <w:rPr>
          <w:rFonts w:ascii="Arial" w:cs="Arial" w:eastAsia="Arial" w:hAnsi="Arial"/>
          <w:sz w:val="13"/>
          <w:szCs w:val="13"/>
          <w:color w:val="000000"/>
        </w:rPr>
        <w:t>. Each payment of the Guaranteed Obligations will be made by each Loan Guarantor without withholding for any Taxes, unless</w:t>
      </w:r>
      <w:r>
        <w:rPr>
          <w:rFonts w:ascii="Arial" w:cs="Arial" w:eastAsia="Arial" w:hAnsi="Arial"/>
          <w:sz w:val="13"/>
          <w:szCs w:val="13"/>
          <w:color w:val="010000"/>
        </w:rPr>
        <w:t xml:space="preserve"> </w:t>
      </w:r>
      <w:r>
        <w:rPr>
          <w:rFonts w:ascii="Arial" w:cs="Arial" w:eastAsia="Arial" w:hAnsi="Arial"/>
          <w:sz w:val="13"/>
          <w:szCs w:val="13"/>
          <w:color w:val="000000"/>
        </w:rPr>
        <w:t>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297" w:lineRule="exact"/>
        <w:rPr>
          <w:sz w:val="20"/>
          <w:szCs w:val="20"/>
          <w:color w:val="auto"/>
        </w:rPr>
      </w:pPr>
    </w:p>
    <w:p>
      <w:pPr>
        <w:ind w:left="120" w:right="179" w:firstLine="438"/>
        <w:spacing w:after="0" w:line="228" w:lineRule="auto"/>
        <w:rPr>
          <w:sz w:val="20"/>
          <w:szCs w:val="20"/>
          <w:color w:val="auto"/>
        </w:rPr>
      </w:pPr>
      <w:r>
        <w:rPr>
          <w:rFonts w:ascii="Arial" w:cs="Arial" w:eastAsia="Arial" w:hAnsi="Arial"/>
          <w:sz w:val="13"/>
          <w:szCs w:val="13"/>
          <w:color w:val="010000"/>
        </w:rPr>
        <w:t xml:space="preserve">SECTION 10.10 </w:t>
      </w:r>
      <w:r>
        <w:rPr>
          <w:rFonts w:ascii="Arial" w:cs="Arial" w:eastAsia="Arial" w:hAnsi="Arial"/>
          <w:sz w:val="13"/>
          <w:szCs w:val="13"/>
          <w:u w:val="single" w:color="auto"/>
          <w:color w:val="000000"/>
        </w:rPr>
        <w:t>Maximum Liability</w:t>
      </w:r>
      <w:r>
        <w:rPr>
          <w:rFonts w:ascii="Arial" w:cs="Arial" w:eastAsia="Arial" w:hAnsi="Arial"/>
          <w:sz w:val="13"/>
          <w:szCs w:val="13"/>
          <w:color w:val="000000"/>
        </w:rPr>
        <w:t>. Notwithstanding any other provision of this Loan Guaranty, the amount guaranteed by each Loan Guarantor</w:t>
      </w:r>
      <w:r>
        <w:rPr>
          <w:rFonts w:ascii="Arial" w:cs="Arial" w:eastAsia="Arial" w:hAnsi="Arial"/>
          <w:sz w:val="13"/>
          <w:szCs w:val="13"/>
          <w:color w:val="010000"/>
        </w:rPr>
        <w:t xml:space="preserve"> </w:t>
      </w:r>
      <w:r>
        <w:rPr>
          <w:rFonts w:ascii="Arial" w:cs="Arial" w:eastAsia="Arial" w:hAnsi="Arial"/>
          <w:sz w:val="13"/>
          <w:szCs w:val="13"/>
          <w:color w:val="000000"/>
        </w:rPr>
        <w:t>hereunder shall be limited to the extent, if any, required so that its obligations hereunder shall not be subject to avoidance under Section 548 of the Bankruptcy Code or under any applicable state Uniform Fraudulent Transfer Act, Uniform Fraudulent Conveyance Act</w:t>
      </w:r>
      <w:r>
        <w:rPr>
          <w:rFonts w:ascii="Arial" w:cs="Arial" w:eastAsia="Arial" w:hAnsi="Arial"/>
          <w:sz w:val="13"/>
          <w:szCs w:val="13"/>
          <w:u w:val="single" w:color="auto"/>
          <w:color w:val="000000"/>
        </w:rPr>
        <w:t>, Uniform Voidable Transaction Act or similar statute or</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13"/>
          <w:szCs w:val="13"/>
          <w:color w:val="010000"/>
        </w:rPr>
        <w:t xml:space="preserve">SECTION 10.11 </w:t>
      </w:r>
      <w:r>
        <w:rPr>
          <w:rFonts w:ascii="Arial" w:cs="Arial" w:eastAsia="Arial" w:hAnsi="Arial"/>
          <w:sz w:val="13"/>
          <w:szCs w:val="13"/>
          <w:u w:val="single" w:color="auto"/>
          <w:color w:val="000000"/>
        </w:rPr>
        <w:t>Contribution</w:t>
      </w:r>
      <w:r>
        <w:rPr>
          <w:rFonts w:ascii="Arial" w:cs="Arial" w:eastAsia="Arial" w:hAnsi="Arial"/>
          <w:sz w:val="13"/>
          <w:szCs w:val="13"/>
          <w:color w:val="000000"/>
        </w:rPr>
        <w:t>.</w:t>
      </w:r>
    </w:p>
    <w:p>
      <w:pPr>
        <w:spacing w:after="0" w:line="316" w:lineRule="exact"/>
        <w:rPr>
          <w:sz w:val="20"/>
          <w:szCs w:val="20"/>
          <w:color w:val="auto"/>
        </w:rPr>
      </w:pPr>
    </w:p>
    <w:p>
      <w:pPr>
        <w:ind w:left="120" w:right="119" w:firstLine="879"/>
        <w:spacing w:after="0" w:line="279" w:lineRule="auto"/>
        <w:tabs>
          <w:tab w:leader="none" w:pos="1189" w:val="left"/>
        </w:tabs>
        <w:numPr>
          <w:ilvl w:val="0"/>
          <w:numId w:val="170"/>
        </w:numPr>
        <w:rPr>
          <w:rFonts w:ascii="Arial" w:cs="Arial" w:eastAsia="Arial" w:hAnsi="Arial"/>
          <w:sz w:val="12"/>
          <w:szCs w:val="12"/>
          <w:color w:val="010000"/>
        </w:rPr>
      </w:pPr>
      <w:r>
        <w:rPr>
          <w:rFonts w:ascii="Arial" w:cs="Arial" w:eastAsia="Arial" w:hAnsi="Arial"/>
          <w:sz w:val="12"/>
          <w:szCs w:val="12"/>
          <w:color w:val="auto"/>
        </w:rPr>
        <w:t>To the extent that any Loan Guarantor shall make a payment under this Loan Guaranty (a “</w:t>
      </w:r>
      <w:r>
        <w:rPr>
          <w:rFonts w:ascii="Arial" w:cs="Arial" w:eastAsia="Arial" w:hAnsi="Arial"/>
          <w:sz w:val="12"/>
          <w:szCs w:val="12"/>
          <w:u w:val="single" w:color="auto"/>
          <w:color w:val="auto"/>
        </w:rPr>
        <w:t>Guarantor Payment</w:t>
      </w:r>
      <w:r>
        <w:rPr>
          <w:rFonts w:ascii="Arial" w:cs="Arial" w:eastAsia="Arial" w:hAnsi="Arial"/>
          <w:sz w:val="12"/>
          <w:szCs w:val="12"/>
          <w:color w:val="auto"/>
        </w:rPr>
        <w:t>”) which, taking into account all other Guarantor Payments then previously or concurrently made by any other Loan Guarantor, exceeds the amount which otherwise would have been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56" w:name="page157"/>
    <w:bookmarkEnd w:id="156"/>
    <w:p>
      <w:pPr>
        <w:jc w:val="both"/>
        <w:ind w:left="120" w:right="119"/>
        <w:spacing w:after="0" w:line="216" w:lineRule="auto"/>
        <w:rPr>
          <w:sz w:val="20"/>
          <w:szCs w:val="20"/>
          <w:color w:val="auto"/>
        </w:rPr>
      </w:pPr>
      <w:r>
        <w:rPr>
          <w:rFonts w:ascii="Arial" w:cs="Arial" w:eastAsia="Arial" w:hAnsi="Arial"/>
          <w:sz w:val="13"/>
          <w:szCs w:val="13"/>
          <w:color w:val="auto"/>
        </w:rPr>
        <w:t>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05" w:lineRule="exact"/>
        <w:rPr>
          <w:sz w:val="20"/>
          <w:szCs w:val="20"/>
          <w:color w:val="auto"/>
        </w:rPr>
      </w:pPr>
    </w:p>
    <w:p>
      <w:pPr>
        <w:jc w:val="both"/>
        <w:ind w:left="120" w:right="119" w:firstLine="879"/>
        <w:spacing w:after="0" w:line="241" w:lineRule="auto"/>
        <w:tabs>
          <w:tab w:leader="none" w:pos="1197" w:val="left"/>
        </w:tabs>
        <w:numPr>
          <w:ilvl w:val="0"/>
          <w:numId w:val="171"/>
        </w:numPr>
        <w:rPr>
          <w:rFonts w:ascii="Arial" w:cs="Arial" w:eastAsia="Arial" w:hAnsi="Arial"/>
          <w:sz w:val="12"/>
          <w:szCs w:val="12"/>
          <w:color w:val="010000"/>
        </w:rPr>
      </w:pPr>
      <w:r>
        <w:rPr>
          <w:rFonts w:ascii="Arial" w:cs="Arial" w:eastAsia="Arial" w:hAnsi="Arial"/>
          <w:sz w:val="12"/>
          <w:szCs w:val="12"/>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02" w:lineRule="exact"/>
        <w:rPr>
          <w:rFonts w:ascii="Arial" w:cs="Arial" w:eastAsia="Arial" w:hAnsi="Arial"/>
          <w:sz w:val="12"/>
          <w:szCs w:val="12"/>
          <w:color w:val="010000"/>
        </w:rPr>
      </w:pPr>
    </w:p>
    <w:p>
      <w:pPr>
        <w:jc w:val="both"/>
        <w:ind w:left="120" w:right="119" w:firstLine="879"/>
        <w:spacing w:after="0" w:line="228" w:lineRule="auto"/>
        <w:tabs>
          <w:tab w:leader="none" w:pos="1189" w:val="left"/>
        </w:tabs>
        <w:numPr>
          <w:ilvl w:val="0"/>
          <w:numId w:val="171"/>
        </w:numPr>
        <w:rPr>
          <w:rFonts w:ascii="Arial" w:cs="Arial" w:eastAsia="Arial" w:hAnsi="Arial"/>
          <w:sz w:val="13"/>
          <w:szCs w:val="13"/>
          <w:color w:val="010000"/>
        </w:rPr>
      </w:pPr>
      <w:r>
        <w:rPr>
          <w:rFonts w:ascii="Arial" w:cs="Arial" w:eastAsia="Arial" w:hAnsi="Arial"/>
          <w:sz w:val="13"/>
          <w:szCs w:val="13"/>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02" w:lineRule="exact"/>
        <w:rPr>
          <w:rFonts w:ascii="Arial" w:cs="Arial" w:eastAsia="Arial" w:hAnsi="Arial"/>
          <w:sz w:val="13"/>
          <w:szCs w:val="13"/>
          <w:color w:val="010000"/>
        </w:rPr>
      </w:pPr>
    </w:p>
    <w:p>
      <w:pPr>
        <w:ind w:left="120" w:right="119" w:firstLine="879"/>
        <w:spacing w:after="0" w:line="239" w:lineRule="auto"/>
        <w:tabs>
          <w:tab w:leader="none" w:pos="1197" w:val="left"/>
        </w:tabs>
        <w:numPr>
          <w:ilvl w:val="0"/>
          <w:numId w:val="171"/>
        </w:numPr>
        <w:rPr>
          <w:rFonts w:ascii="Arial" w:cs="Arial" w:eastAsia="Arial" w:hAnsi="Arial"/>
          <w:sz w:val="13"/>
          <w:szCs w:val="13"/>
          <w:color w:val="010000"/>
        </w:rPr>
      </w:pPr>
      <w:r>
        <w:rPr>
          <w:rFonts w:ascii="Arial" w:cs="Arial" w:eastAsia="Arial" w:hAnsi="Arial"/>
          <w:sz w:val="13"/>
          <w:szCs w:val="13"/>
          <w:color w:val="auto"/>
        </w:rPr>
        <w:t>The parties hereto acknowledge that the rights of contribution and indemnification hereunder shall constitute assets of the Loan Guarantor or Loan Guarantors to which such contribution and indemnification is owing.</w:t>
      </w:r>
    </w:p>
    <w:p>
      <w:pPr>
        <w:spacing w:after="0" w:line="103" w:lineRule="exact"/>
        <w:rPr>
          <w:rFonts w:ascii="Arial" w:cs="Arial" w:eastAsia="Arial" w:hAnsi="Arial"/>
          <w:sz w:val="13"/>
          <w:szCs w:val="13"/>
          <w:color w:val="010000"/>
        </w:rPr>
      </w:pPr>
    </w:p>
    <w:p>
      <w:pPr>
        <w:ind w:left="120" w:right="119" w:firstLine="879"/>
        <w:spacing w:after="0" w:line="239" w:lineRule="auto"/>
        <w:tabs>
          <w:tab w:leader="none" w:pos="1189" w:val="left"/>
        </w:tabs>
        <w:numPr>
          <w:ilvl w:val="0"/>
          <w:numId w:val="171"/>
        </w:numPr>
        <w:rPr>
          <w:rFonts w:ascii="Arial" w:cs="Arial" w:eastAsia="Arial" w:hAnsi="Arial"/>
          <w:sz w:val="13"/>
          <w:szCs w:val="13"/>
          <w:color w:val="010000"/>
        </w:rPr>
      </w:pPr>
      <w:r>
        <w:rPr>
          <w:rFonts w:ascii="Arial" w:cs="Arial" w:eastAsia="Arial" w:hAnsi="Arial"/>
          <w:sz w:val="13"/>
          <w:szCs w:val="13"/>
          <w:color w:val="auto"/>
        </w:rPr>
        <w:t>The rights of the indemnifying Loan Guarantors against other Loan Guarantors under this Section 10.11 shall be exercisable upon the Payment in Full of the Guaranteed Obligations and the termination of this Agreement.</w:t>
      </w:r>
    </w:p>
    <w:p>
      <w:pPr>
        <w:spacing w:after="0" w:line="104" w:lineRule="exact"/>
        <w:rPr>
          <w:sz w:val="20"/>
          <w:szCs w:val="20"/>
          <w:color w:val="auto"/>
        </w:rPr>
      </w:pPr>
    </w:p>
    <w:p>
      <w:pPr>
        <w:ind w:left="120" w:right="159" w:firstLine="438"/>
        <w:spacing w:after="0" w:line="233" w:lineRule="auto"/>
        <w:rPr>
          <w:sz w:val="20"/>
          <w:szCs w:val="20"/>
          <w:color w:val="auto"/>
        </w:rPr>
      </w:pPr>
      <w:r>
        <w:rPr>
          <w:rFonts w:ascii="Arial" w:cs="Arial" w:eastAsia="Arial" w:hAnsi="Arial"/>
          <w:sz w:val="13"/>
          <w:szCs w:val="13"/>
          <w:color w:val="010000"/>
        </w:rPr>
        <w:t xml:space="preserve">SECTION 10.12 </w:t>
      </w:r>
      <w:r>
        <w:rPr>
          <w:rFonts w:ascii="Arial" w:cs="Arial" w:eastAsia="Arial" w:hAnsi="Arial"/>
          <w:sz w:val="13"/>
          <w:szCs w:val="13"/>
          <w:u w:val="single" w:color="auto"/>
          <w:color w:val="000000"/>
        </w:rPr>
        <w:t>Liability Cumulative</w:t>
      </w:r>
      <w:r>
        <w:rPr>
          <w:rFonts w:ascii="Arial" w:cs="Arial" w:eastAsia="Arial" w:hAnsi="Arial"/>
          <w:sz w:val="13"/>
          <w:szCs w:val="13"/>
          <w:color w:val="000000"/>
        </w:rPr>
        <w:t>. The liability of each Loan Party as a Loan Guarantor under this Article X is in addition to and shall be cumulative</w:t>
      </w:r>
      <w:r>
        <w:rPr>
          <w:rFonts w:ascii="Arial" w:cs="Arial" w:eastAsia="Arial" w:hAnsi="Arial"/>
          <w:sz w:val="13"/>
          <w:szCs w:val="13"/>
          <w:color w:val="010000"/>
        </w:rPr>
        <w:t xml:space="preserve"> </w:t>
      </w:r>
      <w:r>
        <w:rPr>
          <w:rFonts w:ascii="Arial" w:cs="Arial" w:eastAsia="Arial" w:hAnsi="Arial"/>
          <w:sz w:val="13"/>
          <w:szCs w:val="13"/>
          <w:color w:val="000000"/>
        </w:rPr>
        <w:t>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95" w:lineRule="exact"/>
        <w:rPr>
          <w:sz w:val="20"/>
          <w:szCs w:val="20"/>
          <w:color w:val="auto"/>
        </w:rPr>
      </w:pPr>
    </w:p>
    <w:p>
      <w:pPr>
        <w:ind w:left="120" w:right="219" w:firstLine="438"/>
        <w:spacing w:after="0" w:line="246" w:lineRule="auto"/>
        <w:rPr>
          <w:sz w:val="20"/>
          <w:szCs w:val="20"/>
          <w:color w:val="auto"/>
        </w:rPr>
      </w:pPr>
      <w:r>
        <w:rPr>
          <w:rFonts w:ascii="Arial" w:cs="Arial" w:eastAsia="Arial" w:hAnsi="Arial"/>
          <w:sz w:val="12"/>
          <w:szCs w:val="12"/>
          <w:color w:val="010000"/>
        </w:rPr>
        <w:t xml:space="preserve">SECTION 10.13 </w:t>
      </w:r>
      <w:r>
        <w:rPr>
          <w:rFonts w:ascii="Arial" w:cs="Arial" w:eastAsia="Arial" w:hAnsi="Arial"/>
          <w:sz w:val="12"/>
          <w:szCs w:val="12"/>
          <w:u w:val="single" w:color="auto"/>
          <w:color w:val="000000"/>
        </w:rPr>
        <w:t>Keepwell</w:t>
      </w:r>
      <w:r>
        <w:rPr>
          <w:rFonts w:ascii="Arial" w:cs="Arial" w:eastAsia="Arial" w:hAnsi="Arial"/>
          <w:sz w:val="12"/>
          <w:szCs w:val="12"/>
          <w:color w:val="000000"/>
        </w:rPr>
        <w:t>.Each Qualified ECP Guarantor hereby jointly and severally absolutely, unconditionally and irrevocably undertakes to provide</w:t>
      </w:r>
      <w:r>
        <w:rPr>
          <w:rFonts w:ascii="Arial" w:cs="Arial" w:eastAsia="Arial" w:hAnsi="Arial"/>
          <w:sz w:val="12"/>
          <w:szCs w:val="12"/>
          <w:color w:val="010000"/>
        </w:rPr>
        <w:t xml:space="preserve"> </w:t>
      </w:r>
      <w:r>
        <w:rPr>
          <w:rFonts w:ascii="Arial" w:cs="Arial" w:eastAsia="Arial" w:hAnsi="Arial"/>
          <w:sz w:val="12"/>
          <w:szCs w:val="12"/>
          <w:color w:val="000000"/>
        </w:rPr>
        <w:t xml:space="preserve">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w:t>
      </w:r>
      <w:r>
        <w:rPr>
          <w:rFonts w:ascii="Arial" w:cs="Arial" w:eastAsia="Arial" w:hAnsi="Arial"/>
          <w:sz w:val="12"/>
          <w:szCs w:val="12"/>
          <w:u w:val="single" w:color="auto"/>
          <w:color w:val="000000"/>
        </w:rPr>
        <w:t>“keepwell, support, or other agreement” for the benefit of each other Loan</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Party for all purposes of Section 1a(18)(A)(v)(II) of the Commodity Exchange Act.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57" w:name="page158"/>
    <w:bookmarkEnd w:id="157"/>
    <w:p>
      <w:pPr>
        <w:ind w:left="120" w:right="119" w:firstLine="875"/>
        <w:spacing w:after="0" w:line="254" w:lineRule="auto"/>
        <w:rPr>
          <w:sz w:val="20"/>
          <w:szCs w:val="20"/>
          <w:color w:val="auto"/>
        </w:rPr>
      </w:pPr>
      <w:r>
        <w:rPr>
          <w:rFonts w:ascii="Arial" w:cs="Arial" w:eastAsia="Arial" w:hAnsi="Arial"/>
          <w:sz w:val="13"/>
          <w:szCs w:val="13"/>
          <w:color w:val="auto"/>
        </w:rPr>
        <w:t>IN WITNESS WHEREOF, the parties hereto have caused this Agreement to be duly executed and delivered by their respective authorized officers as of the day and year first above written.</w:t>
      </w:r>
    </w:p>
    <w:p>
      <w:pPr>
        <w:spacing w:after="0" w:line="103"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USA TECHNOLOGIES, INC.</w:t>
      </w:r>
    </w:p>
    <w:p>
      <w:pPr>
        <w:spacing w:after="0" w:line="279" w:lineRule="exact"/>
        <w:rPr>
          <w:sz w:val="20"/>
          <w:szCs w:val="20"/>
          <w:color w:val="auto"/>
        </w:rPr>
      </w:pPr>
    </w:p>
    <w:p>
      <w:pPr>
        <w:ind w:left="2760"/>
        <w:spacing w:after="0"/>
        <w:tabs>
          <w:tab w:leader="none" w:pos="3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u w:val="single" w:color="auto"/>
          <w:color w:val="auto"/>
        </w:rPr>
        <w:t>/s/ Stephen P. Herbert</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Stephen P. Herbert</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Title: Chief Executive Officer</w:t>
      </w:r>
    </w:p>
    <w:p>
      <w:pPr>
        <w:spacing w:after="0" w:line="2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STITCH NETWORKS CORPORATION</w:t>
      </w:r>
    </w:p>
    <w:p>
      <w:pPr>
        <w:spacing w:after="0" w:line="133" w:lineRule="exact"/>
        <w:rPr>
          <w:sz w:val="20"/>
          <w:szCs w:val="20"/>
          <w:color w:val="auto"/>
        </w:rPr>
      </w:pPr>
    </w:p>
    <w:p>
      <w:pPr>
        <w:ind w:left="2760"/>
        <w:spacing w:after="0"/>
        <w:tabs>
          <w:tab w:leader="none" w:pos="3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u w:val="single" w:color="auto"/>
          <w:color w:val="auto"/>
        </w:rPr>
        <w:t>/s/ Stephen P. Herbert</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Stephen P. Herbert</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Title: Chief Executive Officer</w:t>
      </w:r>
    </w:p>
    <w:p>
      <w:pPr>
        <w:spacing w:after="0" w:line="2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USAT CAPITAL CORP LLC</w:t>
      </w:r>
    </w:p>
    <w:p>
      <w:pPr>
        <w:spacing w:after="0" w:line="133" w:lineRule="exact"/>
        <w:rPr>
          <w:sz w:val="20"/>
          <w:szCs w:val="20"/>
          <w:color w:val="auto"/>
        </w:rPr>
      </w:pPr>
    </w:p>
    <w:p>
      <w:pPr>
        <w:ind w:left="2760"/>
        <w:spacing w:after="0"/>
        <w:tabs>
          <w:tab w:leader="none" w:pos="3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u w:val="single" w:color="auto"/>
          <w:color w:val="auto"/>
        </w:rPr>
        <w:t>/s/ Stephen P. Herbert</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Stephen P. Herbert</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Title: Chief Executive Officer</w:t>
      </w:r>
    </w:p>
    <w:p>
      <w:pPr>
        <w:spacing w:after="0" w:line="2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CANTALOUPE SYSTEMS, INC.</w:t>
      </w:r>
    </w:p>
    <w:p>
      <w:pPr>
        <w:spacing w:after="0" w:line="133" w:lineRule="exact"/>
        <w:rPr>
          <w:sz w:val="20"/>
          <w:szCs w:val="20"/>
          <w:color w:val="auto"/>
        </w:rPr>
      </w:pPr>
    </w:p>
    <w:p>
      <w:pPr>
        <w:ind w:left="2760"/>
        <w:spacing w:after="0"/>
        <w:tabs>
          <w:tab w:leader="none" w:pos="3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u w:val="single" w:color="auto"/>
          <w:color w:val="auto"/>
        </w:rPr>
        <w:t>/s/ Stephen P. Herbert</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Stephen P. Herbert</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8" w:name="page159"/>
    <w:bookmarkEnd w:id="158"/>
    <w:p>
      <w:pPr>
        <w:ind w:left="2760" w:right="339"/>
        <w:spacing w:after="0" w:line="254" w:lineRule="auto"/>
        <w:rPr>
          <w:sz w:val="20"/>
          <w:szCs w:val="20"/>
          <w:color w:val="auto"/>
        </w:rPr>
      </w:pPr>
      <w:r>
        <w:rPr>
          <w:rFonts w:ascii="Arial" w:cs="Arial" w:eastAsia="Arial" w:hAnsi="Arial"/>
          <w:sz w:val="13"/>
          <w:szCs w:val="13"/>
          <w:color w:val="auto"/>
        </w:rPr>
        <w:t>JPMORGAN CHASE BANK, N.A., individually, and as Administrative Agent, Lender, Swingline Lender and Issuing Bank</w:t>
      </w:r>
    </w:p>
    <w:p>
      <w:pPr>
        <w:spacing w:after="0" w:line="103"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Justin Kelley</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Justin Kelley</w:t>
      </w:r>
    </w:p>
    <w:p>
      <w:pPr>
        <w:spacing w:after="0" w:line="8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9" w:name="page160"/>
    <w:bookmarkEnd w:id="159"/>
    <w:tbl>
      <w:tblPr>
        <w:tblLayout w:type="fixed"/>
        <w:tblInd w:w="13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3280" w:type="dxa"/>
            <w:vAlign w:val="bottom"/>
            <w:gridSpan w:val="2"/>
          </w:tcPr>
          <w:p>
            <w:pPr>
              <w:jc w:val="right"/>
              <w:ind w:right="133"/>
              <w:spacing w:after="0"/>
              <w:rPr>
                <w:sz w:val="20"/>
                <w:szCs w:val="20"/>
                <w:color w:val="auto"/>
              </w:rPr>
            </w:pPr>
            <w:r>
              <w:rPr>
                <w:rFonts w:ascii="Arial" w:cs="Arial" w:eastAsia="Arial" w:hAnsi="Arial"/>
                <w:sz w:val="13"/>
                <w:szCs w:val="13"/>
                <w:color w:val="auto"/>
              </w:rPr>
              <w:t>COMMITMENT SCHEDULE</w:t>
            </w:r>
          </w:p>
        </w:tc>
        <w:tc>
          <w:tcPr>
            <w:tcW w:w="1620" w:type="dxa"/>
            <w:vAlign w:val="bottom"/>
          </w:tcPr>
          <w:p>
            <w:pPr>
              <w:spacing w:after="0"/>
              <w:rPr>
                <w:sz w:val="14"/>
                <w:szCs w:val="14"/>
                <w:color w:val="auto"/>
              </w:rPr>
            </w:pPr>
          </w:p>
        </w:tc>
      </w:tr>
      <w:tr>
        <w:trPr>
          <w:trHeight w:val="498"/>
        </w:trPr>
        <w:tc>
          <w:tcPr>
            <w:tcW w:w="2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62"/>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Lender</w:t>
            </w:r>
          </w:p>
        </w:tc>
        <w:tc>
          <w:tcPr>
            <w:tcW w:w="172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Revolving Commitment</w:t>
            </w:r>
          </w:p>
        </w:tc>
        <w:tc>
          <w:tcPr>
            <w:tcW w:w="156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Term A Commitment</w:t>
            </w:r>
          </w:p>
        </w:tc>
        <w:tc>
          <w:tcPr>
            <w:tcW w:w="1620" w:type="dxa"/>
            <w:vAlign w:val="bottom"/>
            <w:tcBorders>
              <w:right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Commitment</w:t>
            </w:r>
          </w:p>
        </w:tc>
      </w:tr>
      <w:tr>
        <w:trPr>
          <w:trHeight w:val="310"/>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r>
        <w:trPr>
          <w:trHeight w:val="166"/>
        </w:trPr>
        <w:tc>
          <w:tcPr>
            <w:tcW w:w="2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JPMorgan Chase Bank, N.A.</w:t>
            </w:r>
          </w:p>
        </w:tc>
        <w:tc>
          <w:tcPr>
            <w:tcW w:w="1720" w:type="dxa"/>
            <w:vAlign w:val="bottom"/>
            <w:tcBorders>
              <w:bottom w:val="single" w:sz="8" w:color="auto"/>
              <w:right w:val="single" w:sz="8" w:color="auto"/>
            </w:tcBorders>
          </w:tcPr>
          <w:p>
            <w:pPr>
              <w:jc w:val="right"/>
              <w:ind w:right="733"/>
              <w:spacing w:after="0"/>
              <w:rPr>
                <w:sz w:val="20"/>
                <w:szCs w:val="20"/>
                <w:color w:val="auto"/>
              </w:rPr>
            </w:pPr>
            <w:r>
              <w:rPr>
                <w:rFonts w:ascii="Arial" w:cs="Arial" w:eastAsia="Arial" w:hAnsi="Arial"/>
                <w:sz w:val="13"/>
                <w:szCs w:val="13"/>
                <w:color w:val="auto"/>
                <w:w w:val="99"/>
              </w:rPr>
              <w:t>$12,500,000.00</w:t>
            </w:r>
          </w:p>
        </w:tc>
        <w:tc>
          <w:tcPr>
            <w:tcW w:w="1560" w:type="dxa"/>
            <w:vAlign w:val="bottom"/>
            <w:tcBorders>
              <w:bottom w:val="single" w:sz="8" w:color="auto"/>
              <w:right w:val="single" w:sz="8" w:color="auto"/>
            </w:tcBorders>
          </w:tcPr>
          <w:p>
            <w:pPr>
              <w:jc w:val="right"/>
              <w:ind w:right="593"/>
              <w:spacing w:after="0"/>
              <w:rPr>
                <w:sz w:val="20"/>
                <w:szCs w:val="20"/>
                <w:color w:val="auto"/>
              </w:rPr>
            </w:pPr>
            <w:r>
              <w:rPr>
                <w:rFonts w:ascii="Arial" w:cs="Arial" w:eastAsia="Arial" w:hAnsi="Arial"/>
                <w:sz w:val="13"/>
                <w:szCs w:val="13"/>
                <w:color w:val="auto"/>
                <w:w w:val="97"/>
              </w:rPr>
              <w:t>$25,000,000.00</w:t>
            </w:r>
          </w:p>
        </w:tc>
        <w:tc>
          <w:tcPr>
            <w:tcW w:w="162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13"/>
                <w:szCs w:val="13"/>
                <w:color w:val="auto"/>
                <w:w w:val="97"/>
              </w:rPr>
              <w:t>$37,500,000.00</w:t>
            </w:r>
          </w:p>
        </w:tc>
      </w:tr>
      <w:tr>
        <w:trPr>
          <w:trHeight w:val="173"/>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1720" w:type="dxa"/>
            <w:vAlign w:val="bottom"/>
            <w:tcBorders>
              <w:bottom w:val="single" w:sz="8" w:color="auto"/>
              <w:right w:val="single" w:sz="8" w:color="auto"/>
            </w:tcBorders>
          </w:tcPr>
          <w:p>
            <w:pPr>
              <w:jc w:val="right"/>
              <w:ind w:right="733"/>
              <w:spacing w:after="0"/>
              <w:rPr>
                <w:sz w:val="20"/>
                <w:szCs w:val="20"/>
                <w:color w:val="auto"/>
              </w:rPr>
            </w:pPr>
            <w:r>
              <w:rPr>
                <w:rFonts w:ascii="Arial" w:cs="Arial" w:eastAsia="Arial" w:hAnsi="Arial"/>
                <w:sz w:val="13"/>
                <w:szCs w:val="13"/>
                <w:b w:val="1"/>
                <w:bCs w:val="1"/>
                <w:color w:val="auto"/>
                <w:w w:val="99"/>
              </w:rPr>
              <w:t>$12,500,000.00</w:t>
            </w:r>
          </w:p>
        </w:tc>
        <w:tc>
          <w:tcPr>
            <w:tcW w:w="1560" w:type="dxa"/>
            <w:vAlign w:val="bottom"/>
            <w:tcBorders>
              <w:bottom w:val="single" w:sz="8" w:color="auto"/>
              <w:right w:val="single" w:sz="8" w:color="auto"/>
            </w:tcBorders>
          </w:tcPr>
          <w:p>
            <w:pPr>
              <w:jc w:val="right"/>
              <w:ind w:right="593"/>
              <w:spacing w:after="0"/>
              <w:rPr>
                <w:sz w:val="20"/>
                <w:szCs w:val="20"/>
                <w:color w:val="auto"/>
              </w:rPr>
            </w:pPr>
            <w:r>
              <w:rPr>
                <w:rFonts w:ascii="Arial" w:cs="Arial" w:eastAsia="Arial" w:hAnsi="Arial"/>
                <w:sz w:val="13"/>
                <w:szCs w:val="13"/>
                <w:b w:val="1"/>
                <w:bCs w:val="1"/>
                <w:color w:val="auto"/>
                <w:w w:val="97"/>
              </w:rPr>
              <w:t>$25,000,000.00</w:t>
            </w:r>
          </w:p>
        </w:tc>
        <w:tc>
          <w:tcPr>
            <w:tcW w:w="162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13"/>
                <w:szCs w:val="13"/>
                <w:b w:val="1"/>
                <w:bCs w:val="1"/>
                <w:color w:val="auto"/>
                <w:w w:val="97"/>
              </w:rPr>
              <w:t>$37,500,000.00</w:t>
            </w: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69215</wp:posOffset>
            </wp:positionV>
            <wp:extent cx="557720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3"/>
          <w:szCs w:val="13"/>
          <w:b w:val="1"/>
          <w:bCs w:val="1"/>
          <w:u w:val="single" w:color="auto"/>
          <w:color w:val="auto"/>
        </w:rPr>
        <w:t>SCHEDULE 3.05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Properties, etc.</w:t>
      </w:r>
    </w:p>
    <w:p>
      <w:pPr>
        <w:spacing w:after="0" w:line="277" w:lineRule="exact"/>
        <w:rPr>
          <w:sz w:val="20"/>
          <w:szCs w:val="20"/>
          <w:color w:val="auto"/>
        </w:rPr>
      </w:pPr>
    </w:p>
    <w:p>
      <w:pPr>
        <w:ind w:left="4020"/>
        <w:spacing w:after="0"/>
        <w:rPr>
          <w:sz w:val="20"/>
          <w:szCs w:val="20"/>
          <w:color w:val="auto"/>
        </w:rPr>
      </w:pPr>
      <w:r>
        <w:rPr>
          <w:rFonts w:ascii="Arial" w:cs="Arial" w:eastAsia="Arial" w:hAnsi="Arial"/>
          <w:sz w:val="13"/>
          <w:szCs w:val="13"/>
          <w:b w:val="1"/>
          <w:bCs w:val="1"/>
          <w:u w:val="single" w:color="auto"/>
          <w:color w:val="auto"/>
        </w:rPr>
        <w:t>SCHEDULE 3.06</w:t>
      </w:r>
    </w:p>
    <w:p>
      <w:pPr>
        <w:spacing w:after="0" w:line="135" w:lineRule="exact"/>
        <w:rPr>
          <w:sz w:val="20"/>
          <w:szCs w:val="20"/>
          <w:color w:val="auto"/>
        </w:rPr>
      </w:pPr>
    </w:p>
    <w:p>
      <w:pPr>
        <w:ind w:left="4020"/>
        <w:spacing w:after="0"/>
        <w:rPr>
          <w:sz w:val="20"/>
          <w:szCs w:val="20"/>
          <w:color w:val="auto"/>
        </w:rPr>
      </w:pPr>
      <w:r>
        <w:rPr>
          <w:rFonts w:ascii="Arial" w:cs="Arial" w:eastAsia="Arial" w:hAnsi="Arial"/>
          <w:sz w:val="13"/>
          <w:szCs w:val="13"/>
          <w:u w:val="single" w:color="auto"/>
          <w:color w:val="auto"/>
        </w:rPr>
        <w:t>Disclosed Matters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Material Agreements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3.14</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Insurance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3.15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Capitalization and Subsidiaries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Affiliate Transactions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6.01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Existing Indebtedness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6.02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Existing Liens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6.04</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Existing Investments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SCHEDULE 6.10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Existing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61" w:name="page162"/>
    <w:bookmarkEnd w:id="161"/>
    <w:p>
      <w:pPr>
        <w:jc w:val="center"/>
        <w:ind w:right="60"/>
        <w:spacing w:after="0"/>
        <w:rPr>
          <w:sz w:val="20"/>
          <w:szCs w:val="20"/>
          <w:color w:val="auto"/>
        </w:rPr>
      </w:pPr>
      <w:r>
        <w:rPr>
          <w:rFonts w:ascii="Arial" w:cs="Arial" w:eastAsia="Arial" w:hAnsi="Arial"/>
          <w:sz w:val="13"/>
          <w:szCs w:val="13"/>
          <w:b w:val="1"/>
          <w:bCs w:val="1"/>
          <w:color w:val="auto"/>
        </w:rPr>
        <w:t>EXHIBIT A</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ASSIGNMENT AND ASSUMPTION</w:t>
      </w:r>
    </w:p>
    <w:p>
      <w:pPr>
        <w:spacing w:after="0" w:line="279" w:lineRule="exact"/>
        <w:rPr>
          <w:sz w:val="20"/>
          <w:szCs w:val="20"/>
          <w:color w:val="auto"/>
        </w:rPr>
      </w:pPr>
    </w:p>
    <w:p>
      <w:pPr>
        <w:jc w:val="both"/>
        <w:ind w:left="120" w:right="180" w:firstLine="875"/>
        <w:spacing w:after="0" w:line="252" w:lineRule="auto"/>
        <w:rPr>
          <w:sz w:val="20"/>
          <w:szCs w:val="20"/>
          <w:color w:val="auto"/>
        </w:rPr>
      </w:pPr>
      <w:r>
        <w:rPr>
          <w:rFonts w:ascii="Arial" w:cs="Arial" w:eastAsia="Arial" w:hAnsi="Arial"/>
          <w:sz w:val="12"/>
          <w:szCs w:val="12"/>
          <w:color w:val="auto"/>
        </w:rPr>
        <w:t>This Assignment and Assumption (this “</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is dated as of the Effective Date set forth below and is entered into by and between [</w:t>
      </w:r>
      <w:r>
        <w:rPr>
          <w:rFonts w:ascii="Arial" w:cs="Arial" w:eastAsia="Arial" w:hAnsi="Arial"/>
          <w:sz w:val="12"/>
          <w:szCs w:val="12"/>
          <w:i w:val="1"/>
          <w:iCs w:val="1"/>
          <w:color w:val="auto"/>
        </w:rPr>
        <w:t>Insert name of Assignor</w:t>
      </w:r>
      <w:r>
        <w:rPr>
          <w:rFonts w:ascii="Arial" w:cs="Arial" w:eastAsia="Arial" w:hAnsi="Arial"/>
          <w:sz w:val="12"/>
          <w:szCs w:val="12"/>
          <w:color w:val="auto"/>
        </w:rPr>
        <w:t>] (the “</w:t>
      </w:r>
      <w:r>
        <w:rPr>
          <w:rFonts w:ascii="Arial" w:cs="Arial" w:eastAsia="Arial" w:hAnsi="Arial"/>
          <w:sz w:val="12"/>
          <w:szCs w:val="12"/>
          <w:u w:val="single" w:color="auto"/>
          <w:color w:val="auto"/>
        </w:rPr>
        <w:t>Assignor</w:t>
      </w:r>
      <w:r>
        <w:rPr>
          <w:rFonts w:ascii="Arial" w:cs="Arial" w:eastAsia="Arial" w:hAnsi="Arial"/>
          <w:sz w:val="12"/>
          <w:szCs w:val="12"/>
          <w:color w:val="auto"/>
        </w:rPr>
        <w:t>”) and [</w:t>
      </w:r>
      <w:r>
        <w:rPr>
          <w:rFonts w:ascii="Arial" w:cs="Arial" w:eastAsia="Arial" w:hAnsi="Arial"/>
          <w:sz w:val="12"/>
          <w:szCs w:val="12"/>
          <w:i w:val="1"/>
          <w:iCs w:val="1"/>
          <w:color w:val="auto"/>
        </w:rPr>
        <w:t>Insert name of Assignee</w:t>
      </w:r>
      <w:r>
        <w:rPr>
          <w:rFonts w:ascii="Arial" w:cs="Arial" w:eastAsia="Arial" w:hAnsi="Arial"/>
          <w:sz w:val="12"/>
          <w:szCs w:val="12"/>
          <w:color w:val="auto"/>
        </w:rPr>
        <w:t>] (the “</w:t>
      </w:r>
      <w:r>
        <w:rPr>
          <w:rFonts w:ascii="Arial" w:cs="Arial" w:eastAsia="Arial" w:hAnsi="Arial"/>
          <w:sz w:val="12"/>
          <w:szCs w:val="12"/>
          <w:u w:val="single" w:color="auto"/>
          <w:color w:val="auto"/>
        </w:rPr>
        <w:t>Assignee</w:t>
      </w:r>
      <w:r>
        <w:rPr>
          <w:rFonts w:ascii="Arial" w:cs="Arial" w:eastAsia="Arial" w:hAnsi="Arial"/>
          <w:sz w:val="12"/>
          <w:szCs w:val="12"/>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05" w:lineRule="exact"/>
        <w:rPr>
          <w:sz w:val="20"/>
          <w:szCs w:val="20"/>
          <w:color w:val="auto"/>
        </w:rPr>
      </w:pPr>
    </w:p>
    <w:p>
      <w:pPr>
        <w:jc w:val="both"/>
        <w:ind w:left="120" w:right="180" w:firstLine="875"/>
        <w:spacing w:after="0" w:line="224" w:lineRule="auto"/>
        <w:rPr>
          <w:sz w:val="20"/>
          <w:szCs w:val="20"/>
          <w:color w:val="auto"/>
        </w:rPr>
      </w:pPr>
      <w:r>
        <w:rPr>
          <w:rFonts w:ascii="Arial" w:cs="Arial" w:eastAsia="Arial" w:hAnsi="Arial"/>
          <w:sz w:val="13"/>
          <w:szCs w:val="13"/>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3"/>
          <w:szCs w:val="13"/>
          <w:u w:val="single" w:color="auto"/>
          <w:color w:val="auto"/>
        </w:rPr>
        <w:t>Assigned Interest</w:t>
      </w:r>
      <w:r>
        <w:rPr>
          <w:rFonts w:ascii="Arial" w:cs="Arial" w:eastAsia="Arial" w:hAnsi="Arial"/>
          <w:sz w:val="13"/>
          <w:szCs w:val="13"/>
          <w:color w:val="auto"/>
        </w:rPr>
        <w:t>”). Such sale and assignment is without recourse to the Assignor and, except as expressly provided in this Assignment and Assumption, without representation or warranty by the Assignor.</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1.</w:t>
            </w:r>
          </w:p>
        </w:tc>
        <w:tc>
          <w:tcPr>
            <w:tcW w:w="1120" w:type="dxa"/>
            <w:vAlign w:val="bottom"/>
          </w:tcPr>
          <w:p>
            <w:pPr>
              <w:ind w:left="260"/>
              <w:spacing w:after="0"/>
              <w:rPr>
                <w:sz w:val="20"/>
                <w:szCs w:val="20"/>
                <w:color w:val="auto"/>
              </w:rPr>
            </w:pPr>
            <w:r>
              <w:rPr>
                <w:rFonts w:ascii="Arial" w:cs="Arial" w:eastAsia="Arial" w:hAnsi="Arial"/>
                <w:sz w:val="13"/>
                <w:szCs w:val="13"/>
                <w:color w:val="auto"/>
              </w:rPr>
              <w:t>Assignor:</w:t>
            </w:r>
          </w:p>
        </w:tc>
        <w:tc>
          <w:tcPr>
            <w:tcW w:w="2800" w:type="dxa"/>
            <w:vAlign w:val="bottom"/>
          </w:tcPr>
          <w:p>
            <w:pPr>
              <w:ind w:left="540"/>
              <w:spacing w:after="0"/>
              <w:rPr>
                <w:sz w:val="20"/>
                <w:szCs w:val="20"/>
                <w:color w:val="auto"/>
              </w:rPr>
            </w:pPr>
            <w:r>
              <w:rPr>
                <w:rFonts w:ascii="Arial" w:cs="Arial" w:eastAsia="Arial" w:hAnsi="Arial"/>
                <w:sz w:val="13"/>
                <w:szCs w:val="13"/>
                <w:color w:val="auto"/>
              </w:rPr>
              <w:t>______________________________</w:t>
            </w:r>
          </w:p>
        </w:tc>
        <w:tc>
          <w:tcPr>
            <w:tcW w:w="4760" w:type="dxa"/>
            <w:vAlign w:val="bottom"/>
          </w:tcPr>
          <w:p>
            <w:pPr>
              <w:spacing w:after="0"/>
              <w:rPr>
                <w:sz w:val="14"/>
                <w:szCs w:val="14"/>
                <w:color w:val="auto"/>
              </w:rPr>
            </w:pPr>
          </w:p>
        </w:tc>
      </w:tr>
      <w:tr>
        <w:trPr>
          <w:trHeight w:val="283"/>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2.</w:t>
            </w:r>
          </w:p>
        </w:tc>
        <w:tc>
          <w:tcPr>
            <w:tcW w:w="1120" w:type="dxa"/>
            <w:vAlign w:val="bottom"/>
          </w:tcPr>
          <w:p>
            <w:pPr>
              <w:spacing w:after="0"/>
              <w:rPr>
                <w:sz w:val="24"/>
                <w:szCs w:val="24"/>
                <w:color w:val="auto"/>
              </w:rPr>
            </w:pPr>
          </w:p>
        </w:tc>
        <w:tc>
          <w:tcPr>
            <w:tcW w:w="2800" w:type="dxa"/>
            <w:vAlign w:val="bottom"/>
          </w:tcPr>
          <w:p>
            <w:pPr>
              <w:ind w:left="820"/>
              <w:spacing w:after="0"/>
              <w:rPr>
                <w:sz w:val="20"/>
                <w:szCs w:val="20"/>
                <w:color w:val="auto"/>
              </w:rPr>
            </w:pPr>
            <w:r>
              <w:rPr>
                <w:rFonts w:ascii="Arial" w:cs="Arial" w:eastAsia="Arial" w:hAnsi="Arial"/>
                <w:sz w:val="13"/>
                <w:szCs w:val="13"/>
                <w:color w:val="auto"/>
              </w:rPr>
              <w:t>Assignee:</w:t>
            </w:r>
          </w:p>
        </w:tc>
        <w:tc>
          <w:tcPr>
            <w:tcW w:w="4760" w:type="dxa"/>
            <w:vAlign w:val="bottom"/>
          </w:tcPr>
          <w:p>
            <w:pPr>
              <w:jc w:val="right"/>
              <w:spacing w:after="0"/>
              <w:rPr>
                <w:sz w:val="20"/>
                <w:szCs w:val="20"/>
                <w:color w:val="auto"/>
              </w:rPr>
            </w:pPr>
            <w:r>
              <w:rPr>
                <w:rFonts w:ascii="Arial" w:cs="Arial" w:eastAsia="Arial" w:hAnsi="Arial"/>
                <w:sz w:val="13"/>
                <w:szCs w:val="13"/>
                <w:color w:val="auto"/>
              </w:rPr>
              <w:t>______________________________</w:t>
            </w:r>
          </w:p>
        </w:tc>
      </w:tr>
      <w:tr>
        <w:trPr>
          <w:trHeight w:val="262"/>
        </w:trPr>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560" w:type="dxa"/>
            <w:vAlign w:val="bottom"/>
            <w:gridSpan w:val="2"/>
          </w:tcPr>
          <w:p>
            <w:pPr>
              <w:ind w:left="360"/>
              <w:spacing w:after="0"/>
              <w:rPr>
                <w:sz w:val="20"/>
                <w:szCs w:val="20"/>
                <w:color w:val="auto"/>
              </w:rPr>
            </w:pPr>
            <w:r>
              <w:rPr>
                <w:rFonts w:ascii="Arial" w:cs="Arial" w:eastAsia="Arial" w:hAnsi="Arial"/>
                <w:sz w:val="13"/>
                <w:szCs w:val="13"/>
                <w:color w:val="auto"/>
              </w:rPr>
              <w:t>[and is an Affiliate/Approved Fund of [</w:t>
            </w:r>
            <w:r>
              <w:rPr>
                <w:rFonts w:ascii="Arial" w:cs="Arial" w:eastAsia="Arial" w:hAnsi="Arial"/>
                <w:sz w:val="13"/>
                <w:szCs w:val="13"/>
                <w:i w:val="1"/>
                <w:iCs w:val="1"/>
                <w:color w:val="auto"/>
              </w:rPr>
              <w:t>identify Lender</w:t>
            </w:r>
            <w:r>
              <w:rPr>
                <w:rFonts w:ascii="Arial" w:cs="Arial" w:eastAsia="Arial" w:hAnsi="Arial"/>
                <w:sz w:val="13"/>
                <w:szCs w:val="13"/>
                <w:color w:val="auto"/>
              </w:rPr>
              <w:t>]</w:t>
            </w:r>
            <w:r>
              <w:rPr>
                <w:rFonts w:ascii="Arial" w:cs="Arial" w:eastAsia="Arial" w:hAnsi="Arial"/>
                <w:sz w:val="13"/>
                <w:szCs w:val="13"/>
                <w:color w:val="auto"/>
                <w:vertAlign w:val="superscript"/>
              </w:rPr>
              <w:t>1</w:t>
            </w:r>
            <w:r>
              <w:rPr>
                <w:rFonts w:ascii="Arial" w:cs="Arial" w:eastAsia="Arial" w:hAnsi="Arial"/>
                <w:sz w:val="13"/>
                <w:szCs w:val="13"/>
                <w:color w:val="auto"/>
              </w:rPr>
              <w:t>]</w:t>
            </w:r>
          </w:p>
        </w:tc>
      </w:tr>
      <w:tr>
        <w:trPr>
          <w:trHeight w:val="258"/>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3.</w:t>
            </w:r>
          </w:p>
        </w:tc>
        <w:tc>
          <w:tcPr>
            <w:tcW w:w="1120" w:type="dxa"/>
            <w:vAlign w:val="bottom"/>
          </w:tcPr>
          <w:p>
            <w:pPr>
              <w:ind w:left="180"/>
              <w:spacing w:after="0"/>
              <w:rPr>
                <w:sz w:val="20"/>
                <w:szCs w:val="20"/>
                <w:color w:val="auto"/>
              </w:rPr>
            </w:pPr>
            <w:r>
              <w:rPr>
                <w:rFonts w:ascii="Arial" w:cs="Arial" w:eastAsia="Arial" w:hAnsi="Arial"/>
                <w:sz w:val="13"/>
                <w:szCs w:val="13"/>
                <w:color w:val="auto"/>
              </w:rPr>
              <w:t>Borrower:</w:t>
            </w:r>
          </w:p>
        </w:tc>
        <w:tc>
          <w:tcPr>
            <w:tcW w:w="2800" w:type="dxa"/>
            <w:vAlign w:val="bottom"/>
          </w:tcPr>
          <w:p>
            <w:pPr>
              <w:ind w:left="320"/>
              <w:spacing w:after="0"/>
              <w:rPr>
                <w:sz w:val="20"/>
                <w:szCs w:val="20"/>
                <w:color w:val="auto"/>
              </w:rPr>
            </w:pPr>
            <w:r>
              <w:rPr>
                <w:rFonts w:ascii="Arial" w:cs="Arial" w:eastAsia="Arial" w:hAnsi="Arial"/>
                <w:sz w:val="13"/>
                <w:szCs w:val="13"/>
                <w:color w:val="auto"/>
              </w:rPr>
              <w:t>______________________________</w:t>
            </w:r>
          </w:p>
        </w:tc>
        <w:tc>
          <w:tcPr>
            <w:tcW w:w="4760" w:type="dxa"/>
            <w:vAlign w:val="bottom"/>
          </w:tcPr>
          <w:p>
            <w:pPr>
              <w:spacing w:after="0"/>
              <w:rPr>
                <w:sz w:val="22"/>
                <w:szCs w:val="22"/>
                <w:color w:val="auto"/>
              </w:rPr>
            </w:pPr>
          </w:p>
        </w:tc>
      </w:tr>
      <w:tr>
        <w:trPr>
          <w:trHeight w:val="248"/>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4.</w:t>
            </w:r>
          </w:p>
        </w:tc>
        <w:tc>
          <w:tcPr>
            <w:tcW w:w="1120" w:type="dxa"/>
            <w:vAlign w:val="bottom"/>
          </w:tcPr>
          <w:p>
            <w:pPr>
              <w:spacing w:after="0"/>
              <w:rPr>
                <w:sz w:val="21"/>
                <w:szCs w:val="21"/>
                <w:color w:val="auto"/>
              </w:rPr>
            </w:pPr>
          </w:p>
        </w:tc>
        <w:tc>
          <w:tcPr>
            <w:tcW w:w="2800" w:type="dxa"/>
            <w:vAlign w:val="bottom"/>
          </w:tcPr>
          <w:p>
            <w:pPr>
              <w:ind w:left="820"/>
              <w:spacing w:after="0"/>
              <w:rPr>
                <w:sz w:val="20"/>
                <w:szCs w:val="20"/>
                <w:color w:val="auto"/>
              </w:rPr>
            </w:pPr>
            <w:r>
              <w:rPr>
                <w:rFonts w:ascii="Arial" w:cs="Arial" w:eastAsia="Arial" w:hAnsi="Arial"/>
                <w:sz w:val="13"/>
                <w:szCs w:val="13"/>
                <w:color w:val="auto"/>
              </w:rPr>
              <w:t>Administrative Agent:</w:t>
            </w:r>
          </w:p>
        </w:tc>
        <w:tc>
          <w:tcPr>
            <w:tcW w:w="4760" w:type="dxa"/>
            <w:vAlign w:val="bottom"/>
          </w:tcPr>
          <w:p>
            <w:pPr>
              <w:jc w:val="right"/>
              <w:ind w:right="413"/>
              <w:spacing w:after="0"/>
              <w:rPr>
                <w:sz w:val="20"/>
                <w:szCs w:val="20"/>
                <w:color w:val="auto"/>
              </w:rPr>
            </w:pPr>
            <w:r>
              <w:rPr>
                <w:rFonts w:ascii="Arial" w:cs="Arial" w:eastAsia="Arial" w:hAnsi="Arial"/>
                <w:sz w:val="13"/>
                <w:szCs w:val="13"/>
                <w:color w:val="auto"/>
              </w:rPr>
              <w:t>______________________, as the administrative agent</w:t>
            </w:r>
          </w:p>
        </w:tc>
      </w:tr>
      <w:tr>
        <w:trPr>
          <w:trHeight w:val="171"/>
        </w:trPr>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0" w:type="dxa"/>
            <w:vAlign w:val="bottom"/>
          </w:tcPr>
          <w:p>
            <w:pPr>
              <w:ind w:left="800"/>
              <w:spacing w:after="0"/>
              <w:rPr>
                <w:sz w:val="20"/>
                <w:szCs w:val="20"/>
                <w:color w:val="auto"/>
              </w:rPr>
            </w:pPr>
            <w:r>
              <w:rPr>
                <w:rFonts w:ascii="Arial" w:cs="Arial" w:eastAsia="Arial" w:hAnsi="Arial"/>
                <w:sz w:val="13"/>
                <w:szCs w:val="13"/>
                <w:color w:val="auto"/>
              </w:rPr>
              <w:t>under the Credit Agreement</w:t>
            </w:r>
          </w:p>
        </w:tc>
        <w:tc>
          <w:tcPr>
            <w:tcW w:w="4760" w:type="dxa"/>
            <w:vAlign w:val="bottom"/>
          </w:tcPr>
          <w:p>
            <w:pPr>
              <w:spacing w:after="0"/>
              <w:rPr>
                <w:sz w:val="14"/>
                <w:szCs w:val="14"/>
                <w:color w:val="auto"/>
              </w:rPr>
            </w:pPr>
          </w:p>
        </w:tc>
      </w:tr>
      <w:tr>
        <w:trPr>
          <w:trHeight w:val="248"/>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5.</w:t>
            </w:r>
          </w:p>
        </w:tc>
        <w:tc>
          <w:tcPr>
            <w:tcW w:w="1120" w:type="dxa"/>
            <w:vAlign w:val="bottom"/>
          </w:tcPr>
          <w:p>
            <w:pPr>
              <w:spacing w:after="0"/>
              <w:rPr>
                <w:sz w:val="21"/>
                <w:szCs w:val="21"/>
                <w:color w:val="auto"/>
              </w:rPr>
            </w:pPr>
          </w:p>
        </w:tc>
        <w:tc>
          <w:tcPr>
            <w:tcW w:w="2800" w:type="dxa"/>
            <w:vAlign w:val="bottom"/>
          </w:tcPr>
          <w:p>
            <w:pPr>
              <w:ind w:left="380"/>
              <w:spacing w:after="0"/>
              <w:rPr>
                <w:sz w:val="20"/>
                <w:szCs w:val="20"/>
                <w:color w:val="auto"/>
              </w:rPr>
            </w:pPr>
            <w:r>
              <w:rPr>
                <w:rFonts w:ascii="Arial" w:cs="Arial" w:eastAsia="Arial" w:hAnsi="Arial"/>
                <w:sz w:val="13"/>
                <w:szCs w:val="13"/>
                <w:color w:val="auto"/>
              </w:rPr>
              <w:t>Credit Agreement:</w:t>
            </w:r>
          </w:p>
        </w:tc>
        <w:tc>
          <w:tcPr>
            <w:tcW w:w="4760" w:type="dxa"/>
            <w:vAlign w:val="bottom"/>
          </w:tcPr>
          <w:p>
            <w:pPr>
              <w:jc w:val="right"/>
              <w:ind w:right="133"/>
              <w:spacing w:after="0"/>
              <w:rPr>
                <w:sz w:val="20"/>
                <w:szCs w:val="20"/>
                <w:color w:val="auto"/>
              </w:rPr>
            </w:pPr>
            <w:r>
              <w:rPr>
                <w:rFonts w:ascii="Arial" w:cs="Arial" w:eastAsia="Arial" w:hAnsi="Arial"/>
                <w:sz w:val="13"/>
                <w:szCs w:val="13"/>
                <w:color w:val="auto"/>
                <w:w w:val="97"/>
              </w:rPr>
              <w:t>The Credit Agreement dated as of November 9, 2017 among USA Technologies,</w:t>
            </w:r>
          </w:p>
        </w:tc>
      </w:tr>
      <w:tr>
        <w:trPr>
          <w:trHeight w:val="137"/>
        </w:trPr>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560" w:type="dxa"/>
            <w:vAlign w:val="bottom"/>
            <w:gridSpan w:val="2"/>
          </w:tcPr>
          <w:p>
            <w:pPr>
              <w:ind w:left="360"/>
              <w:spacing w:after="0" w:line="137" w:lineRule="exact"/>
              <w:rPr>
                <w:sz w:val="20"/>
                <w:szCs w:val="20"/>
                <w:color w:val="auto"/>
              </w:rPr>
            </w:pPr>
            <w:r>
              <w:rPr>
                <w:rFonts w:ascii="Arial" w:cs="Arial" w:eastAsia="Arial" w:hAnsi="Arial"/>
                <w:sz w:val="13"/>
                <w:szCs w:val="13"/>
                <w:color w:val="auto"/>
                <w:w w:val="95"/>
              </w:rPr>
              <w:t>Inc., a Pennsylvania corporation, the Lenders party thereto, JPMorgan Chase Bank, N.A., as Administrative Agent for the Lenders,</w:t>
            </w:r>
          </w:p>
        </w:tc>
      </w:tr>
      <w:tr>
        <w:trPr>
          <w:trHeight w:val="171"/>
        </w:trPr>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0" w:type="dxa"/>
            <w:vAlign w:val="bottom"/>
          </w:tcPr>
          <w:p>
            <w:pPr>
              <w:ind w:left="360"/>
              <w:spacing w:after="0"/>
              <w:rPr>
                <w:sz w:val="20"/>
                <w:szCs w:val="20"/>
                <w:color w:val="auto"/>
              </w:rPr>
            </w:pPr>
            <w:r>
              <w:rPr>
                <w:rFonts w:ascii="Arial" w:cs="Arial" w:eastAsia="Arial" w:hAnsi="Arial"/>
                <w:sz w:val="13"/>
                <w:szCs w:val="13"/>
                <w:color w:val="auto"/>
              </w:rPr>
              <w:t>and the other parties thereto</w:t>
            </w:r>
          </w:p>
        </w:tc>
        <w:tc>
          <w:tcPr>
            <w:tcW w:w="4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38100</wp:posOffset>
            </wp:positionV>
            <wp:extent cx="139573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99" w:lineRule="exact"/>
        <w:rPr>
          <w:sz w:val="20"/>
          <w:szCs w:val="20"/>
          <w:color w:val="auto"/>
        </w:rPr>
      </w:pPr>
    </w:p>
    <w:p>
      <w:pPr>
        <w:ind w:left="200" w:hanging="76"/>
        <w:spacing w:after="0"/>
        <w:tabs>
          <w:tab w:leader="none" w:pos="200" w:val="left"/>
        </w:tabs>
        <w:numPr>
          <w:ilvl w:val="0"/>
          <w:numId w:val="172"/>
        </w:numPr>
        <w:rPr>
          <w:rFonts w:ascii="Arial" w:cs="Arial" w:eastAsia="Arial" w:hAnsi="Arial"/>
          <w:sz w:val="15"/>
          <w:szCs w:val="15"/>
          <w:color w:val="auto"/>
          <w:vertAlign w:val="superscript"/>
        </w:rPr>
      </w:pPr>
      <w:r>
        <w:rPr>
          <w:rFonts w:ascii="Arial" w:cs="Arial" w:eastAsia="Arial" w:hAnsi="Arial"/>
          <w:sz w:val="13"/>
          <w:szCs w:val="13"/>
          <w:color w:val="auto"/>
        </w:rPr>
        <w:t>Select as applicable.</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80"/>
          </w:cols>
          <w:pgMar w:left="1440" w:top="344" w:right="1379" w:bottom="1440" w:gutter="0" w:footer="0" w:header="0"/>
        </w:sectPr>
      </w:pPr>
    </w:p>
    <w:bookmarkStart w:id="162" w:name="page163"/>
    <w:bookmarkEnd w:id="162"/>
    <w:tbl>
      <w:tblPr>
        <w:tblLayout w:type="fixed"/>
        <w:tblInd w:w="130" w:type="dxa"/>
        <w:tblCellMar>
          <w:top w:w="0" w:type="dxa"/>
          <w:left w:w="0" w:type="dxa"/>
          <w:bottom w:w="0" w:type="dxa"/>
          <w:right w:w="0" w:type="dxa"/>
        </w:tblCellMar>
      </w:tblPr>
      <w:tr>
        <w:trPr>
          <w:trHeight w:val="171"/>
        </w:trPr>
        <w:tc>
          <w:tcPr>
            <w:tcW w:w="1680" w:type="dxa"/>
            <w:vAlign w:val="bottom"/>
          </w:tcPr>
          <w:p>
            <w:pPr>
              <w:jc w:val="right"/>
              <w:ind w:right="1516"/>
              <w:spacing w:after="0"/>
              <w:rPr>
                <w:sz w:val="20"/>
                <w:szCs w:val="20"/>
                <w:color w:val="auto"/>
              </w:rPr>
            </w:pPr>
            <w:r>
              <w:rPr>
                <w:rFonts w:ascii="Arial" w:cs="Arial" w:eastAsia="Arial" w:hAnsi="Arial"/>
                <w:sz w:val="13"/>
                <w:szCs w:val="13"/>
                <w:color w:val="auto"/>
                <w:w w:val="73"/>
              </w:rPr>
              <w:t>6.</w:t>
            </w:r>
          </w:p>
        </w:tc>
        <w:tc>
          <w:tcPr>
            <w:tcW w:w="2580" w:type="dxa"/>
            <w:vAlign w:val="bottom"/>
            <w:gridSpan w:val="2"/>
          </w:tcPr>
          <w:p>
            <w:pPr>
              <w:jc w:val="right"/>
              <w:ind w:right="1414"/>
              <w:spacing w:after="0"/>
              <w:rPr>
                <w:sz w:val="20"/>
                <w:szCs w:val="20"/>
                <w:color w:val="auto"/>
              </w:rPr>
            </w:pPr>
            <w:r>
              <w:rPr>
                <w:rFonts w:ascii="Arial" w:cs="Arial" w:eastAsia="Arial" w:hAnsi="Arial"/>
                <w:sz w:val="13"/>
                <w:szCs w:val="13"/>
                <w:color w:val="auto"/>
              </w:rPr>
              <w:t>Assigned Interest:</w:t>
            </w:r>
          </w:p>
        </w:tc>
        <w:tc>
          <w:tcPr>
            <w:tcW w:w="21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25"/>
        </w:trPr>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04"/>
        </w:trPr>
        <w:tc>
          <w:tcPr>
            <w:tcW w:w="1680" w:type="dxa"/>
            <w:vAlign w:val="bottom"/>
            <w:tcBorders>
              <w:left w:val="single" w:sz="8" w:color="auto"/>
            </w:tcBorders>
          </w:tcPr>
          <w:p>
            <w:pPr>
              <w:jc w:val="right"/>
              <w:ind w:right="76"/>
              <w:spacing w:after="0" w:line="105" w:lineRule="exact"/>
              <w:rPr>
                <w:sz w:val="20"/>
                <w:szCs w:val="20"/>
                <w:color w:val="auto"/>
              </w:rPr>
            </w:pPr>
            <w:r>
              <w:rPr>
                <w:rFonts w:ascii="Arial" w:cs="Arial" w:eastAsia="Arial" w:hAnsi="Arial"/>
                <w:sz w:val="12"/>
                <w:szCs w:val="12"/>
                <w:color w:val="auto"/>
              </w:rPr>
              <w:t>Facility Assigned</w:t>
            </w:r>
            <w:r>
              <w:rPr>
                <w:rFonts w:ascii="Arial" w:cs="Arial" w:eastAsia="Arial" w:hAnsi="Arial"/>
                <w:sz w:val="12"/>
                <w:szCs w:val="12"/>
                <w:color w:val="auto"/>
                <w:vertAlign w:val="superscript"/>
              </w:rPr>
              <w:t>2</w:t>
            </w:r>
          </w:p>
        </w:tc>
        <w:tc>
          <w:tcPr>
            <w:tcW w:w="4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jc w:val="right"/>
              <w:ind w:right="434"/>
              <w:spacing w:after="0" w:line="105" w:lineRule="exact"/>
              <w:rPr>
                <w:sz w:val="20"/>
                <w:szCs w:val="20"/>
                <w:color w:val="auto"/>
              </w:rPr>
            </w:pPr>
            <w:r>
              <w:rPr>
                <w:rFonts w:ascii="Arial" w:cs="Arial" w:eastAsia="Arial" w:hAnsi="Arial"/>
                <w:sz w:val="12"/>
                <w:szCs w:val="12"/>
                <w:color w:val="auto"/>
              </w:rPr>
              <w:t>Aggregate Amount of</w:t>
            </w:r>
          </w:p>
        </w:tc>
        <w:tc>
          <w:tcPr>
            <w:tcW w:w="2140" w:type="dxa"/>
            <w:vAlign w:val="bottom"/>
            <w:tcBorders>
              <w:right w:val="single" w:sz="8" w:color="auto"/>
            </w:tcBorders>
          </w:tcPr>
          <w:p>
            <w:pPr>
              <w:jc w:val="right"/>
              <w:ind w:right="174"/>
              <w:spacing w:after="0" w:line="105" w:lineRule="exact"/>
              <w:rPr>
                <w:sz w:val="20"/>
                <w:szCs w:val="20"/>
                <w:color w:val="auto"/>
              </w:rPr>
            </w:pPr>
            <w:r>
              <w:rPr>
                <w:rFonts w:ascii="Arial" w:cs="Arial" w:eastAsia="Arial" w:hAnsi="Arial"/>
                <w:sz w:val="12"/>
                <w:szCs w:val="12"/>
                <w:color w:val="auto"/>
              </w:rPr>
              <w:t>Amount of Commitment/Loans</w:t>
            </w:r>
          </w:p>
        </w:tc>
        <w:tc>
          <w:tcPr>
            <w:tcW w:w="2400" w:type="dxa"/>
            <w:vAlign w:val="bottom"/>
            <w:tcBorders>
              <w:right w:val="single" w:sz="8" w:color="auto"/>
            </w:tcBorders>
          </w:tcPr>
          <w:p>
            <w:pPr>
              <w:jc w:val="right"/>
              <w:ind w:right="514"/>
              <w:spacing w:after="0" w:line="105" w:lineRule="exact"/>
              <w:rPr>
                <w:sz w:val="20"/>
                <w:szCs w:val="20"/>
                <w:color w:val="auto"/>
              </w:rPr>
            </w:pPr>
            <w:r>
              <w:rPr>
                <w:rFonts w:ascii="Arial" w:cs="Arial" w:eastAsia="Arial" w:hAnsi="Arial"/>
                <w:sz w:val="12"/>
                <w:szCs w:val="12"/>
                <w:color w:val="auto"/>
              </w:rPr>
              <w:t>Percentage Assigned of</w:t>
            </w:r>
          </w:p>
        </w:tc>
      </w:tr>
      <w:tr>
        <w:trPr>
          <w:trHeight w:val="158"/>
        </w:trPr>
        <w:tc>
          <w:tcPr>
            <w:tcW w:w="168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color w:val="auto"/>
                <w:w w:val="99"/>
              </w:rPr>
              <w:t>Commitment/Loans for all Lenders</w:t>
            </w:r>
          </w:p>
        </w:tc>
        <w:tc>
          <w:tcPr>
            <w:tcW w:w="2140" w:type="dxa"/>
            <w:vAlign w:val="bottom"/>
            <w:tcBorders>
              <w:bottom w:val="single" w:sz="8" w:color="auto"/>
              <w:right w:val="single" w:sz="8" w:color="auto"/>
            </w:tcBorders>
          </w:tcPr>
          <w:p>
            <w:pPr>
              <w:jc w:val="right"/>
              <w:ind w:right="774"/>
              <w:spacing w:after="0"/>
              <w:rPr>
                <w:sz w:val="20"/>
                <w:szCs w:val="20"/>
                <w:color w:val="auto"/>
              </w:rPr>
            </w:pPr>
            <w:r>
              <w:rPr>
                <w:rFonts w:ascii="Arial" w:cs="Arial" w:eastAsia="Arial" w:hAnsi="Arial"/>
                <w:sz w:val="13"/>
                <w:szCs w:val="13"/>
                <w:color w:val="auto"/>
              </w:rPr>
              <w:t>Assigned</w:t>
            </w:r>
          </w:p>
        </w:tc>
        <w:tc>
          <w:tcPr>
            <w:tcW w:w="2400" w:type="dxa"/>
            <w:vAlign w:val="bottom"/>
            <w:tcBorders>
              <w:bottom w:val="single" w:sz="8" w:color="auto"/>
              <w:right w:val="single" w:sz="8" w:color="auto"/>
            </w:tcBorders>
          </w:tcPr>
          <w:p>
            <w:pPr>
              <w:jc w:val="right"/>
              <w:ind w:right="594"/>
              <w:spacing w:after="0"/>
              <w:rPr>
                <w:sz w:val="20"/>
                <w:szCs w:val="20"/>
                <w:color w:val="auto"/>
              </w:rPr>
            </w:pPr>
            <w:r>
              <w:rPr>
                <w:rFonts w:ascii="Arial" w:cs="Arial" w:eastAsia="Arial" w:hAnsi="Arial"/>
                <w:sz w:val="13"/>
                <w:szCs w:val="13"/>
                <w:color w:val="auto"/>
              </w:rPr>
              <w:t>Commitment/Loans</w:t>
            </w:r>
            <w:r>
              <w:rPr>
                <w:rFonts w:ascii="Arial" w:cs="Arial" w:eastAsia="Arial" w:hAnsi="Arial"/>
                <w:sz w:val="13"/>
                <w:szCs w:val="13"/>
                <w:color w:val="auto"/>
                <w:vertAlign w:val="superscript"/>
              </w:rPr>
              <w:t>3</w:t>
            </w:r>
          </w:p>
        </w:tc>
      </w:tr>
      <w:tr>
        <w:trPr>
          <w:trHeight w:val="126"/>
        </w:trPr>
        <w:tc>
          <w:tcPr>
            <w:tcW w:w="16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jc w:val="right"/>
              <w:ind w:right="1954"/>
              <w:spacing w:after="0" w:line="126" w:lineRule="exact"/>
              <w:rPr>
                <w:sz w:val="20"/>
                <w:szCs w:val="20"/>
                <w:color w:val="auto"/>
              </w:rPr>
            </w:pPr>
            <w:r>
              <w:rPr>
                <w:rFonts w:ascii="Arial" w:cs="Arial" w:eastAsia="Arial" w:hAnsi="Arial"/>
                <w:sz w:val="13"/>
                <w:szCs w:val="13"/>
                <w:color w:val="auto"/>
              </w:rPr>
              <w:t>$</w:t>
            </w:r>
          </w:p>
        </w:tc>
        <w:tc>
          <w:tcPr>
            <w:tcW w:w="2140" w:type="dxa"/>
            <w:vAlign w:val="bottom"/>
            <w:tcBorders>
              <w:bottom w:val="single" w:sz="8" w:color="auto"/>
              <w:right w:val="single" w:sz="8" w:color="auto"/>
            </w:tcBorders>
          </w:tcPr>
          <w:p>
            <w:pPr>
              <w:jc w:val="right"/>
              <w:ind w:right="1934"/>
              <w:spacing w:after="0" w:line="126" w:lineRule="exact"/>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834"/>
              <w:spacing w:after="0" w:line="126" w:lineRule="exact"/>
              <w:rPr>
                <w:sz w:val="20"/>
                <w:szCs w:val="20"/>
                <w:color w:val="auto"/>
              </w:rPr>
            </w:pPr>
            <w:r>
              <w:rPr>
                <w:rFonts w:ascii="Arial" w:cs="Arial" w:eastAsia="Arial" w:hAnsi="Arial"/>
                <w:sz w:val="13"/>
                <w:szCs w:val="13"/>
                <w:color w:val="auto"/>
              </w:rPr>
              <w:t>%</w:t>
            </w:r>
          </w:p>
        </w:tc>
      </w:tr>
      <w:tr>
        <w:trPr>
          <w:trHeight w:val="126"/>
        </w:trPr>
        <w:tc>
          <w:tcPr>
            <w:tcW w:w="16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jc w:val="right"/>
              <w:ind w:right="1954"/>
              <w:spacing w:after="0" w:line="126" w:lineRule="exact"/>
              <w:rPr>
                <w:sz w:val="20"/>
                <w:szCs w:val="20"/>
                <w:color w:val="auto"/>
              </w:rPr>
            </w:pPr>
            <w:r>
              <w:rPr>
                <w:rFonts w:ascii="Arial" w:cs="Arial" w:eastAsia="Arial" w:hAnsi="Arial"/>
                <w:sz w:val="13"/>
                <w:szCs w:val="13"/>
                <w:color w:val="auto"/>
              </w:rPr>
              <w:t>$</w:t>
            </w:r>
          </w:p>
        </w:tc>
        <w:tc>
          <w:tcPr>
            <w:tcW w:w="2140" w:type="dxa"/>
            <w:vAlign w:val="bottom"/>
            <w:tcBorders>
              <w:bottom w:val="single" w:sz="8" w:color="auto"/>
              <w:right w:val="single" w:sz="8" w:color="auto"/>
            </w:tcBorders>
          </w:tcPr>
          <w:p>
            <w:pPr>
              <w:jc w:val="right"/>
              <w:ind w:right="1934"/>
              <w:spacing w:after="0" w:line="126" w:lineRule="exact"/>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834"/>
              <w:spacing w:after="0" w:line="126" w:lineRule="exact"/>
              <w:rPr>
                <w:sz w:val="20"/>
                <w:szCs w:val="20"/>
                <w:color w:val="auto"/>
              </w:rPr>
            </w:pPr>
            <w:r>
              <w:rPr>
                <w:rFonts w:ascii="Arial" w:cs="Arial" w:eastAsia="Arial" w:hAnsi="Arial"/>
                <w:sz w:val="13"/>
                <w:szCs w:val="13"/>
                <w:color w:val="auto"/>
              </w:rPr>
              <w:t>%</w:t>
            </w:r>
          </w:p>
        </w:tc>
      </w:tr>
      <w:tr>
        <w:trPr>
          <w:trHeight w:val="126"/>
        </w:trPr>
        <w:tc>
          <w:tcPr>
            <w:tcW w:w="168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jc w:val="right"/>
              <w:ind w:right="1954"/>
              <w:spacing w:after="0" w:line="126" w:lineRule="exact"/>
              <w:rPr>
                <w:sz w:val="20"/>
                <w:szCs w:val="20"/>
                <w:color w:val="auto"/>
              </w:rPr>
            </w:pPr>
            <w:r>
              <w:rPr>
                <w:rFonts w:ascii="Arial" w:cs="Arial" w:eastAsia="Arial" w:hAnsi="Arial"/>
                <w:sz w:val="13"/>
                <w:szCs w:val="13"/>
                <w:color w:val="auto"/>
              </w:rPr>
              <w:t>$</w:t>
            </w:r>
          </w:p>
        </w:tc>
        <w:tc>
          <w:tcPr>
            <w:tcW w:w="2140" w:type="dxa"/>
            <w:vAlign w:val="bottom"/>
            <w:tcBorders>
              <w:bottom w:val="single" w:sz="8" w:color="auto"/>
              <w:right w:val="single" w:sz="8" w:color="auto"/>
            </w:tcBorders>
          </w:tcPr>
          <w:p>
            <w:pPr>
              <w:jc w:val="right"/>
              <w:ind w:right="1934"/>
              <w:spacing w:after="0" w:line="126" w:lineRule="exact"/>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834"/>
              <w:spacing w:after="0" w:line="126" w:lineRule="exact"/>
              <w:rPr>
                <w:sz w:val="20"/>
                <w:szCs w:val="20"/>
                <w:color w:val="auto"/>
              </w:rPr>
            </w:pPr>
            <w:r>
              <w:rPr>
                <w:rFonts w:ascii="Arial" w:cs="Arial" w:eastAsia="Arial" w:hAnsi="Arial"/>
                <w:sz w:val="13"/>
                <w:szCs w:val="13"/>
                <w:color w:val="auto"/>
              </w:rPr>
              <w:t>%</w:t>
            </w:r>
          </w:p>
        </w:tc>
      </w:tr>
    </w:tbl>
    <w:p>
      <w:pPr>
        <w:spacing w:after="0" w:line="215"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3"/>
          <w:szCs w:val="13"/>
          <w:color w:val="auto"/>
        </w:rPr>
        <w:t>Effective Date:</w:t>
        <w:tab/>
        <w:t>_____________ ___, 20___ [TO BE INSERTED BY ADMINISTRATIVE AGENT AND WHICH SHALL BE THE EFFECTIVE DATE OF</w:t>
      </w:r>
    </w:p>
    <w:p>
      <w:pPr>
        <w:ind w:left="120"/>
        <w:spacing w:after="0"/>
        <w:rPr>
          <w:sz w:val="20"/>
          <w:szCs w:val="20"/>
          <w:color w:val="auto"/>
        </w:rPr>
      </w:pPr>
      <w:r>
        <w:rPr>
          <w:rFonts w:ascii="Arial" w:cs="Arial" w:eastAsia="Arial" w:hAnsi="Arial"/>
          <w:sz w:val="13"/>
          <w:szCs w:val="13"/>
          <w:color w:val="auto"/>
        </w:rPr>
        <w:t>RECORDATION OF TRANSFER IN THE REGISTER THEREFOR.]</w:t>
      </w:r>
    </w:p>
    <w:p>
      <w:pPr>
        <w:spacing w:after="0" w:line="121" w:lineRule="exact"/>
        <w:rPr>
          <w:sz w:val="20"/>
          <w:szCs w:val="20"/>
          <w:color w:val="auto"/>
        </w:rPr>
      </w:pPr>
    </w:p>
    <w:p>
      <w:pPr>
        <w:jc w:val="both"/>
        <w:ind w:left="120" w:right="119"/>
        <w:spacing w:after="0" w:line="233" w:lineRule="auto"/>
        <w:rPr>
          <w:sz w:val="20"/>
          <w:szCs w:val="20"/>
          <w:color w:val="auto"/>
        </w:rPr>
      </w:pPr>
      <w:r>
        <w:rPr>
          <w:rFonts w:ascii="Arial" w:cs="Arial" w:eastAsia="Arial" w:hAnsi="Arial"/>
          <w:sz w:val="13"/>
          <w:szCs w:val="13"/>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139573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175" w:lineRule="exact"/>
        <w:rPr>
          <w:sz w:val="20"/>
          <w:szCs w:val="20"/>
          <w:color w:val="auto"/>
        </w:rPr>
      </w:pPr>
    </w:p>
    <w:p>
      <w:pPr>
        <w:ind w:left="120" w:right="699" w:firstLine="4"/>
        <w:spacing w:after="0" w:line="212" w:lineRule="auto"/>
        <w:tabs>
          <w:tab w:leader="none" w:pos="190" w:val="left"/>
        </w:tabs>
        <w:numPr>
          <w:ilvl w:val="0"/>
          <w:numId w:val="173"/>
        </w:numPr>
        <w:rPr>
          <w:rFonts w:ascii="Arial" w:cs="Arial" w:eastAsia="Arial" w:hAnsi="Arial"/>
          <w:sz w:val="15"/>
          <w:szCs w:val="15"/>
          <w:color w:val="auto"/>
          <w:vertAlign w:val="superscript"/>
        </w:rPr>
      </w:pPr>
      <w:r>
        <w:rPr>
          <w:rFonts w:ascii="Arial" w:cs="Arial" w:eastAsia="Arial" w:hAnsi="Arial"/>
          <w:sz w:val="13"/>
          <w:szCs w:val="13"/>
          <w:color w:val="auto"/>
        </w:rPr>
        <w:t>Fill in the appropriate terminology for the types of facilities under the Credit Agreement that are being assigned under this Assignment (e.g. “Revolving Commitment,” “Term Commitment,” etc.)</w:t>
      </w:r>
    </w:p>
    <w:p>
      <w:pPr>
        <w:spacing w:after="0" w:line="1" w:lineRule="exact"/>
        <w:rPr>
          <w:rFonts w:ascii="Arial" w:cs="Arial" w:eastAsia="Arial" w:hAnsi="Arial"/>
          <w:sz w:val="15"/>
          <w:szCs w:val="15"/>
          <w:color w:val="auto"/>
          <w:vertAlign w:val="superscript"/>
        </w:rPr>
      </w:pPr>
    </w:p>
    <w:p>
      <w:pPr>
        <w:ind w:left="120"/>
        <w:spacing w:after="0"/>
        <w:rPr>
          <w:rFonts w:ascii="Arial" w:cs="Arial" w:eastAsia="Arial" w:hAnsi="Arial"/>
          <w:sz w:val="15"/>
          <w:szCs w:val="15"/>
          <w:color w:val="auto"/>
          <w:vertAlign w:val="superscript"/>
        </w:rPr>
      </w:pPr>
      <w:r>
        <w:rPr>
          <w:rFonts w:ascii="Arial" w:cs="Arial" w:eastAsia="Arial" w:hAnsi="Arial"/>
          <w:sz w:val="13"/>
          <w:szCs w:val="13"/>
          <w:color w:val="auto"/>
          <w:vertAlign w:val="superscript"/>
        </w:rPr>
        <w:t>3</w:t>
      </w:r>
      <w:r>
        <w:rPr>
          <w:rFonts w:ascii="Arial" w:cs="Arial" w:eastAsia="Arial" w:hAnsi="Arial"/>
          <w:sz w:val="13"/>
          <w:szCs w:val="13"/>
          <w:color w:val="auto"/>
        </w:rPr>
        <w:t xml:space="preserve"> Set forth, to at least 9 decimals, as a percentage of the Commitment/Loans of all Lenders thereunder.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3" w:name="page164"/>
    <w:bookmarkEnd w:id="163"/>
    <w:p>
      <w:pPr>
        <w:ind w:left="120"/>
        <w:spacing w:after="0"/>
        <w:rPr>
          <w:sz w:val="20"/>
          <w:szCs w:val="20"/>
          <w:color w:val="auto"/>
        </w:rPr>
      </w:pPr>
      <w:r>
        <w:rPr>
          <w:rFonts w:ascii="Arial" w:cs="Arial" w:eastAsia="Arial" w:hAnsi="Arial"/>
          <w:sz w:val="13"/>
          <w:szCs w:val="13"/>
          <w:color w:val="auto"/>
        </w:rPr>
        <w:t>The terms set forth in this Assignment and Assumption are hereby agreed to:</w:t>
      </w:r>
    </w:p>
    <w:p>
      <w:pPr>
        <w:spacing w:after="0" w:line="133" w:lineRule="exact"/>
        <w:rPr>
          <w:sz w:val="20"/>
          <w:szCs w:val="20"/>
          <w:color w:val="auto"/>
        </w:rPr>
      </w:pPr>
    </w:p>
    <w:p>
      <w:pPr>
        <w:ind w:left="2760"/>
        <w:spacing w:after="0"/>
        <w:rPr>
          <w:sz w:val="20"/>
          <w:szCs w:val="20"/>
          <w:color w:val="auto"/>
        </w:rPr>
      </w:pPr>
      <w:r>
        <w:rPr>
          <w:rFonts w:ascii="Arial" w:cs="Arial" w:eastAsia="Arial" w:hAnsi="Arial"/>
          <w:sz w:val="13"/>
          <w:szCs w:val="13"/>
          <w:u w:val="single" w:color="auto"/>
          <w:color w:val="auto"/>
        </w:rPr>
        <w:t>ASSIGNOR</w:t>
      </w:r>
    </w:p>
    <w:p>
      <w:pPr>
        <w:spacing w:after="0" w:line="133"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OF ASSIGNOR]</w:t>
      </w:r>
    </w:p>
    <w:p>
      <w:pPr>
        <w:spacing w:after="0" w:line="279"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By:______________________________</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1"/>
          <w:szCs w:val="11"/>
          <w:color w:val="auto"/>
        </w:rPr>
        <w:t>Name:____________________________</w:t>
      </w:r>
    </w:p>
    <w:p>
      <w:pPr>
        <w:spacing w:after="0" w:line="111"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Title:_____________________________</w:t>
      </w:r>
    </w:p>
    <w:p>
      <w:pPr>
        <w:spacing w:after="0" w:line="200" w:lineRule="exact"/>
        <w:rPr>
          <w:sz w:val="20"/>
          <w:szCs w:val="20"/>
          <w:color w:val="auto"/>
        </w:rPr>
      </w:pPr>
    </w:p>
    <w:p>
      <w:pPr>
        <w:spacing w:after="0" w:line="373" w:lineRule="exact"/>
        <w:rPr>
          <w:sz w:val="20"/>
          <w:szCs w:val="20"/>
          <w:color w:val="auto"/>
        </w:rPr>
      </w:pPr>
    </w:p>
    <w:p>
      <w:pPr>
        <w:ind w:left="2760"/>
        <w:spacing w:after="0"/>
        <w:rPr>
          <w:sz w:val="20"/>
          <w:szCs w:val="20"/>
          <w:color w:val="auto"/>
        </w:rPr>
      </w:pPr>
      <w:r>
        <w:rPr>
          <w:rFonts w:ascii="Arial" w:cs="Arial" w:eastAsia="Arial" w:hAnsi="Arial"/>
          <w:sz w:val="13"/>
          <w:szCs w:val="13"/>
          <w:u w:val="single" w:color="auto"/>
          <w:color w:val="auto"/>
        </w:rPr>
        <w:t>ASSIGNEE</w:t>
      </w:r>
    </w:p>
    <w:p>
      <w:pPr>
        <w:spacing w:after="0" w:line="133"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[NAME OF ASSIGNEE]</w:t>
      </w:r>
    </w:p>
    <w:p>
      <w:pPr>
        <w:spacing w:after="0" w:line="279"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By:______________________________</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Name:___________________________</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4" w:name="page165"/>
    <w:bookmarkEnd w:id="164"/>
    <w:p>
      <w:pPr>
        <w:ind w:left="120"/>
        <w:spacing w:after="0"/>
        <w:rPr>
          <w:sz w:val="20"/>
          <w:szCs w:val="20"/>
          <w:color w:val="auto"/>
        </w:rPr>
      </w:pPr>
      <w:r>
        <w:rPr>
          <w:rFonts w:ascii="Arial" w:cs="Arial" w:eastAsia="Arial" w:hAnsi="Arial"/>
          <w:sz w:val="13"/>
          <w:szCs w:val="13"/>
          <w:color w:val="auto"/>
        </w:rPr>
        <w:t>[Consented to and]</w:t>
      </w:r>
      <w:r>
        <w:rPr>
          <w:rFonts w:ascii="Arial" w:cs="Arial" w:eastAsia="Arial" w:hAnsi="Arial"/>
          <w:sz w:val="13"/>
          <w:szCs w:val="13"/>
          <w:color w:val="auto"/>
          <w:vertAlign w:val="superscript"/>
        </w:rPr>
        <w:t>4</w:t>
      </w:r>
      <w:r>
        <w:rPr>
          <w:rFonts w:ascii="Arial" w:cs="Arial" w:eastAsia="Arial" w:hAnsi="Arial"/>
          <w:sz w:val="13"/>
          <w:szCs w:val="13"/>
          <w:color w:val="auto"/>
        </w:rPr>
        <w:t xml:space="preserve"> Accepted: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 OF ADMINISTRATIVE AGENT], as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Administrative Agent[, Issuing Bank and Swingline Lender]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Title:_______________________________</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[Consented to:]</w:t>
      </w:r>
      <w:r>
        <w:rPr>
          <w:rFonts w:ascii="Arial" w:cs="Arial" w:eastAsia="Arial" w:hAnsi="Arial"/>
          <w:sz w:val="13"/>
          <w:szCs w:val="13"/>
          <w:color w:val="auto"/>
          <w:vertAlign w:val="superscript"/>
        </w:rPr>
        <w:t>5</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 OF RELEVANT PARTY]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By:________________________________</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376555</wp:posOffset>
            </wp:positionV>
            <wp:extent cx="139573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679" w:firstLine="4"/>
        <w:spacing w:after="0" w:line="199" w:lineRule="auto"/>
        <w:tabs>
          <w:tab w:leader="none" w:pos="190" w:val="left"/>
        </w:tabs>
        <w:numPr>
          <w:ilvl w:val="0"/>
          <w:numId w:val="174"/>
        </w:numPr>
        <w:rPr>
          <w:rFonts w:ascii="Arial" w:cs="Arial" w:eastAsia="Arial" w:hAnsi="Arial"/>
          <w:sz w:val="15"/>
          <w:szCs w:val="15"/>
          <w:color w:val="auto"/>
          <w:vertAlign w:val="superscript"/>
        </w:rPr>
      </w:pPr>
      <w:r>
        <w:rPr>
          <w:rFonts w:ascii="Arial" w:cs="Arial" w:eastAsia="Arial" w:hAnsi="Arial"/>
          <w:sz w:val="13"/>
          <w:szCs w:val="13"/>
          <w:color w:val="auto"/>
        </w:rPr>
        <w:t>To be added only if the consent of the Administrative Agent, Issuing Bank and/or Swingline Lender, as applicable, is required by the terms of the Credit Agreement.</w:t>
      </w:r>
    </w:p>
    <w:p>
      <w:pPr>
        <w:ind w:left="120"/>
        <w:spacing w:after="0"/>
        <w:rPr>
          <w:rFonts w:ascii="Arial" w:cs="Arial" w:eastAsia="Arial" w:hAnsi="Arial"/>
          <w:sz w:val="15"/>
          <w:szCs w:val="15"/>
          <w:color w:val="auto"/>
          <w:vertAlign w:val="superscript"/>
        </w:rPr>
      </w:pPr>
      <w:r>
        <w:rPr>
          <w:rFonts w:ascii="Arial" w:cs="Arial" w:eastAsia="Arial" w:hAnsi="Arial"/>
          <w:sz w:val="12"/>
          <w:szCs w:val="12"/>
          <w:color w:val="auto"/>
          <w:vertAlign w:val="superscript"/>
        </w:rPr>
        <w:t>5</w:t>
      </w:r>
      <w:r>
        <w:rPr>
          <w:rFonts w:ascii="Arial" w:cs="Arial" w:eastAsia="Arial" w:hAnsi="Arial"/>
          <w:sz w:val="12"/>
          <w:szCs w:val="12"/>
          <w:color w:val="auto"/>
        </w:rPr>
        <w:t xml:space="preserve"> To be added only if the consent of the Borrower and/or other parties (e.g. Swingline Lender, Issuing Bank)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44450</wp:posOffset>
            </wp:positionV>
            <wp:extent cx="557720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3"/>
          <w:szCs w:val="13"/>
          <w:color w:val="auto"/>
        </w:rPr>
        <w:t>ANNEX 1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ASSUMPTION</w:t>
      </w:r>
    </w:p>
    <w:p>
      <w:pPr>
        <w:spacing w:after="0" w:line="133" w:lineRule="exact"/>
        <w:rPr>
          <w:sz w:val="20"/>
          <w:szCs w:val="20"/>
          <w:color w:val="auto"/>
        </w:rPr>
      </w:pPr>
    </w:p>
    <w:p>
      <w:pPr>
        <w:jc w:val="center"/>
        <w:ind w:left="120" w:right="119"/>
        <w:spacing w:after="0" w:line="254" w:lineRule="auto"/>
        <w:rPr>
          <w:sz w:val="20"/>
          <w:szCs w:val="20"/>
          <w:color w:val="auto"/>
        </w:rPr>
      </w:pPr>
      <w:r>
        <w:rPr>
          <w:rFonts w:ascii="Arial" w:cs="Arial" w:eastAsia="Arial" w:hAnsi="Arial"/>
          <w:sz w:val="13"/>
          <w:szCs w:val="13"/>
          <w:color w:val="auto"/>
        </w:rPr>
        <w:t>Credit Agreement dated as of November 9, 2017 among USA Technologies, Inc., a Pennsylvania corporation, the other Loan Parties, JPMorgan Chase Bank, N.A., as Administrative Agent for the Lenders, and each lender from time to time party thereto</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STANDARD TERMS AND CONDITIONS FOR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ASSUMPTION</w:t>
      </w:r>
    </w:p>
    <w:p>
      <w:pPr>
        <w:spacing w:after="0" w:line="133" w:lineRule="exact"/>
        <w:rPr>
          <w:sz w:val="20"/>
          <w:szCs w:val="20"/>
          <w:color w:val="auto"/>
        </w:rPr>
      </w:pPr>
    </w:p>
    <w:p>
      <w:pPr>
        <w:ind w:left="1160" w:hanging="161"/>
        <w:spacing w:after="0"/>
        <w:tabs>
          <w:tab w:leader="none" w:pos="1160"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w:t>
      </w:r>
    </w:p>
    <w:p>
      <w:pPr>
        <w:spacing w:after="0" w:line="133" w:lineRule="exact"/>
        <w:rPr>
          <w:sz w:val="20"/>
          <w:szCs w:val="20"/>
          <w:color w:val="auto"/>
        </w:rPr>
      </w:pPr>
    </w:p>
    <w:p>
      <w:pPr>
        <w:jc w:val="both"/>
        <w:ind w:left="120" w:right="119" w:firstLine="875"/>
        <w:spacing w:after="0" w:line="22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Assignor</w:t>
      </w:r>
      <w:r>
        <w:rPr>
          <w:rFonts w:ascii="Arial" w:cs="Arial" w:eastAsia="Arial" w:hAnsi="Arial"/>
          <w:sz w:val="13"/>
          <w:szCs w:val="13"/>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Subsidiary or Affiliate or any other Person obligated in respect of any Loan Document or (iv) the performance or observance by the Borrower, any Subsidiary or Affiliate, or any other Person of any of their respective obligations under any Loan Document.</w:t>
      </w:r>
    </w:p>
    <w:p>
      <w:pPr>
        <w:spacing w:after="0" w:line="114" w:lineRule="exact"/>
        <w:rPr>
          <w:sz w:val="20"/>
          <w:szCs w:val="20"/>
          <w:color w:val="auto"/>
        </w:rPr>
      </w:pPr>
    </w:p>
    <w:p>
      <w:pPr>
        <w:jc w:val="both"/>
        <w:ind w:left="120" w:right="119" w:firstLine="875"/>
        <w:spacing w:after="0" w:line="243"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Assignee</w:t>
      </w:r>
      <w:r>
        <w:rPr>
          <w:rFonts w:ascii="Arial" w:cs="Arial" w:eastAsia="Arial" w:hAnsi="Arial"/>
          <w:sz w:val="12"/>
          <w:szCs w:val="12"/>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11" w:lineRule="exact"/>
        <w:rPr>
          <w:sz w:val="20"/>
          <w:szCs w:val="20"/>
          <w:color w:val="auto"/>
        </w:rPr>
      </w:pPr>
    </w:p>
    <w:p>
      <w:pPr>
        <w:jc w:val="both"/>
        <w:ind w:left="120" w:right="119" w:firstLine="875"/>
        <w:spacing w:after="0" w:line="254" w:lineRule="auto"/>
        <w:rPr>
          <w:sz w:val="20"/>
          <w:szCs w:val="20"/>
          <w:color w:val="auto"/>
        </w:rPr>
      </w:pPr>
      <w:r>
        <w:rPr>
          <w:rFonts w:ascii="Arial" w:cs="Arial" w:eastAsia="Arial" w:hAnsi="Arial"/>
          <w:sz w:val="13"/>
          <w:szCs w:val="13"/>
          <w:color w:val="auto"/>
        </w:rPr>
        <w:t>2.</w:t>
      </w:r>
      <w:r>
        <w:rPr>
          <w:rFonts w:ascii="Arial" w:cs="Arial" w:eastAsia="Arial" w:hAnsi="Arial"/>
          <w:sz w:val="13"/>
          <w:szCs w:val="13"/>
          <w:u w:val="single" w:color="auto"/>
          <w:color w:val="auto"/>
        </w:rPr>
        <w:t>Payments</w:t>
      </w:r>
      <w:r>
        <w:rPr>
          <w:rFonts w:ascii="Arial" w:cs="Arial" w:eastAsia="Arial" w:hAnsi="Arial"/>
          <w:sz w:val="13"/>
          <w:szCs w:val="13"/>
          <w:color w:val="auto"/>
        </w:rPr>
        <w:t>.From and after the Effective Date, the Administrative Agent shall make all payments in respect of the Assigned Interest (including payments of principal, interest, fees and other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6" w:name="page167"/>
    <w:bookmarkEnd w:id="166"/>
    <w:p>
      <w:pPr>
        <w:ind w:left="120" w:right="119"/>
        <w:spacing w:after="0" w:line="254" w:lineRule="auto"/>
        <w:rPr>
          <w:sz w:val="20"/>
          <w:szCs w:val="20"/>
          <w:color w:val="auto"/>
        </w:rPr>
      </w:pPr>
      <w:r>
        <w:rPr>
          <w:rFonts w:ascii="Arial" w:cs="Arial" w:eastAsia="Arial" w:hAnsi="Arial"/>
          <w:sz w:val="13"/>
          <w:szCs w:val="13"/>
          <w:color w:val="auto"/>
        </w:rPr>
        <w:t>amounts) to the Assignor for amounts which have accrued to but excluding the Effective Date and to the Assignee for amounts which have accrued from and after the Effective Date.</w:t>
      </w:r>
    </w:p>
    <w:p>
      <w:pPr>
        <w:spacing w:after="0" w:line="103" w:lineRule="exact"/>
        <w:rPr>
          <w:sz w:val="20"/>
          <w:szCs w:val="20"/>
          <w:color w:val="auto"/>
        </w:rPr>
      </w:pPr>
    </w:p>
    <w:p>
      <w:pPr>
        <w:ind w:left="120" w:right="119" w:firstLine="879"/>
        <w:spacing w:after="0" w:line="295" w:lineRule="auto"/>
        <w:tabs>
          <w:tab w:leader="none" w:pos="1172" w:val="left"/>
        </w:tabs>
        <w:numPr>
          <w:ilvl w:val="0"/>
          <w:numId w:val="176"/>
        </w:numPr>
        <w:rPr>
          <w:rFonts w:ascii="Arial" w:cs="Arial" w:eastAsia="Arial" w:hAnsi="Arial"/>
          <w:sz w:val="12"/>
          <w:szCs w:val="12"/>
          <w:color w:val="auto"/>
        </w:rPr>
      </w:pPr>
      <w:r>
        <w:rPr>
          <w:rFonts w:ascii="Arial" w:cs="Arial" w:eastAsia="Arial" w:hAnsi="Arial"/>
          <w:sz w:val="12"/>
          <w:szCs w:val="12"/>
          <w:u w:val="single" w:color="auto"/>
          <w:color w:val="auto"/>
        </w:rPr>
        <w:t>General Provisions</w:t>
      </w:r>
      <w:r>
        <w:rPr>
          <w:rFonts w:ascii="Arial" w:cs="Arial" w:eastAsia="Arial" w:hAnsi="Arial"/>
          <w:sz w:val="12"/>
          <w:szCs w:val="12"/>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35" w:lineRule="exact"/>
        <w:rPr>
          <w:sz w:val="20"/>
          <w:szCs w:val="20"/>
          <w:color w:val="auto"/>
        </w:rPr>
      </w:pPr>
    </w:p>
    <w:p>
      <w:pPr>
        <w:jc w:val="both"/>
        <w:ind w:left="120" w:right="119"/>
        <w:spacing w:after="0" w:line="233" w:lineRule="auto"/>
        <w:rPr>
          <w:sz w:val="20"/>
          <w:szCs w:val="20"/>
          <w:color w:val="auto"/>
        </w:rPr>
      </w:pPr>
      <w:r>
        <w:rPr>
          <w:rFonts w:ascii="Arial" w:cs="Arial" w:eastAsia="Arial" w:hAnsi="Arial"/>
          <w:sz w:val="13"/>
          <w:szCs w:val="13"/>
          <w:color w:val="auto"/>
        </w:rPr>
        <w:t>Acceptance and adoption of the terms of this Assignment and Assumption by the Assignee and the Assignor by Electronic Signature (as defined in the Credit Agreement) or delivery of an executed counterpart of a signature page of this Assignment and Assumption by any Electronic System (as defined in the Credit Agreement)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3"/>
          <w:szCs w:val="13"/>
          <w:b w:val="1"/>
          <w:bCs w:val="1"/>
          <w:color w:val="auto"/>
        </w:rPr>
        <w:t>EXHIBIT B</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BORROWING REQUEST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USA TECHNOLOGIES, INC.</w:t>
      </w:r>
    </w:p>
    <w:p>
      <w:pPr>
        <w:spacing w:after="0" w:line="318" w:lineRule="exact"/>
        <w:rPr>
          <w:sz w:val="20"/>
          <w:szCs w:val="20"/>
          <w:color w:val="auto"/>
        </w:rPr>
      </w:pPr>
    </w:p>
    <w:p>
      <w:pPr>
        <w:ind w:left="120"/>
        <w:spacing w:after="0"/>
        <w:tabs>
          <w:tab w:leader="none" w:pos="3760" w:val="left"/>
        </w:tabs>
        <w:rPr>
          <w:sz w:val="20"/>
          <w:szCs w:val="20"/>
          <w:color w:val="auto"/>
        </w:rPr>
      </w:pPr>
      <w:r>
        <w:rPr>
          <w:rFonts w:ascii="Arial" w:cs="Arial" w:eastAsia="Arial" w:hAnsi="Arial"/>
          <w:sz w:val="13"/>
          <w:szCs w:val="13"/>
          <w:color w:val="auto"/>
        </w:rPr>
        <w:t>Borrowing Request</w:t>
      </w:r>
      <w:r>
        <w:rPr>
          <w:sz w:val="20"/>
          <w:szCs w:val="20"/>
          <w:color w:val="auto"/>
        </w:rPr>
        <w:tab/>
      </w:r>
      <w:r>
        <w:rPr>
          <w:rFonts w:ascii="Arial" w:cs="Arial" w:eastAsia="Arial" w:hAnsi="Arial"/>
          <w:sz w:val="12"/>
          <w:szCs w:val="12"/>
          <w:color w:val="auto"/>
        </w:rPr>
        <w:t>Date: [____________________],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5715</wp:posOffset>
            </wp:positionV>
            <wp:extent cx="55772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77205" cy="571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JPMorgan Chase Bank, N.A.</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Middle Market Servicing</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10 South Dearborn, Floor L2</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Suite IL1-0480</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Chicago, IL, 60603-2300</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Email: jpm.agency.cri@jpmorgan.com</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Attn: Katy Tyler</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Fax No: (844) 490-5663</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Ladies and Gentlemen:</w:t>
      </w:r>
    </w:p>
    <w:p>
      <w:pPr>
        <w:spacing w:after="0" w:line="316" w:lineRule="exact"/>
        <w:rPr>
          <w:sz w:val="20"/>
          <w:szCs w:val="20"/>
          <w:color w:val="auto"/>
        </w:rPr>
      </w:pPr>
    </w:p>
    <w:p>
      <w:pPr>
        <w:jc w:val="both"/>
        <w:ind w:left="120" w:right="119"/>
        <w:spacing w:after="0" w:line="230" w:lineRule="auto"/>
        <w:rPr>
          <w:sz w:val="20"/>
          <w:szCs w:val="20"/>
          <w:color w:val="auto"/>
        </w:rPr>
      </w:pPr>
      <w:r>
        <w:rPr>
          <w:rFonts w:ascii="Arial" w:cs="Arial" w:eastAsia="Arial" w:hAnsi="Arial"/>
          <w:sz w:val="13"/>
          <w:szCs w:val="13"/>
          <w:color w:val="auto"/>
        </w:rPr>
        <w:t>This Borrowing Request is furnished pursuant to Section 2.03 of that certain Credit Agreement dated as of November 9, 2017 (as amended, restated, supplemented or otherwise modified from time to time, the “</w:t>
      </w:r>
      <w:r>
        <w:rPr>
          <w:rFonts w:ascii="Arial" w:cs="Arial" w:eastAsia="Arial" w:hAnsi="Arial"/>
          <w:sz w:val="13"/>
          <w:szCs w:val="13"/>
          <w:u w:val="single" w:color="auto"/>
          <w:color w:val="auto"/>
        </w:rPr>
        <w:t>Agreement</w:t>
      </w:r>
      <w:r>
        <w:rPr>
          <w:rFonts w:ascii="Arial" w:cs="Arial" w:eastAsia="Arial" w:hAnsi="Arial"/>
          <w:sz w:val="13"/>
          <w:szCs w:val="13"/>
          <w:color w:val="auto"/>
        </w:rPr>
        <w:t>”) among USA TECHNOLOGIES, INC.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the lenders party thereto, and JPMorgan Chase Bank, N.A., as administrative agent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”)for the Lenders. Unless otherwise defined herein, capitalized terms used in this Borrowing Request have the meanings ascribed thereto in the Agreement. The Borrower represents that, as of this date, the conditions precedent set forth in Section 4.02 are satisfied.</w:t>
      </w:r>
    </w:p>
    <w:p>
      <w:pPr>
        <w:spacing w:after="0" w:line="305" w:lineRule="exact"/>
        <w:rPr>
          <w:sz w:val="20"/>
          <w:szCs w:val="20"/>
          <w:color w:val="auto"/>
        </w:rPr>
      </w:pPr>
    </w:p>
    <w:p>
      <w:pPr>
        <w:ind w:left="660" w:hanging="536"/>
        <w:spacing w:after="0"/>
        <w:tabs>
          <w:tab w:leader="none" w:pos="66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Borrower hereby notifies Administrative Agent of its request for the following Borrowing:</w:t>
      </w:r>
    </w:p>
    <w:p>
      <w:pPr>
        <w:spacing w:after="0" w:line="305" w:lineRule="exact"/>
        <w:rPr>
          <w:rFonts w:ascii="Arial" w:cs="Arial" w:eastAsia="Arial" w:hAnsi="Arial"/>
          <w:sz w:val="13"/>
          <w:szCs w:val="13"/>
          <w:color w:val="auto"/>
        </w:rPr>
      </w:pPr>
    </w:p>
    <w:p>
      <w:pPr>
        <w:ind w:left="800" w:hanging="239"/>
        <w:spacing w:after="0"/>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Revolving</w:t>
      </w:r>
      <w:r>
        <w:rPr>
          <w:rFonts w:ascii="Arial" w:cs="Arial" w:eastAsia="Arial" w:hAnsi="Arial"/>
          <w:sz w:val="13"/>
          <w:szCs w:val="13"/>
          <w:color w:val="auto"/>
        </w:rPr>
        <w:t>] [</w:t>
      </w:r>
      <w:r>
        <w:rPr>
          <w:rFonts w:ascii="Arial" w:cs="Arial" w:eastAsia="Arial" w:hAnsi="Arial"/>
          <w:sz w:val="13"/>
          <w:szCs w:val="13"/>
          <w:b w:val="1"/>
          <w:bCs w:val="1"/>
          <w:color w:val="auto"/>
        </w:rPr>
        <w:t>Term Loan</w:t>
      </w:r>
      <w:r>
        <w:rPr>
          <w:rFonts w:ascii="Arial" w:cs="Arial" w:eastAsia="Arial" w:hAnsi="Arial"/>
          <w:sz w:val="13"/>
          <w:szCs w:val="13"/>
          <w:color w:val="auto"/>
        </w:rPr>
        <w:t>] Borrowing</w:t>
      </w:r>
    </w:p>
    <w:p>
      <w:pPr>
        <w:ind w:left="800" w:hanging="239"/>
        <w:spacing w:after="0" w:line="204" w:lineRule="auto"/>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Aggregate Amount of the [</w:t>
      </w:r>
      <w:r>
        <w:rPr>
          <w:rFonts w:ascii="Arial" w:cs="Arial" w:eastAsia="Arial" w:hAnsi="Arial"/>
          <w:sz w:val="13"/>
          <w:szCs w:val="13"/>
          <w:b w:val="1"/>
          <w:bCs w:val="1"/>
          <w:color w:val="auto"/>
        </w:rPr>
        <w:t>Revolving</w:t>
      </w:r>
      <w:r>
        <w:rPr>
          <w:rFonts w:ascii="Arial" w:cs="Arial" w:eastAsia="Arial" w:hAnsi="Arial"/>
          <w:sz w:val="13"/>
          <w:szCs w:val="13"/>
          <w:color w:val="auto"/>
        </w:rPr>
        <w:t>] [</w:t>
      </w:r>
      <w:r>
        <w:rPr>
          <w:rFonts w:ascii="Arial" w:cs="Arial" w:eastAsia="Arial" w:hAnsi="Arial"/>
          <w:sz w:val="13"/>
          <w:szCs w:val="13"/>
          <w:b w:val="1"/>
          <w:bCs w:val="1"/>
          <w:color w:val="auto"/>
        </w:rPr>
        <w:t>Term Loan</w:t>
      </w:r>
      <w:r>
        <w:rPr>
          <w:rFonts w:ascii="Arial" w:cs="Arial" w:eastAsia="Arial" w:hAnsi="Arial"/>
          <w:sz w:val="13"/>
          <w:szCs w:val="13"/>
          <w:color w:val="auto"/>
        </w:rPr>
        <w:t>] Borrowing: $[__________________]</w:t>
      </w:r>
    </w:p>
    <w:p>
      <w:pPr>
        <w:ind w:left="800" w:hanging="239"/>
        <w:spacing w:after="0" w:line="204" w:lineRule="auto"/>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Name of the applicable Borrower: USA TECHNOLOGIES, INC.</w:t>
      </w:r>
    </w:p>
    <w:p>
      <w:pPr>
        <w:ind w:left="800" w:hanging="239"/>
        <w:spacing w:after="0" w:line="204" w:lineRule="auto"/>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Borrowing Date of the Borrowing (must be a Business Day): [____________________]</w:t>
      </w:r>
    </w:p>
    <w:p>
      <w:pPr>
        <w:ind w:left="800" w:hanging="239"/>
        <w:spacing w:after="0" w:line="204" w:lineRule="auto"/>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 xml:space="preserve">The Borrowing shall be a [____] ABR Borrowing </w:t>
      </w:r>
      <w:r>
        <w:rPr>
          <w:rFonts w:ascii="Arial" w:cs="Arial" w:eastAsia="Arial" w:hAnsi="Arial"/>
          <w:sz w:val="13"/>
          <w:szCs w:val="13"/>
          <w:b w:val="1"/>
          <w:bCs w:val="1"/>
          <w:color w:val="auto"/>
        </w:rPr>
        <w:t>or</w:t>
      </w:r>
      <w:r>
        <w:rPr>
          <w:rFonts w:ascii="Arial" w:cs="Arial" w:eastAsia="Arial" w:hAnsi="Arial"/>
          <w:sz w:val="13"/>
          <w:szCs w:val="13"/>
          <w:color w:val="auto"/>
        </w:rPr>
        <w:t xml:space="preserve"> [___] Eurodollar Borrowing</w:t>
      </w:r>
    </w:p>
    <w:p>
      <w:pPr>
        <w:ind w:left="800" w:hanging="239"/>
        <w:spacing w:after="0"/>
        <w:tabs>
          <w:tab w:leader="none" w:pos="80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If a Eurodollar Borrowing, the duration of Interest Period: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68" w:name="page169"/>
    <w:bookmarkEnd w:id="168"/>
    <w:p>
      <w:pPr>
        <w:ind w:left="120"/>
        <w:spacing w:after="0"/>
        <w:rPr>
          <w:sz w:val="20"/>
          <w:szCs w:val="20"/>
          <w:color w:val="auto"/>
        </w:rPr>
      </w:pPr>
      <w:r>
        <w:rPr>
          <w:rFonts w:ascii="Arial" w:cs="Arial" w:eastAsia="Arial" w:hAnsi="Arial"/>
          <w:sz w:val="12"/>
          <w:szCs w:val="12"/>
          <w:color w:val="auto"/>
        </w:rPr>
        <w:t>One Month [__________]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Three Months [__________]</w:t>
      </w:r>
    </w:p>
    <w:p>
      <w:pPr>
        <w:spacing w:after="0" w:line="136" w:lineRule="exact"/>
        <w:rPr>
          <w:sz w:val="20"/>
          <w:szCs w:val="20"/>
          <w:color w:val="auto"/>
        </w:rPr>
      </w:pPr>
    </w:p>
    <w:p>
      <w:pPr>
        <w:sectPr>
          <w:pgSz w:w="11900" w:h="16838" w:orient="portrait"/>
          <w:cols w:equalWidth="0" w:num="2">
            <w:col w:w="1520" w:space="500"/>
            <w:col w:w="6999"/>
          </w:cols>
          <w:pgMar w:left="1440" w:top="574" w:right="1440" w:bottom="1440" w:gutter="0" w:footer="0" w:header="0"/>
        </w:sectPr>
      </w:pPr>
    </w:p>
    <w:p>
      <w:pPr>
        <w:ind w:left="120"/>
        <w:spacing w:after="0"/>
        <w:rPr>
          <w:sz w:val="20"/>
          <w:szCs w:val="20"/>
          <w:color w:val="auto"/>
        </w:rPr>
      </w:pPr>
      <w:r>
        <w:rPr>
          <w:rFonts w:ascii="Arial" w:cs="Arial" w:eastAsia="Arial" w:hAnsi="Arial"/>
          <w:sz w:val="12"/>
          <w:szCs w:val="12"/>
          <w:color w:val="auto"/>
        </w:rPr>
        <w:t>Six Months[__________]</w:t>
      </w:r>
    </w:p>
    <w:p>
      <w:pPr>
        <w:sectPr>
          <w:pgSz w:w="11900" w:h="16838" w:orient="portrait"/>
          <w:cols w:equalWidth="0" w:num="1">
            <w:col w:w="9019"/>
          </w:cols>
          <w:pgMar w:left="1440" w:top="574" w:right="1440" w:bottom="1440" w:gutter="0" w:footer="0" w:header="0"/>
          <w:type w:val="continuous"/>
        </w:sectPr>
      </w:pPr>
    </w:p>
    <w:p>
      <w:pPr>
        <w:spacing w:after="0" w:line="373" w:lineRule="exact"/>
        <w:rPr>
          <w:sz w:val="20"/>
          <w:szCs w:val="20"/>
          <w:color w:val="auto"/>
        </w:rPr>
      </w:pPr>
    </w:p>
    <w:p>
      <w:pPr>
        <w:jc w:val="right"/>
        <w:ind w:right="2859"/>
        <w:spacing w:after="0"/>
        <w:rPr>
          <w:sz w:val="20"/>
          <w:szCs w:val="20"/>
          <w:color w:val="auto"/>
        </w:rPr>
      </w:pPr>
      <w:r>
        <w:rPr>
          <w:rFonts w:ascii="Arial" w:cs="Arial" w:eastAsia="Arial" w:hAnsi="Arial"/>
          <w:sz w:val="13"/>
          <w:szCs w:val="13"/>
          <w:color w:val="auto"/>
        </w:rPr>
        <w:t>USA TECHNOLOGIES, INC.</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w:t>
      </w:r>
    </w:p>
    <w:p>
      <w:pPr>
        <w:ind w:left="4520"/>
        <w:spacing w:after="0" w:line="219"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-80010</wp:posOffset>
            </wp:positionV>
            <wp:extent cx="239776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97760" cy="57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-1270</wp:posOffset>
            </wp:positionV>
            <wp:extent cx="239776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97760" cy="571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-88265</wp:posOffset>
            </wp:positionV>
            <wp:extent cx="239776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977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67945</wp:posOffset>
            </wp:positionV>
            <wp:extent cx="557720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3"/>
          <w:szCs w:val="13"/>
          <w:b w:val="1"/>
          <w:bCs w:val="1"/>
          <w:u w:val="single" w:color="auto"/>
          <w:color w:val="auto"/>
        </w:rPr>
        <w:t>EXHIBIT C-1</w:t>
      </w:r>
    </w:p>
    <w:p>
      <w:pPr>
        <w:spacing w:after="0" w:line="28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[FORM OF]</w:t>
      </w:r>
    </w:p>
    <w:p>
      <w:pPr>
        <w:spacing w:after="0" w:line="13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U.S. TAX COMPLIANCE CERTIFICATE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Foreign Lenders That Are Not Partnerships For U.S. Federal Income Tax Purposes)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Reference is hereby made to the Credit Agreement dated as of November 9, 2017 (as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USA Technologies, Inc., a Pennsylvania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JPMorgan Chase Bank, N.A., as Administrative Agent for the Lenders, and each lender from time to time party thereto.</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t>
      </w:r>
    </w:p>
    <w:p>
      <w:pPr>
        <w:spacing w:after="0" w:line="13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13" w:lineRule="exact"/>
        <w:rPr>
          <w:sz w:val="20"/>
          <w:szCs w:val="20"/>
          <w:color w:val="auto"/>
        </w:rPr>
      </w:pPr>
    </w:p>
    <w:p>
      <w:pPr>
        <w:jc w:val="both"/>
        <w:ind w:left="120" w:right="119" w:firstLine="438"/>
        <w:spacing w:after="0" w:line="230" w:lineRule="auto"/>
        <w:rPr>
          <w:sz w:val="20"/>
          <w:szCs w:val="20"/>
          <w:color w:val="auto"/>
        </w:rPr>
      </w:pPr>
      <w:r>
        <w:rPr>
          <w:rFonts w:ascii="Arial" w:cs="Arial" w:eastAsia="Arial" w:hAnsi="Arial"/>
          <w:sz w:val="13"/>
          <w:szCs w:val="13"/>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14" w:lineRule="exact"/>
        <w:rPr>
          <w:sz w:val="20"/>
          <w:szCs w:val="20"/>
          <w:color w:val="auto"/>
        </w:rPr>
      </w:pPr>
    </w:p>
    <w:p>
      <w:pPr>
        <w:ind w:left="120" w:right="299" w:firstLine="438"/>
        <w:spacing w:after="0" w:line="453" w:lineRule="auto"/>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 [NAME OF LENDER]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3"/>
          <w:szCs w:val="13"/>
          <w:b w:val="1"/>
          <w:bCs w:val="1"/>
          <w:u w:val="single" w:color="auto"/>
          <w:color w:val="auto"/>
        </w:rPr>
        <w:t>EXHIBIT C-2</w:t>
      </w:r>
    </w:p>
    <w:p>
      <w:pPr>
        <w:spacing w:after="0" w:line="28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[FORM OF]</w:t>
      </w:r>
    </w:p>
    <w:p>
      <w:pPr>
        <w:spacing w:after="0" w:line="13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U.S. TAX COMPLIANCE CERTIFICATE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Foreign Participants That Are Not Partnerships For U.S. Federal Income Tax Purposes)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Reference is hereby made to the Credit Agreement dated as of November 9, 2017 (as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USA Technologies, Inc., a Pennsylvania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JPMorgan Chase Bank, N.A., as Administrative Agent for the Lenders, and each lender from time to time party thereto.</w:t>
      </w:r>
    </w:p>
    <w:p>
      <w:pPr>
        <w:spacing w:after="0" w:line="113" w:lineRule="exact"/>
        <w:rPr>
          <w:sz w:val="20"/>
          <w:szCs w:val="20"/>
          <w:color w:val="auto"/>
        </w:rPr>
      </w:pPr>
    </w:p>
    <w:p>
      <w:pPr>
        <w:jc w:val="both"/>
        <w:ind w:left="120" w:right="119" w:firstLine="438"/>
        <w:spacing w:after="0" w:line="233" w:lineRule="auto"/>
        <w:rPr>
          <w:sz w:val="20"/>
          <w:szCs w:val="20"/>
          <w:color w:val="auto"/>
        </w:rPr>
      </w:pPr>
      <w:r>
        <w:rPr>
          <w:rFonts w:ascii="Arial" w:cs="Arial" w:eastAsia="Arial" w:hAnsi="Arial"/>
          <w:sz w:val="13"/>
          <w:szCs w:val="13"/>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13" w:lineRule="exact"/>
        <w:rPr>
          <w:sz w:val="20"/>
          <w:szCs w:val="20"/>
          <w:color w:val="auto"/>
        </w:rPr>
      </w:pPr>
    </w:p>
    <w:p>
      <w:pPr>
        <w:jc w:val="both"/>
        <w:ind w:left="120" w:right="119" w:firstLine="438"/>
        <w:spacing w:after="0" w:line="257" w:lineRule="auto"/>
        <w:rPr>
          <w:sz w:val="20"/>
          <w:szCs w:val="20"/>
          <w:color w:val="auto"/>
        </w:rPr>
      </w:pPr>
      <w:r>
        <w:rPr>
          <w:rFonts w:ascii="Arial" w:cs="Arial" w:eastAsia="Arial" w:hAnsi="Arial"/>
          <w:sz w:val="12"/>
          <w:szCs w:val="12"/>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02" w:lineRule="exact"/>
        <w:rPr>
          <w:sz w:val="20"/>
          <w:szCs w:val="20"/>
          <w:color w:val="auto"/>
        </w:rPr>
      </w:pPr>
    </w:p>
    <w:p>
      <w:pPr>
        <w:ind w:left="120" w:right="299" w:firstLine="438"/>
        <w:spacing w:after="0" w:line="453" w:lineRule="auto"/>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 [NAME OF PARTICIPANT]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3"/>
          <w:szCs w:val="13"/>
          <w:b w:val="1"/>
          <w:bCs w:val="1"/>
          <w:u w:val="single" w:color="auto"/>
          <w:color w:val="auto"/>
        </w:rPr>
        <w:t>EXHIBIT C-3</w:t>
      </w:r>
    </w:p>
    <w:p>
      <w:pPr>
        <w:spacing w:after="0" w:line="28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[FORM OF]</w:t>
      </w:r>
    </w:p>
    <w:p>
      <w:pPr>
        <w:spacing w:after="0" w:line="13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U.S. TAX COMPLIANCE CERTIFICATE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Foreign Participants That Are Partnerships For U.S. Federal Income Tax Purposes)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Reference is hereby made to the Credit Agreement dated as of November 9, 2017 (as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USA Technologies, Inc., a Pennsylvania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JPMorgan Chase Bank, N.A., as Administrative Agent for the Lenders, and each lender from time to time party thereto.</w:t>
      </w:r>
    </w:p>
    <w:p>
      <w:pPr>
        <w:spacing w:after="0" w:line="113" w:lineRule="exact"/>
        <w:rPr>
          <w:sz w:val="20"/>
          <w:szCs w:val="20"/>
          <w:color w:val="auto"/>
        </w:rPr>
      </w:pPr>
    </w:p>
    <w:p>
      <w:pPr>
        <w:jc w:val="both"/>
        <w:ind w:left="120" w:right="119" w:firstLine="438"/>
        <w:spacing w:after="0" w:line="249" w:lineRule="auto"/>
        <w:rPr>
          <w:sz w:val="20"/>
          <w:szCs w:val="20"/>
          <w:color w:val="auto"/>
        </w:rPr>
      </w:pPr>
      <w:r>
        <w:rPr>
          <w:rFonts w:ascii="Arial" w:cs="Arial" w:eastAsia="Arial" w:hAnsi="Arial"/>
          <w:sz w:val="12"/>
          <w:szCs w:val="12"/>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08" w:lineRule="exact"/>
        <w:rPr>
          <w:sz w:val="20"/>
          <w:szCs w:val="20"/>
          <w:color w:val="auto"/>
        </w:rPr>
      </w:pPr>
    </w:p>
    <w:p>
      <w:pPr>
        <w:jc w:val="both"/>
        <w:ind w:left="120" w:right="119" w:firstLine="438"/>
        <w:spacing w:after="0" w:line="249" w:lineRule="auto"/>
        <w:rPr>
          <w:sz w:val="20"/>
          <w:szCs w:val="20"/>
          <w:color w:val="auto"/>
        </w:rPr>
      </w:pPr>
      <w:r>
        <w:rPr>
          <w:rFonts w:ascii="Arial" w:cs="Arial" w:eastAsia="Arial" w:hAnsi="Arial"/>
          <w:sz w:val="12"/>
          <w:szCs w:val="12"/>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08" w:lineRule="exact"/>
        <w:rPr>
          <w:sz w:val="20"/>
          <w:szCs w:val="20"/>
          <w:color w:val="auto"/>
        </w:rPr>
      </w:pPr>
    </w:p>
    <w:p>
      <w:pPr>
        <w:ind w:left="120" w:right="299" w:firstLine="438"/>
        <w:spacing w:after="0" w:line="453" w:lineRule="auto"/>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 [NAME OF PARTICIPANT]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3"/>
          <w:szCs w:val="13"/>
          <w:b w:val="1"/>
          <w:bCs w:val="1"/>
          <w:u w:val="single" w:color="auto"/>
          <w:color w:val="auto"/>
        </w:rPr>
        <w:t>EXHIBIT C-4</w:t>
      </w:r>
    </w:p>
    <w:p>
      <w:pPr>
        <w:spacing w:after="0" w:line="28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[FORM OF]</w:t>
      </w:r>
    </w:p>
    <w:p>
      <w:pPr>
        <w:spacing w:after="0" w:line="13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U.S. TAX COMPLIANCE CERTIFICATE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Foreign Lenders That Are Partnerships For U.S. Federal Income Tax Purposes)</w:t>
      </w:r>
    </w:p>
    <w:p>
      <w:pPr>
        <w:spacing w:after="0" w:line="13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Reference is hereby made to the Credit Agreement dated as of November 9, 2017 (as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USA Technologies, Inc., a Pennsylvania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other Loan Parties, JPMorgan Chase Bank, N.A., as Administrative Agent for the Lenders, and each lender from time to time party thereto.</w:t>
      </w:r>
    </w:p>
    <w:p>
      <w:pPr>
        <w:spacing w:after="0" w:line="113" w:lineRule="exact"/>
        <w:rPr>
          <w:sz w:val="20"/>
          <w:szCs w:val="20"/>
          <w:color w:val="auto"/>
        </w:rPr>
      </w:pPr>
    </w:p>
    <w:p>
      <w:pPr>
        <w:jc w:val="both"/>
        <w:ind w:left="120" w:right="119" w:firstLine="438"/>
        <w:spacing w:after="0" w:line="247" w:lineRule="auto"/>
        <w:rPr>
          <w:sz w:val="20"/>
          <w:szCs w:val="20"/>
          <w:color w:val="auto"/>
        </w:rPr>
      </w:pPr>
      <w:r>
        <w:rPr>
          <w:rFonts w:ascii="Arial" w:cs="Arial" w:eastAsia="Arial" w:hAnsi="Arial"/>
          <w:sz w:val="12"/>
          <w:szCs w:val="12"/>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09" w:lineRule="exact"/>
        <w:rPr>
          <w:sz w:val="20"/>
          <w:szCs w:val="20"/>
          <w:color w:val="auto"/>
        </w:rPr>
      </w:pPr>
    </w:p>
    <w:p>
      <w:pPr>
        <w:jc w:val="both"/>
        <w:ind w:left="120" w:right="119" w:firstLine="438"/>
        <w:spacing w:after="0" w:line="227" w:lineRule="auto"/>
        <w:rPr>
          <w:sz w:val="20"/>
          <w:szCs w:val="20"/>
          <w:color w:val="auto"/>
        </w:rPr>
      </w:pPr>
      <w:r>
        <w:rPr>
          <w:rFonts w:ascii="Arial" w:cs="Arial" w:eastAsia="Arial" w:hAnsi="Arial"/>
          <w:sz w:val="13"/>
          <w:szCs w:val="13"/>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14" w:lineRule="exact"/>
        <w:rPr>
          <w:sz w:val="20"/>
          <w:szCs w:val="20"/>
          <w:color w:val="auto"/>
        </w:rPr>
      </w:pPr>
    </w:p>
    <w:p>
      <w:pPr>
        <w:ind w:left="120" w:right="299" w:firstLine="438"/>
        <w:spacing w:after="0" w:line="453" w:lineRule="auto"/>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 [NAME OF LENDER]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By:_________________________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Name:_______________________</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Title:________________________</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73" w:name="page174"/>
    <w:bookmarkEnd w:id="173"/>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740" w:type="dxa"/>
            <w:vAlign w:val="bottom"/>
            <w:gridSpan w:val="2"/>
          </w:tcPr>
          <w:p>
            <w:pPr>
              <w:jc w:val="center"/>
              <w:ind w:right="4040"/>
              <w:spacing w:after="0"/>
              <w:rPr>
                <w:sz w:val="20"/>
                <w:szCs w:val="20"/>
                <w:color w:val="auto"/>
              </w:rPr>
            </w:pPr>
            <w:r>
              <w:rPr>
                <w:rFonts w:ascii="Arial" w:cs="Arial" w:eastAsia="Arial" w:hAnsi="Arial"/>
                <w:sz w:val="13"/>
                <w:szCs w:val="13"/>
                <w:b w:val="1"/>
                <w:bCs w:val="1"/>
                <w:color w:val="auto"/>
              </w:rPr>
              <w:t>EXHIBIT D</w:t>
            </w:r>
          </w:p>
        </w:tc>
      </w:tr>
      <w:tr>
        <w:trPr>
          <w:trHeight w:val="20"/>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40"/>
        </w:trPr>
        <w:tc>
          <w:tcPr>
            <w:tcW w:w="320" w:type="dxa"/>
            <w:vAlign w:val="bottom"/>
          </w:tcPr>
          <w:p>
            <w:pPr>
              <w:spacing w:after="0"/>
              <w:rPr>
                <w:sz w:val="24"/>
                <w:szCs w:val="24"/>
                <w:color w:val="auto"/>
              </w:rPr>
            </w:pPr>
          </w:p>
        </w:tc>
        <w:tc>
          <w:tcPr>
            <w:tcW w:w="8460" w:type="dxa"/>
            <w:vAlign w:val="bottom"/>
            <w:gridSpan w:val="3"/>
          </w:tcPr>
          <w:p>
            <w:pPr>
              <w:jc w:val="center"/>
              <w:ind w:right="320"/>
              <w:spacing w:after="0"/>
              <w:rPr>
                <w:sz w:val="20"/>
                <w:szCs w:val="20"/>
                <w:color w:val="auto"/>
              </w:rPr>
            </w:pPr>
            <w:r>
              <w:rPr>
                <w:rFonts w:ascii="Arial" w:cs="Arial" w:eastAsia="Arial" w:hAnsi="Arial"/>
                <w:sz w:val="13"/>
                <w:szCs w:val="13"/>
                <w:color w:val="auto"/>
                <w:w w:val="99"/>
              </w:rPr>
              <w:t>COMPLIANCE CERTIFICATE</w:t>
            </w:r>
          </w:p>
        </w:tc>
      </w:tr>
      <w:tr>
        <w:trPr>
          <w:trHeight w:val="283"/>
        </w:trPr>
        <w:tc>
          <w:tcPr>
            <w:tcW w:w="320" w:type="dxa"/>
            <w:vAlign w:val="bottom"/>
          </w:tcPr>
          <w:p>
            <w:pPr>
              <w:spacing w:after="0"/>
              <w:rPr>
                <w:sz w:val="20"/>
                <w:szCs w:val="20"/>
                <w:color w:val="auto"/>
              </w:rPr>
            </w:pPr>
            <w:r>
              <w:rPr>
                <w:rFonts w:ascii="Arial" w:cs="Arial" w:eastAsia="Arial" w:hAnsi="Arial"/>
                <w:sz w:val="13"/>
                <w:szCs w:val="13"/>
                <w:color w:val="auto"/>
              </w:rPr>
              <w:t>To:</w:t>
            </w:r>
          </w:p>
        </w:tc>
        <w:tc>
          <w:tcPr>
            <w:tcW w:w="8460" w:type="dxa"/>
            <w:vAlign w:val="bottom"/>
            <w:gridSpan w:val="3"/>
          </w:tcPr>
          <w:p>
            <w:pPr>
              <w:ind w:left="180"/>
              <w:spacing w:after="0"/>
              <w:rPr>
                <w:sz w:val="20"/>
                <w:szCs w:val="20"/>
                <w:color w:val="auto"/>
              </w:rPr>
            </w:pPr>
            <w:r>
              <w:rPr>
                <w:rFonts w:ascii="Arial" w:cs="Arial" w:eastAsia="Arial" w:hAnsi="Arial"/>
                <w:sz w:val="13"/>
                <w:szCs w:val="13"/>
                <w:color w:val="auto"/>
              </w:rPr>
              <w:t>The Lenders party to the</w:t>
            </w:r>
          </w:p>
        </w:tc>
      </w:tr>
      <w:tr>
        <w:trPr>
          <w:trHeight w:val="228"/>
        </w:trPr>
        <w:tc>
          <w:tcPr>
            <w:tcW w:w="320" w:type="dxa"/>
            <w:vAlign w:val="bottom"/>
          </w:tcPr>
          <w:p>
            <w:pPr>
              <w:spacing w:after="0"/>
              <w:rPr>
                <w:sz w:val="19"/>
                <w:szCs w:val="19"/>
                <w:color w:val="auto"/>
              </w:rPr>
            </w:pPr>
          </w:p>
        </w:tc>
        <w:tc>
          <w:tcPr>
            <w:tcW w:w="8460" w:type="dxa"/>
            <w:vAlign w:val="bottom"/>
            <w:gridSpan w:val="3"/>
          </w:tcPr>
          <w:p>
            <w:pPr>
              <w:ind w:left="120"/>
              <w:spacing w:after="0"/>
              <w:rPr>
                <w:sz w:val="20"/>
                <w:szCs w:val="20"/>
                <w:color w:val="auto"/>
              </w:rPr>
            </w:pPr>
            <w:r>
              <w:rPr>
                <w:rFonts w:ascii="Arial" w:cs="Arial" w:eastAsia="Arial" w:hAnsi="Arial"/>
                <w:sz w:val="13"/>
                <w:szCs w:val="13"/>
                <w:color w:val="auto"/>
              </w:rPr>
              <w:t>Credit Agreement described below</w:t>
            </w:r>
          </w:p>
        </w:tc>
      </w:tr>
      <w:tr>
        <w:trPr>
          <w:trHeight w:val="260"/>
        </w:trPr>
        <w:tc>
          <w:tcPr>
            <w:tcW w:w="320" w:type="dxa"/>
            <w:vAlign w:val="bottom"/>
          </w:tcPr>
          <w:p>
            <w:pPr>
              <w:spacing w:after="0"/>
              <w:rPr>
                <w:sz w:val="22"/>
                <w:szCs w:val="22"/>
                <w:color w:val="auto"/>
              </w:rPr>
            </w:pPr>
          </w:p>
        </w:tc>
        <w:tc>
          <w:tcPr>
            <w:tcW w:w="8460" w:type="dxa"/>
            <w:vAlign w:val="bottom"/>
            <w:gridSpan w:val="3"/>
          </w:tcPr>
          <w:p>
            <w:pPr>
              <w:ind w:left="120"/>
              <w:spacing w:after="0"/>
              <w:rPr>
                <w:sz w:val="20"/>
                <w:szCs w:val="20"/>
                <w:color w:val="auto"/>
              </w:rPr>
            </w:pPr>
            <w:r>
              <w:rPr>
                <w:rFonts w:ascii="Arial" w:cs="Arial" w:eastAsia="Arial" w:hAnsi="Arial"/>
                <w:sz w:val="13"/>
                <w:szCs w:val="13"/>
                <w:color w:val="auto"/>
                <w:w w:val="97"/>
              </w:rPr>
              <w:t>This Compliance Certificate (“Certificate”), for the period ended _______ __, 20__,  is furnished pursuant to that certain Credit Agreement dated as of</w:t>
            </w:r>
          </w:p>
        </w:tc>
      </w:tr>
    </w:tbl>
    <w:p>
      <w:pPr>
        <w:jc w:val="both"/>
        <w:ind w:left="120" w:right="119"/>
        <w:spacing w:after="0" w:line="256" w:lineRule="auto"/>
        <w:rPr>
          <w:sz w:val="20"/>
          <w:szCs w:val="20"/>
          <w:color w:val="auto"/>
        </w:rPr>
      </w:pPr>
      <w:r>
        <w:rPr>
          <w:rFonts w:ascii="Arial" w:cs="Arial" w:eastAsia="Arial" w:hAnsi="Arial"/>
          <w:sz w:val="12"/>
          <w:szCs w:val="12"/>
          <w:color w:val="auto"/>
        </w:rPr>
        <w:t>November 9, 2017 (as amended, modified, renewed or extended from time to time, the “</w:t>
      </w:r>
      <w:r>
        <w:rPr>
          <w:rFonts w:ascii="Arial" w:cs="Arial" w:eastAsia="Arial" w:hAnsi="Arial"/>
          <w:sz w:val="12"/>
          <w:szCs w:val="12"/>
          <w:u w:val="single" w:color="auto"/>
          <w:color w:val="auto"/>
        </w:rPr>
        <w:t>Agreement</w:t>
      </w:r>
      <w:r>
        <w:rPr>
          <w:rFonts w:ascii="Arial" w:cs="Arial" w:eastAsia="Arial" w:hAnsi="Arial"/>
          <w:sz w:val="12"/>
          <w:szCs w:val="12"/>
          <w:color w:val="auto"/>
        </w:rPr>
        <w:t>”) among USA Technologies, Inc., a Pennsylvania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other Loan Parties, the Lenders party thereto and JPMorgan Chase Bank, N.A., as Administrative Agent for the Lenders and as the Issuing Bank and Swingline Lender. Unless otherwise defined herein, capitalized terms used in this Certificate have the meanings ascribed thereto in the Agreement.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UNDERSIGNED HEREBY CERTIFIES THAT:</w:t>
      </w:r>
    </w:p>
    <w:p>
      <w:pPr>
        <w:spacing w:after="0" w:line="133"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3"/>
          <w:szCs w:val="13"/>
          <w:color w:val="auto"/>
        </w:rPr>
        <w:t>1. I am the [</w:t>
      </w:r>
      <w:r>
        <w:rPr>
          <w:sz w:val="20"/>
          <w:szCs w:val="20"/>
          <w:color w:val="auto"/>
        </w:rPr>
        <w:tab/>
      </w:r>
      <w:r>
        <w:rPr>
          <w:rFonts w:ascii="Arial" w:cs="Arial" w:eastAsia="Arial" w:hAnsi="Arial"/>
          <w:sz w:val="12"/>
          <w:szCs w:val="12"/>
          <w:color w:val="auto"/>
        </w:rPr>
        <w:t>] of the Borrower and I am authorized to deliver this Certificate on behalf of the Borrower and its Subsidiaries;</w:t>
      </w:r>
    </w:p>
    <w:p>
      <w:pPr>
        <w:spacing w:after="0" w:line="133" w:lineRule="exact"/>
        <w:rPr>
          <w:sz w:val="20"/>
          <w:szCs w:val="20"/>
          <w:color w:val="auto"/>
        </w:rPr>
      </w:pPr>
    </w:p>
    <w:p>
      <w:pPr>
        <w:ind w:left="560" w:right="119" w:hanging="436"/>
        <w:spacing w:after="0" w:line="237" w:lineRule="auto"/>
        <w:tabs>
          <w:tab w:leader="none" w:pos="268"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“Relevant Period”);</w:t>
      </w:r>
    </w:p>
    <w:p>
      <w:pPr>
        <w:spacing w:after="0" w:line="113" w:lineRule="exact"/>
        <w:rPr>
          <w:rFonts w:ascii="Arial" w:cs="Arial" w:eastAsia="Arial" w:hAnsi="Arial"/>
          <w:sz w:val="13"/>
          <w:szCs w:val="13"/>
          <w:color w:val="auto"/>
        </w:rPr>
      </w:pPr>
    </w:p>
    <w:p>
      <w:pPr>
        <w:ind w:left="560" w:right="119" w:hanging="436"/>
        <w:spacing w:after="0" w:line="233" w:lineRule="auto"/>
        <w:tabs>
          <w:tab w:leader="none" w:pos="268"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attached financial statements of the Borrower and, as applicable, its Subsidiaries and/or Affiliates for the Relevant Period: (a) have been prepared on an accounting basis (the “Accounting Method”)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112" w:lineRule="exact"/>
        <w:rPr>
          <w:rFonts w:ascii="Arial" w:cs="Arial" w:eastAsia="Arial" w:hAnsi="Arial"/>
          <w:sz w:val="13"/>
          <w:szCs w:val="13"/>
          <w:color w:val="auto"/>
        </w:rPr>
      </w:pPr>
    </w:p>
    <w:p>
      <w:pPr>
        <w:ind w:left="560" w:right="119" w:hanging="436"/>
        <w:spacing w:after="0" w:line="230" w:lineRule="auto"/>
        <w:tabs>
          <w:tab w:leader="none" w:pos="268"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Administrative Agent in connection with the closing of the Agreement or subsequently delivered as required in the Agreement;</w:t>
      </w:r>
    </w:p>
    <w:p>
      <w:pPr>
        <w:spacing w:after="0" w:line="113" w:lineRule="exact"/>
        <w:rPr>
          <w:rFonts w:ascii="Arial" w:cs="Arial" w:eastAsia="Arial" w:hAnsi="Arial"/>
          <w:sz w:val="13"/>
          <w:szCs w:val="13"/>
          <w:color w:val="auto"/>
        </w:rPr>
      </w:pPr>
    </w:p>
    <w:p>
      <w:pPr>
        <w:ind w:left="560" w:right="119" w:hanging="436"/>
        <w:spacing w:after="0" w:line="237" w:lineRule="auto"/>
        <w:tabs>
          <w:tab w:leader="none" w:pos="268"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Section 4.15 of the Security Agreement;</w:t>
      </w:r>
    </w:p>
    <w:p>
      <w:pPr>
        <w:spacing w:after="0" w:line="113" w:lineRule="exact"/>
        <w:rPr>
          <w:rFonts w:ascii="Arial" w:cs="Arial" w:eastAsia="Arial" w:hAnsi="Arial"/>
          <w:sz w:val="13"/>
          <w:szCs w:val="13"/>
          <w:color w:val="auto"/>
        </w:rPr>
      </w:pPr>
    </w:p>
    <w:p>
      <w:pPr>
        <w:ind w:left="260" w:hanging="136"/>
        <w:spacing w:after="0"/>
        <w:tabs>
          <w:tab w:leader="none" w:pos="26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representations and warranties of the Loan Parties set forth in the Loan Documents are true and correct in all material respects as of the date hereof, except</w:t>
      </w:r>
    </w:p>
    <w:p>
      <w:pPr>
        <w:spacing w:after="0" w:line="10" w:lineRule="exact"/>
        <w:rPr>
          <w:rFonts w:ascii="Arial" w:cs="Arial" w:eastAsia="Arial" w:hAnsi="Arial"/>
          <w:sz w:val="12"/>
          <w:szCs w:val="12"/>
          <w:color w:val="auto"/>
        </w:rPr>
      </w:pPr>
    </w:p>
    <w:p>
      <w:pPr>
        <w:ind w:left="720" w:hanging="159"/>
        <w:spacing w:after="0"/>
        <w:tabs>
          <w:tab w:leader="none" w:pos="72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to the extent that any such</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4" w:name="page175"/>
    <w:bookmarkEnd w:id="174"/>
    <w:p>
      <w:pPr>
        <w:ind w:left="560"/>
        <w:spacing w:after="0"/>
        <w:rPr>
          <w:sz w:val="20"/>
          <w:szCs w:val="20"/>
          <w:color w:val="auto"/>
        </w:rPr>
      </w:pPr>
      <w:r>
        <w:rPr>
          <w:rFonts w:ascii="Arial" w:cs="Arial" w:eastAsia="Arial" w:hAnsi="Arial"/>
          <w:sz w:val="12"/>
          <w:szCs w:val="12"/>
          <w:color w:val="auto"/>
        </w:rPr>
        <w:t>representation or warranty specifically refers to an earlier date, in which case it is true and correct in all material respects only as of such earlier date, and</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(ii) that any representation or warranty which is subject to any materiality qualifier is true and correct in all respects;</w:t>
      </w:r>
    </w:p>
    <w:p>
      <w:pPr>
        <w:spacing w:after="0" w:line="121" w:lineRule="exact"/>
        <w:rPr>
          <w:sz w:val="20"/>
          <w:szCs w:val="20"/>
          <w:color w:val="auto"/>
        </w:rPr>
      </w:pPr>
    </w:p>
    <w:p>
      <w:pPr>
        <w:ind w:left="560" w:right="119" w:hanging="436"/>
        <w:spacing w:after="0" w:line="254" w:lineRule="auto"/>
        <w:tabs>
          <w:tab w:leader="none" w:pos="268"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attached hereto sets forth financial data and computations evidencing the Borrower’s compliance with certain covenants of the Agreement, all of which data and computations are true, complete and correct; and</w:t>
      </w:r>
    </w:p>
    <w:p>
      <w:pPr>
        <w:spacing w:after="0" w:line="103" w:lineRule="exact"/>
        <w:rPr>
          <w:rFonts w:ascii="Arial" w:cs="Arial" w:eastAsia="Arial" w:hAnsi="Arial"/>
          <w:sz w:val="13"/>
          <w:szCs w:val="13"/>
          <w:color w:val="auto"/>
        </w:rPr>
      </w:pPr>
    </w:p>
    <w:p>
      <w:pPr>
        <w:ind w:left="560" w:right="119" w:hanging="436"/>
        <w:spacing w:after="0" w:line="254" w:lineRule="auto"/>
        <w:tabs>
          <w:tab w:leader="none" w:pos="268"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sets forth the computations necessary to determine the Applicable Rate commencing on the Business Day this Certificate is delivered.</w:t>
      </w:r>
    </w:p>
    <w:p>
      <w:pPr>
        <w:spacing w:after="0" w:line="103" w:lineRule="exact"/>
        <w:rPr>
          <w:rFonts w:ascii="Arial" w:cs="Arial" w:eastAsia="Arial" w:hAnsi="Arial"/>
          <w:sz w:val="13"/>
          <w:szCs w:val="13"/>
          <w:color w:val="auto"/>
        </w:rPr>
      </w:pPr>
    </w:p>
    <w:p>
      <w:pPr>
        <w:ind w:left="560" w:right="119" w:hanging="436"/>
        <w:spacing w:after="0" w:line="254" w:lineRule="auto"/>
        <w:tabs>
          <w:tab w:leader="none" w:pos="268"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amount of proceeds from Qualified Factor Accounts owing to Qualified Factors that are maintained in a Deposit Account of any Loan Party as of the date hereof is $[_________________].</w:t>
      </w:r>
    </w:p>
    <w:p>
      <w:pPr>
        <w:spacing w:after="0" w:line="103" w:lineRule="exact"/>
        <w:rPr>
          <w:sz w:val="20"/>
          <w:szCs w:val="20"/>
          <w:color w:val="auto"/>
        </w:rPr>
      </w:pPr>
    </w:p>
    <w:p>
      <w:pPr>
        <w:jc w:val="both"/>
        <w:ind w:left="120" w:right="119" w:firstLine="438"/>
        <w:spacing w:after="0" w:line="237" w:lineRule="auto"/>
        <w:rPr>
          <w:sz w:val="20"/>
          <w:szCs w:val="20"/>
          <w:color w:val="auto"/>
        </w:rPr>
      </w:pPr>
      <w:r>
        <w:rPr>
          <w:rFonts w:ascii="Arial" w:cs="Arial" w:eastAsia="Arial" w:hAnsi="Arial"/>
          <w:sz w:val="13"/>
          <w:szCs w:val="13"/>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612775</wp:posOffset>
            </wp:positionV>
            <wp:extent cx="557085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70855"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427355</wp:posOffset>
            </wp:positionV>
            <wp:extent cx="557085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70855"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241935</wp:posOffset>
            </wp:positionV>
            <wp:extent cx="557085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70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20" w:right="119" w:firstLine="438"/>
        <w:spacing w:after="0" w:line="254" w:lineRule="auto"/>
        <w:rPr>
          <w:sz w:val="20"/>
          <w:szCs w:val="20"/>
          <w:color w:val="auto"/>
        </w:rPr>
      </w:pPr>
      <w:r>
        <w:rPr>
          <w:rFonts w:ascii="Arial" w:cs="Arial" w:eastAsia="Arial" w:hAnsi="Arial"/>
          <w:sz w:val="13"/>
          <w:szCs w:val="13"/>
          <w:color w:val="auto"/>
        </w:rPr>
        <w:t>The foregoing certifications, together with the computations set forth in Schedule I and Schedule II hereto and the financial statements delivered with this Certificate in support hereof, are made and delivered this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137160</wp:posOffset>
            </wp:positionV>
            <wp:extent cx="23977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97760" cy="5715"/>
                    </a:xfrm>
                    <a:prstGeom prst="rect">
                      <a:avLst/>
                    </a:prstGeom>
                    <a:noFill/>
                  </pic:spPr>
                </pic:pic>
              </a:graphicData>
            </a:graphic>
          </wp:anchor>
        </w:drawing>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w:t>
      </w:r>
    </w:p>
    <w:p>
      <w:pPr>
        <w:ind w:left="4520"/>
        <w:spacing w:after="0" w:line="219"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-80010</wp:posOffset>
            </wp:positionV>
            <wp:extent cx="239776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97760" cy="57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-1270</wp:posOffset>
            </wp:positionV>
            <wp:extent cx="23977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97760" cy="571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-88265</wp:posOffset>
            </wp:positionV>
            <wp:extent cx="23977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977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3"/>
          <w:szCs w:val="13"/>
          <w:color w:val="auto"/>
        </w:rPr>
        <w:t>Schedule I to Compliance Certificate</w:t>
      </w:r>
    </w:p>
    <w:p>
      <w:pPr>
        <w:spacing w:after="0" w:line="279"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Compliance as of _________, ____ with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Provisions of and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3"/>
          <w:szCs w:val="13"/>
          <w:color w:val="auto"/>
        </w:rPr>
        <w:t>Schedule II to Compliance Certificate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Borrower’s Applicable Rate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3"/>
          <w:szCs w:val="13"/>
          <w:b w:val="1"/>
          <w:bCs w:val="1"/>
          <w:color w:val="auto"/>
        </w:rPr>
        <w:t>EXHIBIT 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JOINDER AGREEMENT</w:t>
      </w:r>
    </w:p>
    <w:p>
      <w:pPr>
        <w:spacing w:after="0" w:line="278" w:lineRule="exact"/>
        <w:rPr>
          <w:sz w:val="20"/>
          <w:szCs w:val="20"/>
          <w:color w:val="auto"/>
        </w:rPr>
      </w:pPr>
    </w:p>
    <w:p>
      <w:pPr>
        <w:ind w:left="560"/>
        <w:spacing w:after="0"/>
        <w:tabs>
          <w:tab w:leader="none" w:pos="4900" w:val="left"/>
        </w:tabs>
        <w:rPr>
          <w:sz w:val="20"/>
          <w:szCs w:val="20"/>
          <w:color w:val="auto"/>
        </w:rPr>
      </w:pPr>
      <w:r>
        <w:rPr>
          <w:rFonts w:ascii="Arial" w:cs="Arial" w:eastAsia="Arial" w:hAnsi="Arial"/>
          <w:sz w:val="13"/>
          <w:szCs w:val="13"/>
          <w:color w:val="auto"/>
        </w:rPr>
        <w:t>THIS  JOINDER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w:t>
      </w:r>
      <w:r>
        <w:rPr>
          <w:sz w:val="20"/>
          <w:szCs w:val="20"/>
          <w:color w:val="auto"/>
        </w:rPr>
        <w:tab/>
      </w:r>
      <w:r>
        <w:rPr>
          <w:rFonts w:ascii="Arial" w:cs="Arial" w:eastAsia="Arial" w:hAnsi="Arial"/>
          <w:sz w:val="12"/>
          <w:szCs w:val="12"/>
          <w:color w:val="auto"/>
        </w:rPr>
        <w:t>],  is  entered  into  between  ________________________________,  a</w:t>
      </w:r>
    </w:p>
    <w:p>
      <w:pPr>
        <w:ind w:left="120"/>
        <w:spacing w:after="0" w:line="237" w:lineRule="auto"/>
        <w:rPr>
          <w:sz w:val="20"/>
          <w:szCs w:val="20"/>
          <w:color w:val="auto"/>
        </w:rPr>
      </w:pPr>
      <w:r>
        <w:rPr>
          <w:rFonts w:ascii="Arial" w:cs="Arial" w:eastAsia="Arial" w:hAnsi="Arial"/>
          <w:sz w:val="12"/>
          <w:szCs w:val="12"/>
          <w:color w:val="auto"/>
        </w:rPr>
        <w:t>_________________ (the “</w:t>
      </w:r>
      <w:r>
        <w:rPr>
          <w:rFonts w:ascii="Arial" w:cs="Arial" w:eastAsia="Arial" w:hAnsi="Arial"/>
          <w:sz w:val="12"/>
          <w:szCs w:val="12"/>
          <w:u w:val="single" w:color="auto"/>
          <w:color w:val="auto"/>
        </w:rPr>
        <w:t>New Subsidiary</w:t>
      </w:r>
      <w:r>
        <w:rPr>
          <w:rFonts w:ascii="Arial" w:cs="Arial" w:eastAsia="Arial" w:hAnsi="Arial"/>
          <w:sz w:val="12"/>
          <w:szCs w:val="12"/>
          <w:color w:val="auto"/>
        </w:rPr>
        <w:t>”) and JPMORGAN CHASE BANK, N.A., in its capacity as administrative agent (the “</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under</w:t>
      </w:r>
    </w:p>
    <w:p>
      <w:pPr>
        <w:spacing w:after="0" w:line="1"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2"/>
          <w:szCs w:val="12"/>
          <w:color w:val="auto"/>
        </w:rPr>
        <w:t>that certain Credit Agreement dated as of November 9, 2017 (as the same may be amended, modified, extended or restated from time to time, the “</w:t>
      </w:r>
      <w:r>
        <w:rPr>
          <w:rFonts w:ascii="Arial" w:cs="Arial" w:eastAsia="Arial" w:hAnsi="Arial"/>
          <w:sz w:val="12"/>
          <w:szCs w:val="12"/>
          <w:u w:val="single" w:color="auto"/>
          <w:color w:val="auto"/>
        </w:rPr>
        <w:t>Credit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among USA Technologies, Inc., a Pennsylvania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New Subsidiary and the Administrative Agent, for the benefit of the Secured Parties, hereby agree as follows:</w:t>
      </w:r>
    </w:p>
    <w:p>
      <w:pPr>
        <w:spacing w:after="0" w:line="133" w:lineRule="exact"/>
        <w:rPr>
          <w:sz w:val="20"/>
          <w:szCs w:val="20"/>
          <w:color w:val="auto"/>
        </w:rPr>
      </w:pPr>
    </w:p>
    <w:p>
      <w:pPr>
        <w:jc w:val="both"/>
        <w:ind w:left="120" w:right="119" w:firstLine="441"/>
        <w:spacing w:after="0" w:line="242" w:lineRule="auto"/>
        <w:tabs>
          <w:tab w:leader="none" w:pos="1014"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15" w:lineRule="exact"/>
        <w:rPr>
          <w:rFonts w:ascii="Arial" w:cs="Arial" w:eastAsia="Arial" w:hAnsi="Arial"/>
          <w:sz w:val="12"/>
          <w:szCs w:val="12"/>
          <w:color w:val="auto"/>
        </w:rPr>
      </w:pPr>
    </w:p>
    <w:p>
      <w:pPr>
        <w:ind w:left="120" w:right="119" w:firstLine="441"/>
        <w:spacing w:after="0" w:line="254" w:lineRule="auto"/>
        <w:tabs>
          <w:tab w:leader="none" w:pos="1014" w:val="left"/>
        </w:tabs>
        <w:numPr>
          <w:ilvl w:val="0"/>
          <w:numId w:val="180"/>
        </w:numPr>
        <w:rPr>
          <w:rFonts w:ascii="Arial" w:cs="Arial" w:eastAsia="Arial" w:hAnsi="Arial"/>
          <w:sz w:val="13"/>
          <w:szCs w:val="13"/>
          <w:color w:val="auto"/>
        </w:rPr>
      </w:pPr>
      <w:r>
        <w:rPr>
          <w:rFonts w:ascii="Arial" w:cs="Arial" w:eastAsia="Arial" w:hAnsi="Arial"/>
          <w:sz w:val="13"/>
          <w:szCs w:val="13"/>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03" w:lineRule="exact"/>
        <w:rPr>
          <w:rFonts w:ascii="Arial" w:cs="Arial" w:eastAsia="Arial" w:hAnsi="Arial"/>
          <w:sz w:val="13"/>
          <w:szCs w:val="13"/>
          <w:color w:val="auto"/>
        </w:rPr>
      </w:pPr>
    </w:p>
    <w:p>
      <w:pPr>
        <w:ind w:left="1020" w:hanging="459"/>
        <w:spacing w:after="0"/>
        <w:tabs>
          <w:tab w:leader="none" w:pos="102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335915</wp:posOffset>
            </wp:positionV>
            <wp:extent cx="19050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05000"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243205</wp:posOffset>
            </wp:positionV>
            <wp:extent cx="19050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05000"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150495</wp:posOffset>
            </wp:positionV>
            <wp:extent cx="19050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05000"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573405</wp:posOffset>
            </wp:positionV>
            <wp:extent cx="557720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78" w:name="page179"/>
    <w:bookmarkEnd w:id="178"/>
    <w:p>
      <w:pPr>
        <w:ind w:left="120" w:right="119" w:firstLine="441"/>
        <w:spacing w:after="0" w:line="254" w:lineRule="auto"/>
        <w:tabs>
          <w:tab w:leader="none" w:pos="1014"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The New Subsidiary hereby waives acceptance by the Administrative Agent and the Lenders of the guaranty by the New Subsidiary upon the execution of this Agreement by the New Subsidiary.</w:t>
      </w:r>
    </w:p>
    <w:p>
      <w:pPr>
        <w:spacing w:after="0" w:line="103" w:lineRule="exact"/>
        <w:rPr>
          <w:rFonts w:ascii="Arial" w:cs="Arial" w:eastAsia="Arial" w:hAnsi="Arial"/>
          <w:sz w:val="13"/>
          <w:szCs w:val="13"/>
          <w:color w:val="auto"/>
        </w:rPr>
      </w:pPr>
    </w:p>
    <w:p>
      <w:pPr>
        <w:ind w:left="120" w:right="119" w:firstLine="441"/>
        <w:spacing w:after="0" w:line="254" w:lineRule="auto"/>
        <w:tabs>
          <w:tab w:leader="none" w:pos="1014"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This Agreement may be executed in any number of counterparts, each of which when so executed and delivered shall be an original, but all of which together shall constitute one and the same instrument.</w:t>
      </w:r>
    </w:p>
    <w:p>
      <w:pPr>
        <w:spacing w:after="0" w:line="103" w:lineRule="exact"/>
        <w:rPr>
          <w:rFonts w:ascii="Arial" w:cs="Arial" w:eastAsia="Arial" w:hAnsi="Arial"/>
          <w:sz w:val="13"/>
          <w:szCs w:val="13"/>
          <w:color w:val="auto"/>
        </w:rPr>
      </w:pPr>
    </w:p>
    <w:p>
      <w:pPr>
        <w:ind w:left="120" w:right="119" w:firstLine="441"/>
        <w:spacing w:after="0" w:line="254" w:lineRule="auto"/>
        <w:tabs>
          <w:tab w:leader="none" w:pos="1014"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THIS AGREEMENT AND THE RIGHTS AND OBLIGATIONS OF THE PARTIES HEREUNDER SHALL BE GOVERNED BY AND CONSTRUED AND INTERPRETED IN ACCORDANCE WITH THE LAWS OF THE STATE OF NEW YORK.</w:t>
      </w:r>
    </w:p>
    <w:p>
      <w:pPr>
        <w:spacing w:after="0" w:line="103" w:lineRule="exact"/>
        <w:rPr>
          <w:sz w:val="20"/>
          <w:szCs w:val="20"/>
          <w:color w:val="auto"/>
        </w:rPr>
      </w:pPr>
    </w:p>
    <w:p>
      <w:pPr>
        <w:ind w:left="120" w:right="119" w:firstLine="438"/>
        <w:spacing w:after="0" w:line="254" w:lineRule="auto"/>
        <w:rPr>
          <w:sz w:val="20"/>
          <w:szCs w:val="20"/>
          <w:color w:val="auto"/>
        </w:rPr>
      </w:pPr>
      <w:r>
        <w:rPr>
          <w:rFonts w:ascii="Arial" w:cs="Arial" w:eastAsia="Arial" w:hAnsi="Arial"/>
          <w:sz w:val="13"/>
          <w:szCs w:val="13"/>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10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[NEW SUBSIDIARY]</w:t>
      </w:r>
    </w:p>
    <w:p>
      <w:pPr>
        <w:spacing w:after="0" w:line="12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w:t>
      </w:r>
    </w:p>
    <w:p>
      <w:pPr>
        <w:ind w:left="4520"/>
        <w:spacing w:after="0" w:line="234"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-85725</wp:posOffset>
            </wp:positionV>
            <wp:extent cx="235140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51405"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3810</wp:posOffset>
            </wp:positionV>
            <wp:extent cx="235140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5140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-88265</wp:posOffset>
            </wp:positionV>
            <wp:extent cx="23514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51405" cy="5715"/>
                    </a:xfrm>
                    <a:prstGeom prst="rect">
                      <a:avLst/>
                    </a:prstGeom>
                    <a:noFill/>
                  </pic:spPr>
                </pic:pic>
              </a:graphicData>
            </a:graphic>
          </wp:anchor>
        </w:drawing>
      </w:r>
    </w:p>
    <w:p>
      <w:pPr>
        <w:spacing w:after="0" w:line="101"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Acknowledged and accepted:</w:t>
      </w:r>
    </w:p>
    <w:p>
      <w:pPr>
        <w:spacing w:after="0" w:line="124"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JPMORGAN CHASE BANK, N.A., as Administrative</w:t>
      </w:r>
    </w:p>
    <w:p>
      <w:pPr>
        <w:spacing w:after="0" w:line="124"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Agent</w:t>
      </w:r>
    </w:p>
    <w:p>
      <w:pPr>
        <w:spacing w:after="0" w:line="12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By:</w:t>
      </w:r>
    </w:p>
    <w:p>
      <w:pPr>
        <w:ind w:left="4520"/>
        <w:spacing w:after="0" w:line="234"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-85725</wp:posOffset>
            </wp:positionV>
            <wp:extent cx="23514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51405" cy="57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3810</wp:posOffset>
            </wp:positionV>
            <wp:extent cx="23514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5140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-88265</wp:posOffset>
            </wp:positionV>
            <wp:extent cx="235140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51405" cy="571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710565</wp:posOffset>
            </wp:positionV>
            <wp:extent cx="557720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3"/>
          <w:szCs w:val="13"/>
          <w:b w:val="1"/>
          <w:bCs w:val="1"/>
          <w:color w:val="auto"/>
        </w:rPr>
        <w:t>SCHEDULES TO JPMORGAN CHASE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USA TECHNOLOGIES,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80" w:name="page181"/>
    <w:bookmarkEnd w:id="180"/>
    <w:p>
      <w:pPr>
        <w:ind w:left="4240"/>
        <w:spacing w:after="0"/>
        <w:rPr>
          <w:sz w:val="20"/>
          <w:szCs w:val="20"/>
          <w:color w:val="auto"/>
        </w:rPr>
      </w:pPr>
      <w:r>
        <w:rPr>
          <w:rFonts w:ascii="Arial" w:cs="Arial" w:eastAsia="Arial" w:hAnsi="Arial"/>
          <w:sz w:val="13"/>
          <w:szCs w:val="13"/>
          <w:b w:val="1"/>
          <w:bCs w:val="1"/>
          <w:color w:val="auto"/>
        </w:rPr>
        <w:t>SCHEDULE 3.05</w:t>
      </w:r>
    </w:p>
    <w:p>
      <w:pPr>
        <w:spacing w:after="0" w:line="12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Properties, etc.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Address of each parcel of real property that is owned or leased by any Loan Party</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Principal office: 100 Deerfield Lane, Suite 300, Malvern, PA 19355</w:t>
      </w:r>
    </w:p>
    <w:p>
      <w:pPr>
        <w:ind w:left="1000"/>
        <w:spacing w:after="0" w:line="204" w:lineRule="auto"/>
        <w:rPr>
          <w:sz w:val="20"/>
          <w:szCs w:val="20"/>
          <w:color w:val="auto"/>
        </w:rPr>
      </w:pPr>
      <w:r>
        <w:rPr>
          <w:rFonts w:ascii="Arial" w:cs="Arial" w:eastAsia="Arial" w:hAnsi="Arial"/>
          <w:sz w:val="13"/>
          <w:szCs w:val="13"/>
          <w:color w:val="auto"/>
        </w:rPr>
        <w:t>Warehouse: 3103 Phoenixville Pike, Unit I, Malvern, PA 19355</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Portland office: 1618 SW First Avenue, Suite 215, Portland, OR 97201</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 Trademarks, tradenames, copyrights, patents and other intellectual property</w:t>
      </w:r>
    </w:p>
    <w:p>
      <w:pPr>
        <w:spacing w:after="0" w:line="115"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Patents:</w:t>
            </w: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44"/>
        </w:trPr>
        <w:tc>
          <w:tcPr>
            <w:tcW w:w="2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r>
      <w:tr>
        <w:trPr>
          <w:trHeight w:val="117"/>
        </w:trPr>
        <w:tc>
          <w:tcPr>
            <w:tcW w:w="22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540" w:type="dxa"/>
            <w:vAlign w:val="bottom"/>
            <w:tcBorders>
              <w:bottom w:val="single" w:sz="8" w:color="auto"/>
              <w:right w:val="single" w:sz="8" w:color="auto"/>
            </w:tcBorders>
          </w:tcPr>
          <w:p>
            <w:pPr>
              <w:jc w:val="center"/>
              <w:ind w:right="633"/>
              <w:spacing w:after="0" w:line="117" w:lineRule="exact"/>
              <w:rPr>
                <w:sz w:val="20"/>
                <w:szCs w:val="20"/>
                <w:color w:val="auto"/>
              </w:rPr>
            </w:pPr>
            <w:r>
              <w:rPr>
                <w:rFonts w:ascii="Arial" w:cs="Arial" w:eastAsia="Arial" w:hAnsi="Arial"/>
                <w:sz w:val="13"/>
                <w:szCs w:val="13"/>
                <w:b w:val="1"/>
                <w:bCs w:val="1"/>
                <w:color w:val="auto"/>
                <w:w w:val="93"/>
              </w:rPr>
              <w:t>Patent Description</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4"/>
              </w:rPr>
              <w:t>Patent/Application Number</w:t>
            </w:r>
          </w:p>
        </w:tc>
        <w:tc>
          <w:tcPr>
            <w:tcW w:w="2160" w:type="dxa"/>
            <w:vAlign w:val="bottom"/>
            <w:tcBorders>
              <w:bottom w:val="single" w:sz="8" w:color="auto"/>
              <w:right w:val="single" w:sz="8" w:color="auto"/>
            </w:tcBorders>
          </w:tcPr>
          <w:p>
            <w:pPr>
              <w:ind w:left="780"/>
              <w:spacing w:after="0" w:line="117" w:lineRule="exact"/>
              <w:rPr>
                <w:sz w:val="20"/>
                <w:szCs w:val="20"/>
                <w:color w:val="auto"/>
              </w:rPr>
            </w:pPr>
            <w:r>
              <w:rPr>
                <w:rFonts w:ascii="Arial" w:cs="Arial" w:eastAsia="Arial" w:hAnsi="Arial"/>
                <w:sz w:val="13"/>
                <w:szCs w:val="13"/>
                <w:b w:val="1"/>
                <w:bCs w:val="1"/>
                <w:color w:val="auto"/>
              </w:rPr>
              <w:t>Issue Date</w:t>
            </w:r>
          </w:p>
        </w:tc>
      </w:tr>
      <w:tr>
        <w:trPr>
          <w:trHeight w:val="99"/>
        </w:trPr>
        <w:tc>
          <w:tcPr>
            <w:tcW w:w="220" w:type="dxa"/>
            <w:vAlign w:val="bottom"/>
            <w:tcBorders>
              <w:left w:val="single" w:sz="8" w:color="auto"/>
            </w:tcBorders>
          </w:tcPr>
          <w:p>
            <w:pPr>
              <w:spacing w:after="0"/>
              <w:rPr>
                <w:sz w:val="8"/>
                <w:szCs w:val="8"/>
                <w:color w:val="auto"/>
              </w:rPr>
            </w:pPr>
          </w:p>
        </w:tc>
        <w:tc>
          <w:tcPr>
            <w:tcW w:w="4020" w:type="dxa"/>
            <w:vAlign w:val="bottom"/>
            <w:tcBorders>
              <w:right w:val="single" w:sz="8" w:color="auto"/>
            </w:tcBorders>
            <w:gridSpan w:val="2"/>
          </w:tcPr>
          <w:p>
            <w:pPr>
              <w:jc w:val="center"/>
              <w:ind w:right="153"/>
              <w:spacing w:after="0" w:line="99" w:lineRule="exact"/>
              <w:rPr>
                <w:sz w:val="20"/>
                <w:szCs w:val="20"/>
                <w:color w:val="auto"/>
              </w:rPr>
            </w:pPr>
            <w:r>
              <w:rPr>
                <w:rFonts w:ascii="Arial" w:cs="Arial" w:eastAsia="Arial" w:hAnsi="Arial"/>
                <w:sz w:val="11"/>
                <w:szCs w:val="11"/>
                <w:color w:val="auto"/>
              </w:rPr>
              <w:t>DYNAMIC IDENTIFICATION INTERCHANGE METHOD FOR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6,754,641</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6/22/2004</w:t>
            </w:r>
          </w:p>
        </w:tc>
      </w:tr>
      <w:tr>
        <w:trPr>
          <w:trHeight w:val="146"/>
        </w:trPr>
        <w:tc>
          <w:tcPr>
            <w:tcW w:w="4240" w:type="dxa"/>
            <w:vAlign w:val="bottom"/>
            <w:tcBorders>
              <w:left w:val="single" w:sz="8" w:color="auto"/>
              <w:bottom w:val="single" w:sz="8" w:color="auto"/>
              <w:right w:val="single" w:sz="8" w:color="auto"/>
            </w:tcBorders>
            <w:gridSpan w:val="3"/>
          </w:tcPr>
          <w:p>
            <w:pPr>
              <w:jc w:val="center"/>
              <w:spacing w:after="0" w:line="146" w:lineRule="exact"/>
              <w:rPr>
                <w:sz w:val="20"/>
                <w:szCs w:val="20"/>
                <w:color w:val="auto"/>
              </w:rPr>
            </w:pPr>
            <w:r>
              <w:rPr>
                <w:rFonts w:ascii="Arial" w:cs="Arial" w:eastAsia="Arial" w:hAnsi="Arial"/>
                <w:sz w:val="13"/>
                <w:szCs w:val="13"/>
                <w:color w:val="auto"/>
              </w:rPr>
              <w:t>EXCHANGING ONE FORM OF IDENTIFICATION FOR ANOTHER</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METHOD TO OBTAIN CUSTOMER SPECIFIC DATA FOR PUBLIC</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6,606,605</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8/12/2003</w:t>
            </w: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w w:val="97"/>
              </w:rPr>
              <w:t>ACCESS ELECTRONIC COMMERCE SERVICES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220" w:type="dxa"/>
            <w:vAlign w:val="bottom"/>
            <w:tcBorders>
              <w:left w:val="single" w:sz="8" w:color="auto"/>
            </w:tcBorders>
          </w:tcPr>
          <w:p>
            <w:pPr>
              <w:spacing w:after="0"/>
              <w:rPr>
                <w:sz w:val="8"/>
                <w:szCs w:val="8"/>
                <w:color w:val="auto"/>
              </w:rPr>
            </w:pPr>
          </w:p>
        </w:tc>
        <w:tc>
          <w:tcPr>
            <w:tcW w:w="4020" w:type="dxa"/>
            <w:vAlign w:val="bottom"/>
            <w:tcBorders>
              <w:right w:val="single" w:sz="8" w:color="auto"/>
            </w:tcBorders>
            <w:gridSpan w:val="2"/>
          </w:tcPr>
          <w:p>
            <w:pPr>
              <w:jc w:val="center"/>
              <w:ind w:right="153"/>
              <w:spacing w:after="0" w:line="99" w:lineRule="exact"/>
              <w:rPr>
                <w:sz w:val="20"/>
                <w:szCs w:val="20"/>
                <w:color w:val="auto"/>
              </w:rPr>
            </w:pPr>
            <w:r>
              <w:rPr>
                <w:rFonts w:ascii="Arial" w:cs="Arial" w:eastAsia="Arial" w:hAnsi="Arial"/>
                <w:sz w:val="11"/>
                <w:szCs w:val="11"/>
                <w:color w:val="auto"/>
              </w:rPr>
              <w:t>ELECTRONIC COMMERCE TERMINAL ENCLOSURE WITH</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D441,401</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5/1/2001</w:t>
            </w: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w w:val="96"/>
              </w:rPr>
              <w:t>BRACKETS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METHOD OF CONSTRUCTING A DIGITAL CONTENT PLAY LIST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7,805,338</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9/28/2010</w:t>
            </w:r>
          </w:p>
        </w:tc>
      </w:tr>
      <w:tr>
        <w:trPr>
          <w:trHeight w:val="128"/>
        </w:trPr>
        <w:tc>
          <w:tcPr>
            <w:tcW w:w="4240" w:type="dxa"/>
            <w:vAlign w:val="bottom"/>
            <w:tcBorders>
              <w:left w:val="single" w:sz="8" w:color="auto"/>
              <w:right w:val="single" w:sz="8" w:color="auto"/>
            </w:tcBorders>
            <w:gridSpan w:val="3"/>
          </w:tcPr>
          <w:p>
            <w:pPr>
              <w:jc w:val="center"/>
              <w:spacing w:after="0" w:line="128" w:lineRule="exact"/>
              <w:rPr>
                <w:sz w:val="20"/>
                <w:szCs w:val="20"/>
                <w:color w:val="auto"/>
              </w:rPr>
            </w:pPr>
            <w:r>
              <w:rPr>
                <w:rFonts w:ascii="Arial" w:cs="Arial" w:eastAsia="Arial" w:hAnsi="Arial"/>
                <w:sz w:val="13"/>
                <w:szCs w:val="13"/>
                <w:color w:val="auto"/>
                <w:w w:val="97"/>
              </w:rPr>
              <w:t>FOR TRANSMISSION AND PRESENTATION ON A PUBLIC ACCESS</w:t>
            </w:r>
          </w:p>
        </w:tc>
        <w:tc>
          <w:tcPr>
            <w:tcW w:w="240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rPr>
              <w:t>ELECTRONIC TERMINAL</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220" w:type="dxa"/>
            <w:vAlign w:val="bottom"/>
            <w:tcBorders>
              <w:left w:val="single" w:sz="8" w:color="auto"/>
            </w:tcBorders>
          </w:tcPr>
          <w:p>
            <w:pPr>
              <w:spacing w:after="0"/>
              <w:rPr>
                <w:sz w:val="8"/>
                <w:szCs w:val="8"/>
                <w:color w:val="auto"/>
              </w:rPr>
            </w:pPr>
          </w:p>
        </w:tc>
        <w:tc>
          <w:tcPr>
            <w:tcW w:w="4020" w:type="dxa"/>
            <w:vAlign w:val="bottom"/>
            <w:tcBorders>
              <w:right w:val="single" w:sz="8" w:color="auto"/>
            </w:tcBorders>
            <w:gridSpan w:val="2"/>
          </w:tcPr>
          <w:p>
            <w:pPr>
              <w:jc w:val="center"/>
              <w:ind w:right="153"/>
              <w:spacing w:after="0" w:line="99" w:lineRule="exact"/>
              <w:rPr>
                <w:sz w:val="20"/>
                <w:szCs w:val="20"/>
                <w:color w:val="auto"/>
              </w:rPr>
            </w:pPr>
            <w:r>
              <w:rPr>
                <w:rFonts w:ascii="Arial" w:cs="Arial" w:eastAsia="Arial" w:hAnsi="Arial"/>
                <w:sz w:val="11"/>
                <w:szCs w:val="11"/>
                <w:color w:val="auto"/>
              </w:rPr>
              <w:t>AN IN-VEHICLE DEVICE FOR WIRELESSLY CONNECTING A</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6,856,820</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2/15/2005</w:t>
            </w:r>
          </w:p>
        </w:tc>
      </w:tr>
      <w:tr>
        <w:trPr>
          <w:trHeight w:val="128"/>
        </w:trPr>
        <w:tc>
          <w:tcPr>
            <w:tcW w:w="220" w:type="dxa"/>
            <w:vAlign w:val="bottom"/>
            <w:tcBorders>
              <w:left w:val="single" w:sz="8" w:color="auto"/>
            </w:tcBorders>
          </w:tcPr>
          <w:p>
            <w:pPr>
              <w:spacing w:after="0"/>
              <w:rPr>
                <w:sz w:val="11"/>
                <w:szCs w:val="11"/>
                <w:color w:val="auto"/>
              </w:rPr>
            </w:pPr>
          </w:p>
        </w:tc>
        <w:tc>
          <w:tcPr>
            <w:tcW w:w="4020" w:type="dxa"/>
            <w:vAlign w:val="bottom"/>
            <w:tcBorders>
              <w:right w:val="single" w:sz="8" w:color="auto"/>
            </w:tcBorders>
            <w:gridSpan w:val="2"/>
          </w:tcPr>
          <w:p>
            <w:pPr>
              <w:jc w:val="center"/>
              <w:ind w:right="153"/>
              <w:spacing w:after="0" w:line="128" w:lineRule="exact"/>
              <w:rPr>
                <w:sz w:val="20"/>
                <w:szCs w:val="20"/>
                <w:color w:val="auto"/>
              </w:rPr>
            </w:pPr>
            <w:r>
              <w:rPr>
                <w:rFonts w:ascii="Arial" w:cs="Arial" w:eastAsia="Arial" w:hAnsi="Arial"/>
                <w:sz w:val="13"/>
                <w:szCs w:val="13"/>
                <w:color w:val="auto"/>
              </w:rPr>
              <w:t>VEHICLE TO THE INTERNET AND FOR TRANSACTING E-</w:t>
            </w:r>
          </w:p>
        </w:tc>
        <w:tc>
          <w:tcPr>
            <w:tcW w:w="240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w w:val="98"/>
              </w:rPr>
              <w:t>COMMERCE AND E-BUSINESS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VEHICLE RELATED WIRELESS SCIENTIFIC INSTRUMENTATION</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6,895,310</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5/17/2005</w:t>
            </w: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w w:val="97"/>
              </w:rPr>
              <w:t>TELEMATICS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TRANSACTING E-COMMERCE AND CONDUCTING E-BUSINESS</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6,389,337</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5/14/2002</w:t>
            </w:r>
          </w:p>
        </w:tc>
      </w:tr>
      <w:tr>
        <w:trPr>
          <w:trHeight w:val="128"/>
        </w:trPr>
        <w:tc>
          <w:tcPr>
            <w:tcW w:w="220" w:type="dxa"/>
            <w:vAlign w:val="bottom"/>
            <w:tcBorders>
              <w:left w:val="single" w:sz="8" w:color="auto"/>
            </w:tcBorders>
          </w:tcPr>
          <w:p>
            <w:pPr>
              <w:spacing w:after="0"/>
              <w:rPr>
                <w:sz w:val="11"/>
                <w:szCs w:val="11"/>
                <w:color w:val="auto"/>
              </w:rPr>
            </w:pPr>
          </w:p>
        </w:tc>
        <w:tc>
          <w:tcPr>
            <w:tcW w:w="4020" w:type="dxa"/>
            <w:vAlign w:val="bottom"/>
            <w:tcBorders>
              <w:right w:val="single" w:sz="8" w:color="auto"/>
            </w:tcBorders>
            <w:gridSpan w:val="2"/>
          </w:tcPr>
          <w:p>
            <w:pPr>
              <w:jc w:val="center"/>
              <w:ind w:right="153"/>
              <w:spacing w:after="0" w:line="128" w:lineRule="exact"/>
              <w:rPr>
                <w:sz w:val="20"/>
                <w:szCs w:val="20"/>
                <w:color w:val="auto"/>
              </w:rPr>
            </w:pPr>
            <w:r>
              <w:rPr>
                <w:rFonts w:ascii="Arial" w:cs="Arial" w:eastAsia="Arial" w:hAnsi="Arial"/>
                <w:sz w:val="13"/>
                <w:szCs w:val="13"/>
                <w:color w:val="auto"/>
              </w:rPr>
              <w:t>RELATED TO IDENTIFYING AND PROCURING AUTOMOTIVE</w:t>
            </w:r>
          </w:p>
        </w:tc>
        <w:tc>
          <w:tcPr>
            <w:tcW w:w="240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020" w:type="dxa"/>
            <w:vAlign w:val="bottom"/>
            <w:tcBorders>
              <w:bottom w:val="single" w:sz="8" w:color="auto"/>
              <w:right w:val="single" w:sz="8" w:color="auto"/>
            </w:tcBorders>
            <w:gridSpan w:val="2"/>
          </w:tcPr>
          <w:p>
            <w:pPr>
              <w:jc w:val="center"/>
              <w:ind w:right="153"/>
              <w:spacing w:after="0" w:line="146" w:lineRule="exact"/>
              <w:rPr>
                <w:sz w:val="20"/>
                <w:szCs w:val="20"/>
                <w:color w:val="auto"/>
              </w:rPr>
            </w:pPr>
            <w:r>
              <w:rPr>
                <w:rFonts w:ascii="Arial" w:cs="Arial" w:eastAsia="Arial" w:hAnsi="Arial"/>
                <w:sz w:val="13"/>
                <w:szCs w:val="13"/>
                <w:color w:val="auto"/>
                <w:w w:val="98"/>
              </w:rPr>
              <w:t>SERVICE AND VEHICLE REPLACEMENT PARTS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GLOBAL NETWORK BASED VEHICLE SAFETY AND SECURITY</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6,853,894</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2/8/2005</w:t>
            </w: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w w:val="97"/>
              </w:rPr>
              <w:t>TELEMATICS</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99"/>
        </w:trPr>
        <w:tc>
          <w:tcPr>
            <w:tcW w:w="4240" w:type="dxa"/>
            <w:vAlign w:val="bottom"/>
            <w:tcBorders>
              <w:left w:val="single" w:sz="8" w:color="auto"/>
              <w:right w:val="single" w:sz="8" w:color="auto"/>
            </w:tcBorders>
            <w:gridSpan w:val="3"/>
          </w:tcPr>
          <w:p>
            <w:pPr>
              <w:jc w:val="center"/>
              <w:spacing w:after="0" w:line="99" w:lineRule="exact"/>
              <w:rPr>
                <w:sz w:val="20"/>
                <w:szCs w:val="20"/>
                <w:color w:val="auto"/>
              </w:rPr>
            </w:pPr>
            <w:r>
              <w:rPr>
                <w:rFonts w:ascii="Arial" w:cs="Arial" w:eastAsia="Arial" w:hAnsi="Arial"/>
                <w:sz w:val="11"/>
                <w:szCs w:val="11"/>
                <w:color w:val="auto"/>
              </w:rPr>
              <w:t>WIRELESS VEHICLE DIAGNOSTICS DEVICE AND METHOD WITH</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7,502,672</w:t>
            </w:r>
          </w:p>
        </w:tc>
        <w:tc>
          <w:tcPr>
            <w:tcW w:w="2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3/10/2009</w:t>
            </w:r>
          </w:p>
        </w:tc>
      </w:tr>
      <w:tr>
        <w:trPr>
          <w:trHeight w:val="128"/>
        </w:trPr>
        <w:tc>
          <w:tcPr>
            <w:tcW w:w="220" w:type="dxa"/>
            <w:vAlign w:val="bottom"/>
            <w:tcBorders>
              <w:left w:val="single" w:sz="8" w:color="auto"/>
            </w:tcBorders>
          </w:tcPr>
          <w:p>
            <w:pPr>
              <w:spacing w:after="0"/>
              <w:rPr>
                <w:sz w:val="11"/>
                <w:szCs w:val="11"/>
                <w:color w:val="auto"/>
              </w:rPr>
            </w:pPr>
          </w:p>
        </w:tc>
        <w:tc>
          <w:tcPr>
            <w:tcW w:w="4020" w:type="dxa"/>
            <w:vAlign w:val="bottom"/>
            <w:tcBorders>
              <w:right w:val="single" w:sz="8" w:color="auto"/>
            </w:tcBorders>
            <w:gridSpan w:val="2"/>
          </w:tcPr>
          <w:p>
            <w:pPr>
              <w:jc w:val="center"/>
              <w:ind w:right="153"/>
              <w:spacing w:after="0" w:line="128" w:lineRule="exact"/>
              <w:rPr>
                <w:sz w:val="20"/>
                <w:szCs w:val="20"/>
                <w:color w:val="auto"/>
              </w:rPr>
            </w:pPr>
            <w:r>
              <w:rPr>
                <w:rFonts w:ascii="Arial" w:cs="Arial" w:eastAsia="Arial" w:hAnsi="Arial"/>
                <w:sz w:val="13"/>
                <w:szCs w:val="13"/>
                <w:color w:val="auto"/>
                <w:w w:val="99"/>
              </w:rPr>
              <w:t>SERVICE AND PART DETERMINATION CAPABILITIES (AS</w:t>
            </w:r>
          </w:p>
        </w:tc>
        <w:tc>
          <w:tcPr>
            <w:tcW w:w="240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r>
      <w:tr>
        <w:trPr>
          <w:trHeight w:val="146"/>
        </w:trPr>
        <w:tc>
          <w:tcPr>
            <w:tcW w:w="22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jc w:val="center"/>
              <w:ind w:right="633"/>
              <w:spacing w:after="0" w:line="146" w:lineRule="exact"/>
              <w:rPr>
                <w:sz w:val="20"/>
                <w:szCs w:val="20"/>
                <w:color w:val="auto"/>
              </w:rPr>
            </w:pPr>
            <w:r>
              <w:rPr>
                <w:rFonts w:ascii="Arial" w:cs="Arial" w:eastAsia="Arial" w:hAnsi="Arial"/>
                <w:sz w:val="13"/>
                <w:szCs w:val="13"/>
                <w:color w:val="auto"/>
              </w:rPr>
              <w:t>AMENDED)</w:t>
            </w:r>
          </w:p>
        </w:tc>
        <w:tc>
          <w:tcPr>
            <w:tcW w:w="240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r>
      <w:tr>
        <w:trPr>
          <w:trHeight w:val="430"/>
        </w:trPr>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400" w:type="dxa"/>
            <w:vAlign w:val="bottom"/>
          </w:tcPr>
          <w:p>
            <w:pPr>
              <w:jc w:val="right"/>
              <w:ind w:right="2162"/>
              <w:spacing w:after="0"/>
              <w:rPr>
                <w:sz w:val="20"/>
                <w:szCs w:val="20"/>
                <w:color w:val="auto"/>
              </w:rPr>
            </w:pPr>
            <w:r>
              <w:rPr>
                <w:rFonts w:ascii="Arial" w:cs="Arial" w:eastAsia="Arial" w:hAnsi="Arial"/>
                <w:sz w:val="13"/>
                <w:szCs w:val="13"/>
                <w:color w:val="auto"/>
              </w:rPr>
              <w:t>2</w:t>
            </w:r>
          </w:p>
        </w:tc>
        <w:tc>
          <w:tcPr>
            <w:tcW w:w="2160" w:type="dxa"/>
            <w:vAlign w:val="bottom"/>
          </w:tcPr>
          <w:p>
            <w:pPr>
              <w:spacing w:after="0"/>
              <w:rPr>
                <w:sz w:val="24"/>
                <w:szCs w:val="24"/>
                <w:color w:val="auto"/>
              </w:rPr>
            </w:pPr>
          </w:p>
        </w:tc>
      </w:tr>
      <w:tr>
        <w:trPr>
          <w:trHeight w:val="51"/>
        </w:trPr>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344" w:right="1440" w:bottom="1440" w:gutter="0" w:footer="0" w:header="0"/>
        </w:sectPr>
      </w:pPr>
    </w:p>
    <w:bookmarkStart w:id="181" w:name="page182"/>
    <w:bookmarkEnd w:id="181"/>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COMMUNICATION INTERFACE DEVICE FOR MANAGING</w:t>
            </w:r>
          </w:p>
        </w:tc>
        <w:tc>
          <w:tcPr>
            <w:tcW w:w="2400" w:type="dxa"/>
            <w:vAlign w:val="bottom"/>
            <w:tcBorders>
              <w:top w:val="single" w:sz="8" w:color="auto"/>
              <w:right w:val="single" w:sz="8" w:color="auto"/>
            </w:tcBorders>
          </w:tcPr>
          <w:p>
            <w:pPr>
              <w:jc w:val="right"/>
              <w:ind w:right="900"/>
              <w:spacing w:after="0"/>
              <w:rPr>
                <w:sz w:val="20"/>
                <w:szCs w:val="20"/>
                <w:color w:val="auto"/>
              </w:rPr>
            </w:pPr>
            <w:r>
              <w:rPr>
                <w:rFonts w:ascii="Arial" w:cs="Arial" w:eastAsia="Arial" w:hAnsi="Arial"/>
                <w:sz w:val="13"/>
                <w:szCs w:val="13"/>
                <w:color w:val="auto"/>
              </w:rPr>
              <w:t>7,003,289</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2/21/2006</w:t>
            </w:r>
          </w:p>
        </w:tc>
        <w:tc>
          <w:tcPr>
            <w:tcW w:w="0" w:type="dxa"/>
            <w:vAlign w:val="bottom"/>
          </w:tcPr>
          <w:p>
            <w:pPr>
              <w:spacing w:after="0"/>
              <w:rPr>
                <w:sz w:val="1"/>
                <w:szCs w:val="1"/>
                <w:color w:val="auto"/>
              </w:rPr>
            </w:pPr>
          </w:p>
        </w:tc>
      </w:tr>
      <w:tr>
        <w:trPr>
          <w:trHeight w:val="39"/>
        </w:trPr>
        <w:tc>
          <w:tcPr>
            <w:tcW w:w="4240" w:type="dxa"/>
            <w:vAlign w:val="bottom"/>
            <w:tcBorders>
              <w:left w:val="single" w:sz="8" w:color="auto"/>
              <w:righ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WIRELESS DATA TRANSMISSION BETWEEN A VEHICLE AND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THE INTERNET</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COMMUNICATING INTERACTIVE DIGITAL CONTENT BETWEEN</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6,615,186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9/2/2003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VEHICLES AND INTERNET BASED DATA PROCESSING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6"/>
              </w:rPr>
              <w:t>RESOURCES FOR THE PURPOSE OF TRANSACTING E-</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COMMERCE OR CONDUCTING E-BUSINESS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APPARATUS AND METHODS FOR MONITORING AND</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5,844,808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12/1/1998</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COMMUNICATING WITH A PLURALITY OF NETWORKED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REMOTE VENDING MACHINES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 FOR PROVIDING REMOTE AUDIT, CASHLESS PAYMENT,</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6,505,095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1/7/2003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AND INTERACTIVE TRANSACTION CAPABILITIES IN A</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POINT OF SALE TERMINAL MOUNTABLE ON A VENDING</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D543,588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5/29/2007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WIRELESS SYSTEM FOR COMMUNICATING CASHLESS VENDING</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7,593,897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9/22/2009</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 DATA AND VENDING MACHINE AUDIT DATA TO</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REMOTE LOCATIONS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 AND METHOD FOR LOCALLY AUTHORIZING</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7,630,939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12/8/2009</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CASHLESS TRANSACTIONS AT POINT OF SALE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CASHLESS VENDING TRANSACTION MANAGEMENT BY A VEND</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7,076,329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7/11/2006</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ASSIST MODE OF OPERATION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CASHLESS VENDING TRANSACTION MANAGEMENT BY A VEND</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7,693,602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4/6/2010</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ASSIST MODE OF OPERATION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MDB TRANSACTION STRING EFFECTUATED CASHLESS</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7,131,575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11/7/2006</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INTERACTIVE INTERFACE EFFECTUATED VENDING</w:t>
            </w:r>
          </w:p>
        </w:tc>
        <w:tc>
          <w:tcPr>
            <w:tcW w:w="2400" w:type="dxa"/>
            <w:vAlign w:val="bottom"/>
            <w:tcBorders>
              <w:bottom w:val="single" w:sz="8" w:color="auto"/>
              <w:right w:val="single" w:sz="8" w:color="auto"/>
            </w:tcBorders>
          </w:tcPr>
          <w:p>
            <w:pPr>
              <w:jc w:val="right"/>
              <w:ind w:right="900"/>
              <w:spacing w:after="0" w:line="117" w:lineRule="exact"/>
              <w:rPr>
                <w:sz w:val="20"/>
                <w:szCs w:val="20"/>
                <w:color w:val="auto"/>
              </w:rPr>
            </w:pPr>
            <w:r>
              <w:rPr>
                <w:rFonts w:ascii="Arial" w:cs="Arial" w:eastAsia="Arial" w:hAnsi="Arial"/>
                <w:sz w:val="13"/>
                <w:szCs w:val="13"/>
                <w:color w:val="auto"/>
              </w:rPr>
              <w:t>8,596,529</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12/3/2013</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CARD READER ASSEMBLY</w:t>
            </w:r>
          </w:p>
        </w:tc>
        <w:tc>
          <w:tcPr>
            <w:tcW w:w="2400" w:type="dxa"/>
            <w:vAlign w:val="bottom"/>
            <w:tcBorders>
              <w:bottom w:val="single" w:sz="8" w:color="auto"/>
              <w:right w:val="single" w:sz="8" w:color="auto"/>
            </w:tcBorders>
          </w:tcPr>
          <w:p>
            <w:pPr>
              <w:jc w:val="right"/>
              <w:ind w:right="900"/>
              <w:spacing w:after="0" w:line="117" w:lineRule="exact"/>
              <w:rPr>
                <w:sz w:val="20"/>
                <w:szCs w:val="20"/>
                <w:color w:val="auto"/>
              </w:rPr>
            </w:pPr>
            <w:r>
              <w:rPr>
                <w:rFonts w:ascii="Arial" w:cs="Arial" w:eastAsia="Arial" w:hAnsi="Arial"/>
                <w:sz w:val="13"/>
                <w:szCs w:val="13"/>
                <w:color w:val="auto"/>
              </w:rPr>
              <w:t>7,690,495</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4/6/2010</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CASHLESS VENDING SYSTEM WITH TETHERED PAYMENT</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7,464,867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12/16/2008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INTERFACE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CASHLESS TRANSACTION PAYMENT MODULE</w:t>
            </w:r>
          </w:p>
        </w:tc>
        <w:tc>
          <w:tcPr>
            <w:tcW w:w="2400" w:type="dxa"/>
            <w:vAlign w:val="bottom"/>
            <w:tcBorders>
              <w:bottom w:val="single" w:sz="8" w:color="auto"/>
              <w:right w:val="single" w:sz="8" w:color="auto"/>
            </w:tcBorders>
          </w:tcPr>
          <w:p>
            <w:pPr>
              <w:jc w:val="right"/>
              <w:ind w:right="900"/>
              <w:spacing w:after="0" w:line="117" w:lineRule="exact"/>
              <w:rPr>
                <w:sz w:val="20"/>
                <w:szCs w:val="20"/>
                <w:color w:val="auto"/>
              </w:rPr>
            </w:pPr>
            <w:r>
              <w:rPr>
                <w:rFonts w:ascii="Arial" w:cs="Arial" w:eastAsia="Arial" w:hAnsi="Arial"/>
                <w:sz w:val="13"/>
                <w:szCs w:val="13"/>
                <w:color w:val="auto"/>
              </w:rPr>
              <w:t>7,865,430</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1/4/2011</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DEVICES AND METHODS FOR PROVIDING CASHLESS PAYMENT</w:t>
            </w:r>
          </w:p>
        </w:tc>
        <w:tc>
          <w:tcPr>
            <w:tcW w:w="2400" w:type="dxa"/>
            <w:vAlign w:val="bottom"/>
            <w:tcBorders>
              <w:right w:val="single" w:sz="8" w:color="auto"/>
            </w:tcBorders>
          </w:tcPr>
          <w:p>
            <w:pPr>
              <w:jc w:val="right"/>
              <w:ind w:right="900"/>
              <w:spacing w:after="0" w:line="99" w:lineRule="exact"/>
              <w:rPr>
                <w:sz w:val="20"/>
                <w:szCs w:val="20"/>
                <w:color w:val="auto"/>
              </w:rPr>
            </w:pPr>
            <w:r>
              <w:rPr>
                <w:rFonts w:ascii="Arial" w:cs="Arial" w:eastAsia="Arial" w:hAnsi="Arial"/>
                <w:sz w:val="11"/>
                <w:szCs w:val="11"/>
                <w:color w:val="auto"/>
              </w:rPr>
              <w:t>8,373,558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2/12/2013</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DIAGNOSTICS FOR VENDING MACHINES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PRINTER BRACKET FOR POINT OF SALE TERMINAL</w:t>
            </w:r>
          </w:p>
        </w:tc>
        <w:tc>
          <w:tcPr>
            <w:tcW w:w="2400" w:type="dxa"/>
            <w:vAlign w:val="bottom"/>
            <w:tcBorders>
              <w:bottom w:val="single" w:sz="8" w:color="auto"/>
              <w:right w:val="single" w:sz="8" w:color="auto"/>
            </w:tcBorders>
          </w:tcPr>
          <w:p>
            <w:pPr>
              <w:jc w:val="right"/>
              <w:ind w:right="900"/>
              <w:spacing w:after="0" w:line="117" w:lineRule="exact"/>
              <w:rPr>
                <w:sz w:val="20"/>
                <w:szCs w:val="20"/>
                <w:color w:val="auto"/>
              </w:rPr>
            </w:pPr>
            <w:r>
              <w:rPr>
                <w:rFonts w:ascii="Arial" w:cs="Arial" w:eastAsia="Arial" w:hAnsi="Arial"/>
                <w:sz w:val="13"/>
                <w:szCs w:val="13"/>
                <w:color w:val="auto"/>
              </w:rPr>
              <w:t>D475,414</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6/3/2003</w:t>
            </w: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0"/>
              <w:spacing w:after="0"/>
              <w:rPr>
                <w:sz w:val="20"/>
                <w:szCs w:val="20"/>
                <w:color w:val="auto"/>
              </w:rPr>
            </w:pPr>
            <w:r>
              <w:rPr>
                <w:rFonts w:ascii="Arial" w:cs="Arial" w:eastAsia="Arial" w:hAnsi="Arial"/>
                <w:sz w:val="13"/>
                <w:szCs w:val="13"/>
                <w:color w:val="auto"/>
              </w:rPr>
              <w:t>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2" w:name="page183"/>
    <w:bookmarkEnd w:id="182"/>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USER INTERFACE BRACKET FOR A POINT OF SAME TERMINAL</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D476,037</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6/17/2003</w:t>
            </w:r>
          </w:p>
        </w:tc>
        <w:tc>
          <w:tcPr>
            <w:tcW w:w="0" w:type="dxa"/>
            <w:vAlign w:val="bottom"/>
          </w:tcPr>
          <w:p>
            <w:pPr>
              <w:spacing w:after="0"/>
              <w:rPr>
                <w:sz w:val="1"/>
                <w:szCs w:val="1"/>
                <w:color w:val="auto"/>
              </w:rPr>
            </w:pPr>
          </w:p>
        </w:tc>
      </w:tr>
      <w:tr>
        <w:trPr>
          <w:trHeight w:val="57"/>
        </w:trPr>
        <w:tc>
          <w:tcPr>
            <w:tcW w:w="424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MOUNTING BRACKET FOR MOUNTING A CASHLESS PAYMENT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D480,948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10/21/2003</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TERMINAL TO A VENDING 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TRANSCEIVER BASE UNIT</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D478,577</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8/19/2003</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VENDING MACHINE CASHLESS PAYMENT TERMINAL</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D477,030</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7/8/2003</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PRINTER BRACKET FOR POINT OF SALE TERMINAL</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D476,036</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6/17/2003</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USER INTERFACE BRACKET FOR A POINT OF SALE TERMINAL</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D475,751</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6/10/2003</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8"/>
              </w:rPr>
              <w:t>PAPER GUIDE FOR A POINT OF SALE TERMINAL</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D475,750</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6/10/2003</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VENDING APPROVAL SYSTEMS, METHODS, AND APPARATUS</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9,159,182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10/13/2015</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USING CARD READERS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APPARATUS, SYSTEM, AND METHODS FOR RETROFITTING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9,619,795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4/11/2017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SYSTEMS WITH WIRELESS COMMUNICATION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VENDING INTERFACE CONTROLLER</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1534461</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8/28/2015</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VENDING INTERFACE CONTROLLER</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D727,428</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4/21/2015</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UNATTENDED RETAIL SYSTEMS, METHODS AND DEVICES FOR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9,245,269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1/26/2016</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LINKING PAYMENTS, LOYALTY, AND REWARDS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VENDING MACHINE SYSTEMS USING STANDARD INVENTORY</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8,788,341</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7/22/2014</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CONTROL SYSTEM COMPONEN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VENDING MACHINE NUTRITIONAL INFORMATION DISPLAY</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8,583,280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11/12/2013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SYSTEM USING STANDARD INVENTORY CONTROL SYSTEM</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COMPONENTS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REFRIGERATED VENDING MACHINE EXPLOITING EXPANDED</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2001263356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1/13/2005</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TEMPERATURE VARIANCE DURING POWER-CONSERVATION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MODE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PI0111132-9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4/24/2013</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2,409,228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3/9/2010</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1299680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1299680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1299680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1299680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1299680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8/2/2017</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0"/>
              <w:spacing w:after="0"/>
              <w:rPr>
                <w:sz w:val="20"/>
                <w:szCs w:val="20"/>
                <w:color w:val="auto"/>
              </w:rPr>
            </w:pPr>
            <w:r>
              <w:rPr>
                <w:rFonts w:ascii="Arial" w:cs="Arial" w:eastAsia="Arial" w:hAnsi="Arial"/>
                <w:sz w:val="13"/>
                <w:szCs w:val="13"/>
                <w:color w:val="auto"/>
              </w:rPr>
              <w:t>4</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3" w:name="page184"/>
    <w:bookmarkEnd w:id="183"/>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TEMPERATURE CONTROLLER FOR A REFRIGERATED VENDING</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1299680</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8/2/2017</w:t>
            </w:r>
          </w:p>
        </w:tc>
        <w:tc>
          <w:tcPr>
            <w:tcW w:w="0" w:type="dxa"/>
            <w:vAlign w:val="bottom"/>
          </w:tcPr>
          <w:p>
            <w:pPr>
              <w:spacing w:after="0"/>
              <w:rPr>
                <w:sz w:val="1"/>
                <w:szCs w:val="1"/>
                <w:color w:val="auto"/>
              </w:rPr>
            </w:pPr>
          </w:p>
        </w:tc>
      </w:tr>
      <w:tr>
        <w:trPr>
          <w:trHeight w:val="39"/>
        </w:trPr>
        <w:tc>
          <w:tcPr>
            <w:tcW w:w="4240" w:type="dxa"/>
            <w:vAlign w:val="bottom"/>
            <w:tcBorders>
              <w:left w:val="single" w:sz="8" w:color="auto"/>
              <w:righ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TEMPERATURE CONTROLLER FOR A REFRIGERATED VENDING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234363</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2/13/2006</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REFRIGERATED VENDING MACHINE EXPLOITING EXPANDED</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6,389,822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5/21/2002</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TEMPERATURE VARIANCE DURING POWER-CONSERVATION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MODE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AND APPARATUS FOR CONSERVING POWER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7,286,907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10/23/2007</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CONSUMED BY A REFRIGERATED APPLIANCE UTILIZING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AUDIO SIGNAL DETECTION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AND APPARATUS FOR CONSERVING POWER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7,856,289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12/21/2010</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CONSUMED BY A VENDING MACHINE UTILIZING AUDIO</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SIGNAL DETECTION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60225149.4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1419425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1419425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1419425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1419425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1419425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2/20/2008</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POWER CONSERVATION SYSTEM BASED ON INDOOR/OUTDOOR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6,801,836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10/5/2004</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AND AMBIENT-LIGHT DETERMINATION</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AND APPARATUS FOR CONSERVING POWER</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6,898,942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5/31/2005</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CONSUMED BY A REFRIGERATED APPLIANCE UTILIZING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DISPENSING EVENT DATA SIGNALS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6"/>
              </w:rPr>
              <w:t>POWER-CONSERVATION SYSTEM FOR COMPUTER PERIPHERALS</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89"/>
              </w:rPr>
              <w:t>5,477,476</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12/19/1995</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EXTERNAL POWER MANAGEMENT DEVICE WITH CURRENT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6,243,626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6/5/2001</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MONITORING PRECLUDING SHUTDOWN DURING HIGH</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CURRENT</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2"/>
              <w:spacing w:after="0"/>
              <w:rPr>
                <w:sz w:val="20"/>
                <w:szCs w:val="20"/>
                <w:color w:val="auto"/>
              </w:rPr>
            </w:pPr>
            <w:r>
              <w:rPr>
                <w:rFonts w:ascii="Arial" w:cs="Arial" w:eastAsia="Arial" w:hAnsi="Arial"/>
                <w:sz w:val="13"/>
                <w:szCs w:val="13"/>
                <w:color w:val="auto"/>
              </w:rPr>
              <w:t>5</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4" w:name="page185"/>
    <w:bookmarkEnd w:id="184"/>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METHOD AND APPARATUS FOR POWER MANAGEMENT</w:t>
            </w:r>
          </w:p>
        </w:tc>
        <w:tc>
          <w:tcPr>
            <w:tcW w:w="2400" w:type="dxa"/>
            <w:vAlign w:val="bottom"/>
            <w:tcBorders>
              <w:top w:val="single" w:sz="8" w:color="auto"/>
              <w:right w:val="single" w:sz="8" w:color="auto"/>
            </w:tcBorders>
          </w:tcPr>
          <w:p>
            <w:pPr>
              <w:jc w:val="right"/>
              <w:ind w:right="902"/>
              <w:spacing w:after="0"/>
              <w:rPr>
                <w:sz w:val="20"/>
                <w:szCs w:val="20"/>
                <w:color w:val="auto"/>
              </w:rPr>
            </w:pPr>
            <w:r>
              <w:rPr>
                <w:rFonts w:ascii="Arial" w:cs="Arial" w:eastAsia="Arial" w:hAnsi="Arial"/>
                <w:sz w:val="13"/>
                <w:szCs w:val="13"/>
                <w:color w:val="auto"/>
              </w:rPr>
              <w:t>6,975,926</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12/13/2005</w:t>
            </w:r>
          </w:p>
        </w:tc>
        <w:tc>
          <w:tcPr>
            <w:tcW w:w="0" w:type="dxa"/>
            <w:vAlign w:val="bottom"/>
          </w:tcPr>
          <w:p>
            <w:pPr>
              <w:spacing w:after="0"/>
              <w:rPr>
                <w:sz w:val="1"/>
                <w:szCs w:val="1"/>
                <w:color w:val="auto"/>
              </w:rPr>
            </w:pPr>
          </w:p>
        </w:tc>
      </w:tr>
      <w:tr>
        <w:trPr>
          <w:trHeight w:val="39"/>
        </w:trPr>
        <w:tc>
          <w:tcPr>
            <w:tcW w:w="4240" w:type="dxa"/>
            <w:vAlign w:val="bottom"/>
            <w:tcBorders>
              <w:left w:val="single" w:sz="8" w:color="auto"/>
              <w:righ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CONTROL OF A COMPRESSOR-BASED APPLIANCE THAT</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REDUCES ELECTRICAL POWER CONSUMPTION OF AN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APPLIANCE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REFRIGERATED VENDING MACHINE EXPLOITING EXPANDED</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6,581,396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6/24/2003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TEMPERATURE VARIANCE DURING POWER-CONSERVATION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MODE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REFRIGERATED VENDING MACHINE EXPLOITING EXPANDED</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6,931,869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8/23/2005</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TEMPERATURE VARIANCE DURING POWER-CONSERVATION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MODE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AND APPARATUS FOR POWER MANAGEMENT</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7,200,467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4/3/2007</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CONTROL OF A COOLING SYSTEM IN A CONSUMER</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ACCESSIBLE APPLIANCE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 AND METHOD FOR NETWORKING AND CONTROLLING</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6,056,194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5/2/2000</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MACHINES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CREDIT CARD AND BANK ISSUED DEBIT CARD OPERATED</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5,619,024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4/8/1997</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SYSTEM ANDMETHOD FOR CONTROLLING AND MONITORING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ACCESS OF COMPUTER AND COPY EQUIPMENT</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CREDIT AND BANK ISSUED DEBIT CARD OPERATED SYSTEM</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6,152,365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11/28/2000</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AND METHOD FOR CONTROLLING A VENDING MACHINE (As</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3"/>
              </w:rPr>
              <w:t>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CREDIT AND BANK ISSUED DEBIT CARD OPERATED SYSTEM</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5,637,845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6/10/1997</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AND METHOD FOR CONTROLLING A PREPAID CARD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ENCODING/DISPENSING 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CREDIT CARD, SMART CARD AND BANK ISSUED DEBIT CARD</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6,119,934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9/19/2000</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OPERATED SYSTEM AND METHOD FOR PROCESSING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ELECTRONIC TRANSACTIONS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CREDIT AND DEBIT CARD OPERATED VENDING MACHINE</w:t>
            </w:r>
          </w:p>
        </w:tc>
        <w:tc>
          <w:tcPr>
            <w:tcW w:w="2400" w:type="dxa"/>
            <w:vAlign w:val="bottom"/>
            <w:tcBorders>
              <w:bottom w:val="single" w:sz="8" w:color="auto"/>
              <w:right w:val="single" w:sz="8" w:color="auto"/>
            </w:tcBorders>
          </w:tcPr>
          <w:p>
            <w:pPr>
              <w:jc w:val="right"/>
              <w:ind w:right="902"/>
              <w:spacing w:after="0" w:line="117" w:lineRule="exact"/>
              <w:rPr>
                <w:sz w:val="20"/>
                <w:szCs w:val="20"/>
                <w:color w:val="auto"/>
              </w:rPr>
            </w:pPr>
            <w:r>
              <w:rPr>
                <w:rFonts w:ascii="Arial" w:cs="Arial" w:eastAsia="Arial" w:hAnsi="Arial"/>
                <w:sz w:val="13"/>
                <w:szCs w:val="13"/>
                <w:color w:val="auto"/>
              </w:rPr>
              <w:t>2,207,603</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2/2/2010</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 AND METHOD FOR NETWORKING AND CONTROLLING</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6,321,985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11/27/2001</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MACHINES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DELIVERY OF GOODS AND SERVICES RESULTANT FROM AN</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6,601,038</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ELECTRONIC COMMERCE TRANSACTION BY WAY OF A PACK</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AND SHIP TYPE COMPANY</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2"/>
              <w:spacing w:after="0"/>
              <w:rPr>
                <w:sz w:val="20"/>
                <w:szCs w:val="20"/>
                <w:color w:val="auto"/>
              </w:rPr>
            </w:pPr>
            <w:r>
              <w:rPr>
                <w:rFonts w:ascii="Arial" w:cs="Arial" w:eastAsia="Arial" w:hAnsi="Arial"/>
                <w:sz w:val="13"/>
                <w:szCs w:val="13"/>
                <w:color w:val="auto"/>
              </w:rPr>
              <w:t>6</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5" w:name="page186"/>
    <w:bookmarkEnd w:id="185"/>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TRANSACTION PROCESSING METHOD OF FULFILLING AN</w:t>
            </w:r>
          </w:p>
        </w:tc>
        <w:tc>
          <w:tcPr>
            <w:tcW w:w="2400" w:type="dxa"/>
            <w:vAlign w:val="bottom"/>
            <w:tcBorders>
              <w:top w:val="single" w:sz="8" w:color="auto"/>
              <w:right w:val="single" w:sz="8" w:color="auto"/>
            </w:tcBorders>
          </w:tcPr>
          <w:p>
            <w:pPr>
              <w:jc w:val="right"/>
              <w:ind w:right="902"/>
              <w:spacing w:after="0"/>
              <w:rPr>
                <w:sz w:val="20"/>
                <w:szCs w:val="20"/>
                <w:color w:val="auto"/>
              </w:rPr>
            </w:pPr>
            <w:r>
              <w:rPr>
                <w:rFonts w:ascii="Arial" w:cs="Arial" w:eastAsia="Arial" w:hAnsi="Arial"/>
                <w:sz w:val="13"/>
                <w:szCs w:val="13"/>
                <w:color w:val="auto"/>
              </w:rPr>
              <w:t>6,629,080</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9/30/2003</w:t>
            </w:r>
          </w:p>
        </w:tc>
        <w:tc>
          <w:tcPr>
            <w:tcW w:w="0" w:type="dxa"/>
            <w:vAlign w:val="bottom"/>
          </w:tcPr>
          <w:p>
            <w:pPr>
              <w:spacing w:after="0"/>
              <w:rPr>
                <w:sz w:val="1"/>
                <w:szCs w:val="1"/>
                <w:color w:val="auto"/>
              </w:rPr>
            </w:pPr>
          </w:p>
        </w:tc>
      </w:tr>
      <w:tr>
        <w:trPr>
          <w:trHeight w:val="39"/>
        </w:trPr>
        <w:tc>
          <w:tcPr>
            <w:tcW w:w="4240" w:type="dxa"/>
            <w:vAlign w:val="bottom"/>
            <w:tcBorders>
              <w:left w:val="single" w:sz="8" w:color="auto"/>
              <w:righ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ELECTRONIC COMMERCE TRANSACTION BY AN ELECTRONIC</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COMMERCE TERMINAL SYSTEM</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 AND METHOD OF PROCESSING CREDIT CARD, E-</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6,601,037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COMMERCE, AND E-BUSINESS TRANSACTIONS WITHOUT THE</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MERCHANT INCURRING TRANSACTION PROCESSING FEES OR</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CHARGES WORLDWIDE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STORE DISPLAY WINDOW CONNECTED TO AN ELECTRONIC</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6,611,810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8/26/2003</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COMMERCE TERMINAL (AS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ELECTRONIC COMMERCE TERMINAL CONNECTED TO A</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6,604,086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8/5/2003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VENDING MACHINE OPERABLE AS A TELEPHONE (AS</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METHOD FOR REVALUING A PHONE CARD</w:t>
            </w:r>
          </w:p>
        </w:tc>
        <w:tc>
          <w:tcPr>
            <w:tcW w:w="2400" w:type="dxa"/>
            <w:vAlign w:val="bottom"/>
            <w:tcBorders>
              <w:bottom w:val="single" w:sz="8" w:color="auto"/>
              <w:right w:val="single" w:sz="8" w:color="auto"/>
            </w:tcBorders>
          </w:tcPr>
          <w:p>
            <w:pPr>
              <w:jc w:val="right"/>
              <w:ind w:right="902"/>
              <w:spacing w:after="0" w:line="117" w:lineRule="exact"/>
              <w:rPr>
                <w:sz w:val="20"/>
                <w:szCs w:val="20"/>
                <w:color w:val="auto"/>
              </w:rPr>
            </w:pPr>
            <w:r>
              <w:rPr>
                <w:rFonts w:ascii="Arial" w:cs="Arial" w:eastAsia="Arial" w:hAnsi="Arial"/>
                <w:sz w:val="13"/>
                <w:szCs w:val="13"/>
                <w:color w:val="auto"/>
              </w:rPr>
              <w:t>7,089,209</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8/8/2006</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GAS PUMP CONTROL SYSTEM HAVING ACCESS TO THE</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6,601,039</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INTERNET FOR THE PURPOSES OF TRANSACTING E-MAIL, E-</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COMMERCE, AND E-BUSINESS, AND FOR CONDUCTING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TRANSACTIONS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OF TRANSACTING AN ELECTRONIC MAIL, AN</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6,643,623</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11/4/2003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ELECTRONIC COMMERCE, AND AN ELECTRONIC BUSINESS</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 BY AN ELECTRONIC COMMERCE TERMINAL</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USING A GAS PUMP</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A VENDING MACHINE CONTROL SYSTEM HAVING ACCESS TO</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6,606,602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8/12/2003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THE INTERNET FOR THE PURPOSES OF TRANSACTING E-MAIL,</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E-COMMERCE, AND E-BUSINESS, AND FOR CONDUCTING</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TRANSACTIONS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FOR REVALUING A PRIVATE LABEL CARD USING AN</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6,684,197</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1/27/2004</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ELECTRONIC COMMERCE TERMINAL (AS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OF TRANSACTING E-COMMERCE AND E-BUSINESS</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6,615,183</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9/2/2003</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FROM A PUBLIC ACCESS PERVASIVE COMPUTING DEVICE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OF SOLICITING A USER TO INPUT SURVEY DATA AT</w:t>
            </w:r>
          </w:p>
        </w:tc>
        <w:tc>
          <w:tcPr>
            <w:tcW w:w="2400" w:type="dxa"/>
            <w:vAlign w:val="bottom"/>
            <w:tcBorders>
              <w:right w:val="single" w:sz="8" w:color="auto"/>
            </w:tcBorders>
          </w:tcPr>
          <w:p>
            <w:pPr>
              <w:jc w:val="right"/>
              <w:ind w:right="902"/>
              <w:spacing w:after="0" w:line="99" w:lineRule="exact"/>
              <w:rPr>
                <w:sz w:val="20"/>
                <w:szCs w:val="20"/>
                <w:color w:val="auto"/>
              </w:rPr>
            </w:pPr>
            <w:r>
              <w:rPr>
                <w:rFonts w:ascii="Arial" w:cs="Arial" w:eastAsia="Arial" w:hAnsi="Arial"/>
                <w:sz w:val="11"/>
                <w:szCs w:val="11"/>
                <w:color w:val="auto"/>
              </w:rPr>
              <w:t>6,807,532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10/19/2004</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AN ELECTRONIC COMMERCE TERMINAL (AS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2"/>
              <w:spacing w:after="0"/>
              <w:rPr>
                <w:sz w:val="20"/>
                <w:szCs w:val="20"/>
                <w:color w:val="auto"/>
              </w:rPr>
            </w:pPr>
            <w:r>
              <w:rPr>
                <w:rFonts w:ascii="Arial" w:cs="Arial" w:eastAsia="Arial" w:hAnsi="Arial"/>
                <w:sz w:val="13"/>
                <w:szCs w:val="13"/>
                <w:color w:val="auto"/>
              </w:rPr>
              <w:t>7</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6" w:name="page187"/>
    <w:bookmarkEnd w:id="186"/>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4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VENDING ACCESS TO THE INTERNET, BUSINESS APPLICATION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6,604,087</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8/5/2003</w:t>
            </w:r>
          </w:p>
        </w:tc>
        <w:tc>
          <w:tcPr>
            <w:tcW w:w="0" w:type="dxa"/>
            <w:vAlign w:val="bottom"/>
          </w:tcPr>
          <w:p>
            <w:pPr>
              <w:spacing w:after="0"/>
              <w:rPr>
                <w:sz w:val="1"/>
                <w:szCs w:val="1"/>
                <w:color w:val="auto"/>
              </w:rPr>
            </w:pPr>
          </w:p>
        </w:tc>
      </w:tr>
      <w:tr>
        <w:trPr>
          <w:trHeight w:val="39"/>
        </w:trPr>
        <w:tc>
          <w:tcPr>
            <w:tcW w:w="4240" w:type="dxa"/>
            <w:vAlign w:val="bottom"/>
            <w:tcBorders>
              <w:left w:val="single" w:sz="8" w:color="auto"/>
              <w:righ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SOFTWARE, E-COMMERCE, AND E-BUSINESS IN A HOTEL ROOM</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ELECTRONIC COMMERCE TERMINAL FOR WIRELESSLY</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6,601,040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7/29/2003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COMMUNICATING TO A PLURALITY OF COMMUNICATION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DEVICES (AS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OF TRANSACTING AN ELECTRONIC MAIL, AN</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6,763,336</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7/13/2004</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ELECTRONIC COMMERCE, AND AN ELECTRONIC BUSINESS</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 BY AN ELECTRONIC COMMERCE TERMINAL</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USING A WIRELESSLY NETWORKED PLURALITY OF PORTABLE</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DIGITAL..</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UNIVERSAL INTERACTIVE ADVERTISING AND PAYMENT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6,609,102</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8/19/2003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SYSTEM FOR PUBLIC ACCESS ELECTRONIC COMMERCE AND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BUSINESS RELATED PRODUCTS AND SERVICES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ELECTRONIC COMMERCE TERMINAL FOR FACILITATING</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6,609,103</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8/19/2003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INCENTIVE-BASED PURCHASING ON TRANSPORTATION</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VEHICLES (AS AMENDED)</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METHOD OF TRANSACTING AN ELECTRONIC MAIL, AN</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6,622,124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9/16/2003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ELECTRONIC COMMERCE, AND AN ELECTRONIC BUSINESS</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 BY AN ELECTRONIC COMMERCE TERMINAL</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OPERATED ON A TRANSPORTATION VEHICLE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ELECTRONIC COMMERCE TERMINAL ENCLOSURE</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D428,047</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7/11/2000</w:t>
            </w: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ELECTRONIC COMMERCE TERMINAL ENCLOSURE FOR A</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D428,444</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7/18/2000</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ELECTRONIC COMMERCE TERMINAL ENCLOSURE FOR A</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D437,890</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2/20/2001</w:t>
            </w: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VENDING MACHINE</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UNIVERSAL INTERACTIVE ADVERTISING AND PAYMENT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6,604,085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8/5/2003</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SYSTEM NETWORK FOR PUBLIC ACCESS ELECTRONIC</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COMMERCE AND BUSINESS RELATED PRODUCTS AND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4"/>
              </w:rPr>
              <w:t>SERVICES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UNIVERSAL INTERACTIVE ADVERTISING AND PAYMENT</w:t>
            </w:r>
          </w:p>
        </w:tc>
        <w:tc>
          <w:tcPr>
            <w:tcW w:w="24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2,291,015</w:t>
            </w:r>
          </w:p>
        </w:tc>
        <w:tc>
          <w:tcPr>
            <w:tcW w:w="2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3/22/2005</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SYSTEM FOR PUBLIC ACCESS ELECTRONIC COMMERCE AND</w:t>
            </w:r>
          </w:p>
        </w:tc>
        <w:tc>
          <w:tcPr>
            <w:tcW w:w="24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BUSINESS RELATED PRODUCTS AND SERVICES</w:t>
            </w:r>
          </w:p>
        </w:tc>
        <w:tc>
          <w:tcPr>
            <w:tcW w:w="240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8"/>
              </w:rPr>
              <w:t>SIGN HOLDER</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D418,878</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1/11/2000</w:t>
            </w:r>
          </w:p>
        </w:tc>
        <w:tc>
          <w:tcPr>
            <w:tcW w:w="0" w:type="dxa"/>
            <w:vAlign w:val="bottom"/>
          </w:tcPr>
          <w:p>
            <w:pPr>
              <w:spacing w:after="0"/>
              <w:rPr>
                <w:sz w:val="1"/>
                <w:szCs w:val="1"/>
                <w:color w:val="auto"/>
              </w:rPr>
            </w:pPr>
          </w:p>
        </w:tc>
      </w:tr>
      <w:tr>
        <w:trPr>
          <w:trHeight w:val="117"/>
        </w:trPr>
        <w:tc>
          <w:tcPr>
            <w:tcW w:w="42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8"/>
              </w:rPr>
              <w:t>SIGN HOLDER</w:t>
            </w:r>
          </w:p>
        </w:tc>
        <w:tc>
          <w:tcPr>
            <w:tcW w:w="24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6"/>
              </w:rPr>
              <w:t>D87998</w:t>
            </w:r>
          </w:p>
        </w:tc>
        <w:tc>
          <w:tcPr>
            <w:tcW w:w="214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10/29/1999</w:t>
            </w:r>
          </w:p>
        </w:tc>
        <w:tc>
          <w:tcPr>
            <w:tcW w:w="0" w:type="dxa"/>
            <w:vAlign w:val="bottom"/>
          </w:tcPr>
          <w:p>
            <w:pPr>
              <w:spacing w:after="0"/>
              <w:rPr>
                <w:sz w:val="1"/>
                <w:szCs w:val="1"/>
                <w:color w:val="auto"/>
              </w:rPr>
            </w:pPr>
          </w:p>
        </w:tc>
      </w:tr>
      <w:tr>
        <w:trPr>
          <w:trHeight w:val="430"/>
        </w:trPr>
        <w:tc>
          <w:tcPr>
            <w:tcW w:w="4240" w:type="dxa"/>
            <w:vAlign w:val="bottom"/>
          </w:tcPr>
          <w:p>
            <w:pPr>
              <w:spacing w:after="0"/>
              <w:rPr>
                <w:sz w:val="24"/>
                <w:szCs w:val="24"/>
                <w:color w:val="auto"/>
              </w:rPr>
            </w:pPr>
          </w:p>
        </w:tc>
        <w:tc>
          <w:tcPr>
            <w:tcW w:w="2400" w:type="dxa"/>
            <w:vAlign w:val="bottom"/>
          </w:tcPr>
          <w:p>
            <w:pPr>
              <w:jc w:val="right"/>
              <w:ind w:right="2160"/>
              <w:spacing w:after="0"/>
              <w:rPr>
                <w:sz w:val="20"/>
                <w:szCs w:val="20"/>
                <w:color w:val="auto"/>
              </w:rPr>
            </w:pPr>
            <w:r>
              <w:rPr>
                <w:rFonts w:ascii="Arial" w:cs="Arial" w:eastAsia="Arial" w:hAnsi="Arial"/>
                <w:sz w:val="13"/>
                <w:szCs w:val="13"/>
                <w:color w:val="auto"/>
              </w:rPr>
              <w:t>8</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87" w:name="page188"/>
    <w:bookmarkEnd w:id="187"/>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1020" w:type="dxa"/>
            <w:vAlign w:val="bottom"/>
            <w:tcBorders>
              <w:top w:val="single" w:sz="8" w:color="auto"/>
              <w:left w:val="single" w:sz="8" w:color="auto"/>
            </w:tcBorders>
          </w:tcPr>
          <w:p>
            <w:pPr>
              <w:spacing w:after="0"/>
              <w:rPr>
                <w:sz w:val="15"/>
                <w:szCs w:val="15"/>
                <w:color w:val="auto"/>
              </w:rPr>
            </w:pPr>
          </w:p>
        </w:tc>
        <w:tc>
          <w:tcPr>
            <w:tcW w:w="2200" w:type="dxa"/>
            <w:vAlign w:val="bottom"/>
            <w:tcBorders>
              <w:top w:val="single" w:sz="8" w:color="auto"/>
            </w:tcBorders>
            <w:gridSpan w:val="7"/>
            <w:vMerge w:val="restart"/>
          </w:tcPr>
          <w:p>
            <w:pPr>
              <w:jc w:val="center"/>
              <w:spacing w:after="0"/>
              <w:rPr>
                <w:sz w:val="20"/>
                <w:szCs w:val="20"/>
                <w:color w:val="auto"/>
              </w:rPr>
            </w:pPr>
            <w:r>
              <w:rPr>
                <w:rFonts w:ascii="Arial" w:cs="Arial" w:eastAsia="Arial" w:hAnsi="Arial"/>
                <w:sz w:val="13"/>
                <w:szCs w:val="13"/>
                <w:color w:val="auto"/>
                <w:w w:val="96"/>
              </w:rPr>
              <w:t>LAPTOP DATA PORT ENCLOSURE</w:t>
            </w: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80" w:type="dxa"/>
            <w:vAlign w:val="bottom"/>
            <w:tcBorders>
              <w:top w:val="single" w:sz="8" w:color="auto"/>
              <w:right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left="530"/>
              <w:spacing w:after="0"/>
              <w:rPr>
                <w:sz w:val="20"/>
                <w:szCs w:val="20"/>
                <w:color w:val="auto"/>
              </w:rPr>
            </w:pPr>
            <w:r>
              <w:rPr>
                <w:rFonts w:ascii="Arial" w:cs="Arial" w:eastAsia="Arial" w:hAnsi="Arial"/>
                <w:sz w:val="13"/>
                <w:szCs w:val="13"/>
                <w:color w:val="auto"/>
                <w:w w:val="92"/>
              </w:rPr>
              <w:t>D415,742</w:t>
            </w:r>
          </w:p>
        </w:tc>
        <w:tc>
          <w:tcPr>
            <w:tcW w:w="92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447"/>
              <w:spacing w:after="0"/>
              <w:rPr>
                <w:sz w:val="20"/>
                <w:szCs w:val="20"/>
                <w:color w:val="auto"/>
              </w:rPr>
            </w:pPr>
            <w:r>
              <w:rPr>
                <w:rFonts w:ascii="Arial" w:cs="Arial" w:eastAsia="Arial" w:hAnsi="Arial"/>
                <w:sz w:val="13"/>
                <w:szCs w:val="13"/>
                <w:color w:val="auto"/>
                <w:w w:val="92"/>
              </w:rPr>
              <w:t>10/26/1999</w:t>
            </w:r>
          </w:p>
        </w:tc>
        <w:tc>
          <w:tcPr>
            <w:tcW w:w="200" w:type="dxa"/>
            <w:vAlign w:val="bottom"/>
            <w:tcBorders>
              <w:top w:val="single" w:sz="8" w:color="auto"/>
              <w:right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020" w:type="dxa"/>
            <w:vAlign w:val="bottom"/>
            <w:tcBorders>
              <w:left w:val="single" w:sz="8" w:color="auto"/>
              <w:bottom w:val="single" w:sz="8" w:color="auto"/>
            </w:tcBorders>
          </w:tcPr>
          <w:p>
            <w:pPr>
              <w:spacing w:after="0"/>
              <w:rPr>
                <w:sz w:val="4"/>
                <w:szCs w:val="4"/>
                <w:color w:val="auto"/>
              </w:rPr>
            </w:pPr>
          </w:p>
        </w:tc>
        <w:tc>
          <w:tcPr>
            <w:tcW w:w="2200" w:type="dxa"/>
            <w:vAlign w:val="bottom"/>
            <w:tcBorders>
              <w:bottom w:val="single" w:sz="8" w:color="auto"/>
            </w:tcBorders>
            <w:gridSpan w:val="7"/>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20" w:type="dxa"/>
            <w:vAlign w:val="bottom"/>
            <w:tcBorders>
              <w:left w:val="single" w:sz="8" w:color="auto"/>
              <w:bottom w:val="single" w:sz="8" w:color="auto"/>
            </w:tcBorders>
          </w:tcPr>
          <w:p>
            <w:pPr>
              <w:spacing w:after="0"/>
              <w:rPr>
                <w:sz w:val="10"/>
                <w:szCs w:val="10"/>
                <w:color w:val="auto"/>
              </w:rPr>
            </w:pPr>
          </w:p>
        </w:tc>
        <w:tc>
          <w:tcPr>
            <w:tcW w:w="2200" w:type="dxa"/>
            <w:vAlign w:val="bottom"/>
            <w:tcBorders>
              <w:bottom w:val="single" w:sz="8" w:color="auto"/>
            </w:tcBorders>
            <w:gridSpan w:val="7"/>
          </w:tcPr>
          <w:p>
            <w:pPr>
              <w:jc w:val="center"/>
              <w:spacing w:after="0" w:line="117" w:lineRule="exact"/>
              <w:rPr>
                <w:sz w:val="20"/>
                <w:szCs w:val="20"/>
                <w:color w:val="auto"/>
              </w:rPr>
            </w:pPr>
            <w:r>
              <w:rPr>
                <w:rFonts w:ascii="Arial" w:cs="Arial" w:eastAsia="Arial" w:hAnsi="Arial"/>
                <w:sz w:val="13"/>
                <w:szCs w:val="13"/>
                <w:color w:val="auto"/>
                <w:w w:val="96"/>
              </w:rPr>
              <w:t>LAPTOP DATA PORT ENCLOSURE</w:t>
            </w: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left="530"/>
              <w:spacing w:after="0" w:line="117" w:lineRule="exact"/>
              <w:rPr>
                <w:sz w:val="20"/>
                <w:szCs w:val="20"/>
                <w:color w:val="auto"/>
              </w:rPr>
            </w:pPr>
            <w:r>
              <w:rPr>
                <w:rFonts w:ascii="Arial" w:cs="Arial" w:eastAsia="Arial" w:hAnsi="Arial"/>
                <w:sz w:val="13"/>
                <w:szCs w:val="13"/>
                <w:color w:val="auto"/>
                <w:w w:val="96"/>
              </w:rPr>
              <w:t>D91645</w:t>
            </w:r>
          </w:p>
        </w:tc>
        <w:tc>
          <w:tcPr>
            <w:tcW w:w="9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467"/>
              <w:spacing w:after="0" w:line="117" w:lineRule="exact"/>
              <w:rPr>
                <w:sz w:val="20"/>
                <w:szCs w:val="20"/>
                <w:color w:val="auto"/>
              </w:rPr>
            </w:pPr>
            <w:r>
              <w:rPr>
                <w:rFonts w:ascii="Arial" w:cs="Arial" w:eastAsia="Arial" w:hAnsi="Arial"/>
                <w:sz w:val="13"/>
                <w:szCs w:val="13"/>
                <w:color w:val="auto"/>
                <w:w w:val="93"/>
              </w:rPr>
              <w:t>2/28/2001</w:t>
            </w:r>
          </w:p>
        </w:tc>
        <w:tc>
          <w:tcPr>
            <w:tcW w:w="200" w:type="dxa"/>
            <w:vAlign w:val="bottom"/>
            <w:tcBorders>
              <w:bottom w:val="single" w:sz="8" w:color="auto"/>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20" w:type="dxa"/>
            <w:vAlign w:val="bottom"/>
            <w:tcBorders>
              <w:left w:val="single" w:sz="8" w:color="auto"/>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left="407"/>
              <w:spacing w:after="0" w:line="117" w:lineRule="exact"/>
              <w:rPr>
                <w:sz w:val="20"/>
                <w:szCs w:val="20"/>
                <w:color w:val="auto"/>
              </w:rPr>
            </w:pPr>
            <w:r>
              <w:rPr>
                <w:rFonts w:ascii="Arial" w:cs="Arial" w:eastAsia="Arial" w:hAnsi="Arial"/>
                <w:sz w:val="13"/>
                <w:szCs w:val="13"/>
                <w:color w:val="auto"/>
                <w:w w:val="95"/>
              </w:rPr>
              <w:t>DATAPORT</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left="530"/>
              <w:spacing w:after="0" w:line="117" w:lineRule="exact"/>
              <w:rPr>
                <w:sz w:val="20"/>
                <w:szCs w:val="20"/>
                <w:color w:val="auto"/>
              </w:rPr>
            </w:pPr>
            <w:r>
              <w:rPr>
                <w:rFonts w:ascii="Arial" w:cs="Arial" w:eastAsia="Arial" w:hAnsi="Arial"/>
                <w:sz w:val="13"/>
                <w:szCs w:val="13"/>
                <w:color w:val="auto"/>
                <w:w w:val="92"/>
              </w:rPr>
              <w:t>D423,474</w:t>
            </w:r>
          </w:p>
        </w:tc>
        <w:tc>
          <w:tcPr>
            <w:tcW w:w="9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467"/>
              <w:spacing w:after="0" w:line="117" w:lineRule="exact"/>
              <w:rPr>
                <w:sz w:val="20"/>
                <w:szCs w:val="20"/>
                <w:color w:val="auto"/>
              </w:rPr>
            </w:pPr>
            <w:r>
              <w:rPr>
                <w:rFonts w:ascii="Arial" w:cs="Arial" w:eastAsia="Arial" w:hAnsi="Arial"/>
                <w:sz w:val="13"/>
                <w:szCs w:val="13"/>
                <w:color w:val="auto"/>
                <w:w w:val="93"/>
              </w:rPr>
              <w:t>4/25/2000</w:t>
            </w:r>
          </w:p>
        </w:tc>
        <w:tc>
          <w:tcPr>
            <w:tcW w:w="200" w:type="dxa"/>
            <w:vAlign w:val="bottom"/>
            <w:tcBorders>
              <w:bottom w:val="single" w:sz="8" w:color="auto"/>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240" w:type="dxa"/>
            <w:vAlign w:val="bottom"/>
            <w:tcBorders>
              <w:left w:val="single" w:sz="8" w:color="auto"/>
              <w:right w:val="single" w:sz="8" w:color="auto"/>
            </w:tcBorders>
            <w:gridSpan w:val="11"/>
          </w:tcPr>
          <w:p>
            <w:pPr>
              <w:jc w:val="center"/>
              <w:spacing w:after="0" w:line="99" w:lineRule="exact"/>
              <w:rPr>
                <w:sz w:val="20"/>
                <w:szCs w:val="20"/>
                <w:color w:val="auto"/>
              </w:rPr>
            </w:pPr>
            <w:r>
              <w:rPr>
                <w:rFonts w:ascii="Arial" w:cs="Arial" w:eastAsia="Arial" w:hAnsi="Arial"/>
                <w:sz w:val="11"/>
                <w:szCs w:val="11"/>
                <w:color w:val="auto"/>
              </w:rPr>
              <w:t>METHOD AND APPARATUS FOR FORMING, PACKAGING, AND</w:t>
            </w:r>
          </w:p>
        </w:tc>
        <w:tc>
          <w:tcPr>
            <w:tcW w:w="280" w:type="dxa"/>
            <w:vAlign w:val="bottom"/>
          </w:tcPr>
          <w:p>
            <w:pPr>
              <w:spacing w:after="0"/>
              <w:rPr>
                <w:sz w:val="8"/>
                <w:szCs w:val="8"/>
                <w:color w:val="auto"/>
              </w:rPr>
            </w:pPr>
          </w:p>
        </w:tc>
        <w:tc>
          <w:tcPr>
            <w:tcW w:w="1200" w:type="dxa"/>
            <w:vAlign w:val="bottom"/>
            <w:gridSpan w:val="2"/>
          </w:tcPr>
          <w:p>
            <w:pPr>
              <w:jc w:val="center"/>
              <w:ind w:left="530"/>
              <w:spacing w:after="0" w:line="99" w:lineRule="exact"/>
              <w:rPr>
                <w:sz w:val="20"/>
                <w:szCs w:val="20"/>
                <w:color w:val="auto"/>
              </w:rPr>
            </w:pPr>
            <w:r>
              <w:rPr>
                <w:rFonts w:ascii="Arial" w:cs="Arial" w:eastAsia="Arial" w:hAnsi="Arial"/>
                <w:sz w:val="11"/>
                <w:szCs w:val="11"/>
                <w:color w:val="auto"/>
              </w:rPr>
              <w:t>6,021,626</w:t>
            </w:r>
          </w:p>
        </w:tc>
        <w:tc>
          <w:tcPr>
            <w:tcW w:w="92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gridSpan w:val="2"/>
          </w:tcPr>
          <w:p>
            <w:pPr>
              <w:jc w:val="center"/>
              <w:ind w:right="447"/>
              <w:spacing w:after="0" w:line="99" w:lineRule="exact"/>
              <w:rPr>
                <w:sz w:val="20"/>
                <w:szCs w:val="20"/>
                <w:color w:val="auto"/>
              </w:rPr>
            </w:pPr>
            <w:r>
              <w:rPr>
                <w:rFonts w:ascii="Arial" w:cs="Arial" w:eastAsia="Arial" w:hAnsi="Arial"/>
                <w:sz w:val="11"/>
                <w:szCs w:val="11"/>
                <w:color w:val="auto"/>
              </w:rPr>
              <w:t>2/8/2000</w:t>
            </w:r>
          </w:p>
        </w:tc>
        <w:tc>
          <w:tcPr>
            <w:tcW w:w="200" w:type="dxa"/>
            <w:vAlign w:val="bottom"/>
            <w:tcBorders>
              <w:right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020" w:type="dxa"/>
            <w:vAlign w:val="bottom"/>
            <w:tcBorders>
              <w:left w:val="single" w:sz="8" w:color="auto"/>
              <w:bottom w:val="single" w:sz="8" w:color="auto"/>
            </w:tcBorders>
          </w:tcPr>
          <w:p>
            <w:pPr>
              <w:spacing w:after="0"/>
              <w:rPr>
                <w:sz w:val="12"/>
                <w:szCs w:val="12"/>
                <w:color w:val="auto"/>
              </w:rPr>
            </w:pPr>
          </w:p>
        </w:tc>
        <w:tc>
          <w:tcPr>
            <w:tcW w:w="2200" w:type="dxa"/>
            <w:vAlign w:val="bottom"/>
            <w:tcBorders>
              <w:bottom w:val="single" w:sz="8" w:color="auto"/>
            </w:tcBorders>
            <w:gridSpan w:val="7"/>
          </w:tcPr>
          <w:p>
            <w:pPr>
              <w:jc w:val="center"/>
              <w:spacing w:after="0" w:line="146" w:lineRule="exact"/>
              <w:rPr>
                <w:sz w:val="20"/>
                <w:szCs w:val="20"/>
                <w:color w:val="auto"/>
              </w:rPr>
            </w:pPr>
            <w:r>
              <w:rPr>
                <w:rFonts w:ascii="Arial" w:cs="Arial" w:eastAsia="Arial" w:hAnsi="Arial"/>
                <w:sz w:val="13"/>
                <w:szCs w:val="13"/>
                <w:color w:val="auto"/>
              </w:rPr>
              <w:t>VENDING CLOTHING ARTICLES</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60" w:type="dxa"/>
            <w:vAlign w:val="bottom"/>
            <w:tcBorders>
              <w:bottom w:val="single" w:sz="8" w:color="auto"/>
            </w:tcBorders>
            <w:gridSpan w:val="3"/>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bottom w:val="single" w:sz="8" w:color="auto"/>
            </w:tcBorders>
            <w:gridSpan w:val="3"/>
          </w:tcPr>
          <w:p>
            <w:pPr>
              <w:ind w:left="100"/>
              <w:spacing w:after="0" w:line="162" w:lineRule="exact"/>
              <w:rPr>
                <w:sz w:val="20"/>
                <w:szCs w:val="20"/>
                <w:color w:val="auto"/>
              </w:rPr>
            </w:pPr>
            <w:r>
              <w:rPr>
                <w:rFonts w:ascii="Arial" w:cs="Arial" w:eastAsia="Arial" w:hAnsi="Arial"/>
                <w:sz w:val="15"/>
                <w:szCs w:val="15"/>
                <w:color w:val="auto"/>
                <w:w w:val="87"/>
              </w:rPr>
              <w:t>USA Technologies Patent Report</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Reference #</w:t>
            </w:r>
          </w:p>
        </w:tc>
        <w:tc>
          <w:tcPr>
            <w:tcW w:w="2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Title</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CNTRY</w:t>
            </w:r>
          </w:p>
        </w:tc>
        <w:tc>
          <w:tcPr>
            <w:tcW w:w="118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Serial #</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Filed Date</w:t>
            </w:r>
          </w:p>
        </w:tc>
        <w:tc>
          <w:tcPr>
            <w:tcW w:w="70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Patent #</w:t>
            </w: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Issue Date</w:t>
            </w:r>
          </w:p>
        </w:tc>
        <w:tc>
          <w:tcPr>
            <w:tcW w:w="110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Status</w:t>
            </w:r>
          </w:p>
        </w:tc>
        <w:tc>
          <w:tcPr>
            <w:tcW w:w="52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w w:val="87"/>
              </w:rPr>
              <w:t>Expirati</w:t>
            </w: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1"/>
              </w:rPr>
              <w:t>USE-5434US3</w:t>
            </w:r>
          </w:p>
        </w:tc>
        <w:tc>
          <w:tcPr>
            <w:tcW w:w="280" w:type="dxa"/>
            <w:vAlign w:val="bottom"/>
            <w:tcBorders>
              <w:right w:val="single" w:sz="8" w:color="auto"/>
            </w:tcBorders>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5"/>
                <w:szCs w:val="15"/>
                <w:color w:val="auto"/>
                <w:w w:val="98"/>
              </w:rPr>
              <w:t>DYNAMIC</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w w:val="97"/>
              </w:rPr>
              <w:t>IDENTIFICATION</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09/734,129</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12/11/2000</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6,754,641</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6/22/2004</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4/17/20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8"/>
              </w:rPr>
              <w:t>INTERCHANGE</w:t>
            </w:r>
          </w:p>
        </w:tc>
        <w:tc>
          <w:tcPr>
            <w:tcW w:w="120" w:type="dxa"/>
            <w:vAlign w:val="bottom"/>
          </w:tcPr>
          <w:p>
            <w:pPr>
              <w:spacing w:after="0"/>
              <w:rPr>
                <w:sz w:val="13"/>
                <w:szCs w:val="13"/>
                <w:color w:val="auto"/>
              </w:rPr>
            </w:pPr>
          </w:p>
        </w:tc>
        <w:tc>
          <w:tcPr>
            <w:tcW w:w="860" w:type="dxa"/>
            <w:vAlign w:val="bottom"/>
            <w:gridSpan w:val="3"/>
          </w:tcPr>
          <w:p>
            <w:pPr>
              <w:jc w:val="center"/>
              <w:ind w:right="87"/>
              <w:spacing w:after="0" w:line="155" w:lineRule="exact"/>
              <w:rPr>
                <w:sz w:val="20"/>
                <w:szCs w:val="20"/>
                <w:color w:val="auto"/>
              </w:rPr>
            </w:pPr>
            <w:r>
              <w:rPr>
                <w:rFonts w:ascii="Arial" w:cs="Arial" w:eastAsia="Arial" w:hAnsi="Arial"/>
                <w:sz w:val="15"/>
                <w:szCs w:val="15"/>
                <w:color w:val="auto"/>
                <w:w w:val="95"/>
              </w:rPr>
              <w:t>METHOD</w:t>
            </w:r>
          </w:p>
        </w:tc>
        <w:tc>
          <w:tcPr>
            <w:tcW w:w="42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94"/>
              </w:rPr>
              <w:t>FOR</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EXCHANGING</w:t>
            </w:r>
          </w:p>
        </w:tc>
        <w:tc>
          <w:tcPr>
            <w:tcW w:w="440" w:type="dxa"/>
            <w:vAlign w:val="bottom"/>
            <w:gridSpan w:val="2"/>
          </w:tcPr>
          <w:p>
            <w:pPr>
              <w:jc w:val="right"/>
              <w:ind w:right="27"/>
              <w:spacing w:after="0" w:line="155" w:lineRule="exact"/>
              <w:rPr>
                <w:sz w:val="20"/>
                <w:szCs w:val="20"/>
                <w:color w:val="auto"/>
              </w:rPr>
            </w:pPr>
            <w:r>
              <w:rPr>
                <w:rFonts w:ascii="Arial" w:cs="Arial" w:eastAsia="Arial" w:hAnsi="Arial"/>
                <w:sz w:val="15"/>
                <w:szCs w:val="15"/>
                <w:color w:val="auto"/>
                <w:w w:val="98"/>
              </w:rPr>
              <w:t>ONE</w:t>
            </w:r>
          </w:p>
        </w:tc>
        <w:tc>
          <w:tcPr>
            <w:tcW w:w="540" w:type="dxa"/>
            <w:vAlign w:val="bottom"/>
            <w:gridSpan w:val="2"/>
          </w:tcPr>
          <w:p>
            <w:pPr>
              <w:ind w:left="80"/>
              <w:spacing w:after="0" w:line="155" w:lineRule="exact"/>
              <w:rPr>
                <w:sz w:val="20"/>
                <w:szCs w:val="20"/>
                <w:color w:val="auto"/>
              </w:rPr>
            </w:pPr>
            <w:r>
              <w:rPr>
                <w:rFonts w:ascii="Arial" w:cs="Arial" w:eastAsia="Arial" w:hAnsi="Arial"/>
                <w:sz w:val="15"/>
                <w:szCs w:val="15"/>
                <w:color w:val="auto"/>
                <w:w w:val="99"/>
              </w:rPr>
              <w:t>FORM</w:t>
            </w:r>
          </w:p>
        </w:tc>
        <w:tc>
          <w:tcPr>
            <w:tcW w:w="42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OF</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8"/>
          </w:tcPr>
          <w:p>
            <w:pPr>
              <w:ind w:left="60"/>
              <w:spacing w:after="0" w:line="169" w:lineRule="exact"/>
              <w:rPr>
                <w:sz w:val="20"/>
                <w:szCs w:val="20"/>
                <w:color w:val="auto"/>
              </w:rPr>
            </w:pPr>
            <w:r>
              <w:rPr>
                <w:rFonts w:ascii="Arial" w:cs="Arial" w:eastAsia="Arial" w:hAnsi="Arial"/>
                <w:sz w:val="15"/>
                <w:szCs w:val="15"/>
                <w:color w:val="auto"/>
              </w:rPr>
              <w:t>IDENTIFICATION FOR ANOTHER</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9"/>
              </w:rPr>
              <w:t>USE-543US3</w:t>
            </w:r>
          </w:p>
        </w:tc>
        <w:tc>
          <w:tcPr>
            <w:tcW w:w="28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gridSpan w:val="8"/>
          </w:tcPr>
          <w:p>
            <w:pPr>
              <w:ind w:left="60"/>
              <w:spacing w:after="0" w:line="130" w:lineRule="exact"/>
              <w:rPr>
                <w:sz w:val="20"/>
                <w:szCs w:val="20"/>
                <w:color w:val="auto"/>
              </w:rPr>
            </w:pPr>
            <w:r>
              <w:rPr>
                <w:rFonts w:ascii="Arial" w:cs="Arial" w:eastAsia="Arial" w:hAnsi="Arial"/>
                <w:sz w:val="15"/>
                <w:szCs w:val="15"/>
                <w:color w:val="auto"/>
              </w:rPr>
              <w:t>METHOD TO OBTAIN CUSTOMER</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09/635,306</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8/9/2000</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6,606,605</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8/12/2003</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4/16/20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ind w:left="60"/>
              <w:spacing w:after="0" w:line="155" w:lineRule="exact"/>
              <w:rPr>
                <w:sz w:val="20"/>
                <w:szCs w:val="20"/>
                <w:color w:val="auto"/>
              </w:rPr>
            </w:pPr>
            <w:r>
              <w:rPr>
                <w:rFonts w:ascii="Arial" w:cs="Arial" w:eastAsia="Arial" w:hAnsi="Arial"/>
                <w:sz w:val="15"/>
                <w:szCs w:val="15"/>
                <w:color w:val="auto"/>
                <w:w w:val="98"/>
              </w:rPr>
              <w:t>SPECIFIC</w:t>
            </w:r>
          </w:p>
        </w:tc>
        <w:tc>
          <w:tcPr>
            <w:tcW w:w="520" w:type="dxa"/>
            <w:vAlign w:val="bottom"/>
            <w:gridSpan w:val="3"/>
          </w:tcPr>
          <w:p>
            <w:pPr>
              <w:ind w:left="120"/>
              <w:spacing w:after="0" w:line="155" w:lineRule="exact"/>
              <w:rPr>
                <w:sz w:val="20"/>
                <w:szCs w:val="20"/>
                <w:color w:val="auto"/>
              </w:rPr>
            </w:pPr>
            <w:r>
              <w:rPr>
                <w:rFonts w:ascii="Arial" w:cs="Arial" w:eastAsia="Arial" w:hAnsi="Arial"/>
                <w:sz w:val="15"/>
                <w:szCs w:val="15"/>
                <w:color w:val="auto"/>
                <w:w w:val="94"/>
              </w:rPr>
              <w:t>DATA</w:t>
            </w:r>
          </w:p>
        </w:tc>
        <w:tc>
          <w:tcPr>
            <w:tcW w:w="64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FOR</w:t>
            </w:r>
          </w:p>
        </w:tc>
        <w:tc>
          <w:tcPr>
            <w:tcW w:w="6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5"/>
              </w:rPr>
              <w:t>PUBLIC</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8"/>
          </w:tcPr>
          <w:p>
            <w:pPr>
              <w:ind w:left="60"/>
              <w:spacing w:after="0" w:line="155" w:lineRule="exact"/>
              <w:rPr>
                <w:sz w:val="20"/>
                <w:szCs w:val="20"/>
                <w:color w:val="auto"/>
              </w:rPr>
            </w:pPr>
            <w:r>
              <w:rPr>
                <w:rFonts w:ascii="Arial" w:cs="Arial" w:eastAsia="Arial" w:hAnsi="Arial"/>
                <w:sz w:val="15"/>
                <w:szCs w:val="15"/>
                <w:color w:val="auto"/>
                <w:w w:val="96"/>
              </w:rPr>
              <w:t>ACCESS ELECTRONIC COMMERCE</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w w:val="89"/>
              </w:rPr>
              <w:t>SERVICES</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9"/>
              </w:rPr>
              <w:t>USE-5444US</w:t>
            </w:r>
          </w:p>
        </w:tc>
        <w:tc>
          <w:tcPr>
            <w:tcW w:w="280" w:type="dxa"/>
            <w:vAlign w:val="bottom"/>
            <w:tcBorders>
              <w:right w:val="single" w:sz="8" w:color="auto"/>
            </w:tcBorders>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7"/>
              </w:rPr>
              <w:t>ELECTRONIC</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w w:val="94"/>
              </w:rPr>
              <w:t>COMMERCE</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29/120,874</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3/28/2000</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5"/>
              </w:rPr>
              <w:t>D441,401</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5/1/2001</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5/1/201</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TERMINAL</w:t>
            </w:r>
          </w:p>
        </w:tc>
        <w:tc>
          <w:tcPr>
            <w:tcW w:w="900" w:type="dxa"/>
            <w:vAlign w:val="bottom"/>
            <w:gridSpan w:val="4"/>
          </w:tcPr>
          <w:p>
            <w:pPr>
              <w:spacing w:after="0" w:line="155" w:lineRule="exact"/>
              <w:rPr>
                <w:sz w:val="20"/>
                <w:szCs w:val="20"/>
                <w:color w:val="auto"/>
              </w:rPr>
            </w:pPr>
            <w:r>
              <w:rPr>
                <w:rFonts w:ascii="Arial" w:cs="Arial" w:eastAsia="Arial" w:hAnsi="Arial"/>
                <w:sz w:val="15"/>
                <w:szCs w:val="15"/>
                <w:color w:val="auto"/>
                <w:w w:val="94"/>
              </w:rPr>
              <w:t>ENCLOSURE</w:t>
            </w:r>
          </w:p>
        </w:tc>
        <w:tc>
          <w:tcPr>
            <w:tcW w:w="6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WITH</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BRACKETS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USE-647US</w:t>
            </w:r>
          </w:p>
        </w:tc>
        <w:tc>
          <w:tcPr>
            <w:tcW w:w="280" w:type="dxa"/>
            <w:vAlign w:val="bottom"/>
            <w:tcBorders>
              <w:right w:val="single" w:sz="8" w:color="auto"/>
            </w:tcBorders>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5"/>
                <w:szCs w:val="15"/>
                <w:color w:val="auto"/>
              </w:rPr>
              <w:t>METHOD</w:t>
            </w:r>
          </w:p>
        </w:tc>
        <w:tc>
          <w:tcPr>
            <w:tcW w:w="260" w:type="dxa"/>
            <w:vAlign w:val="bottom"/>
          </w:tcPr>
          <w:p>
            <w:pPr>
              <w:ind w:left="40"/>
              <w:spacing w:after="0" w:line="130" w:lineRule="exact"/>
              <w:rPr>
                <w:sz w:val="20"/>
                <w:szCs w:val="20"/>
                <w:color w:val="auto"/>
              </w:rPr>
            </w:pPr>
            <w:r>
              <w:rPr>
                <w:rFonts w:ascii="Arial" w:cs="Arial" w:eastAsia="Arial" w:hAnsi="Arial"/>
                <w:sz w:val="15"/>
                <w:szCs w:val="15"/>
                <w:color w:val="auto"/>
                <w:w w:val="95"/>
              </w:rPr>
              <w:t>OF</w:t>
            </w:r>
          </w:p>
        </w:tc>
        <w:tc>
          <w:tcPr>
            <w:tcW w:w="1540" w:type="dxa"/>
            <w:vAlign w:val="bottom"/>
            <w:tcBorders>
              <w:right w:val="single" w:sz="8" w:color="auto"/>
            </w:tcBorders>
            <w:gridSpan w:val="6"/>
          </w:tcPr>
          <w:p>
            <w:pPr>
              <w:jc w:val="right"/>
              <w:ind w:right="27"/>
              <w:spacing w:after="0" w:line="130" w:lineRule="exact"/>
              <w:rPr>
                <w:sz w:val="20"/>
                <w:szCs w:val="20"/>
                <w:color w:val="auto"/>
              </w:rPr>
            </w:pPr>
            <w:r>
              <w:rPr>
                <w:rFonts w:ascii="Arial" w:cs="Arial" w:eastAsia="Arial" w:hAnsi="Arial"/>
                <w:sz w:val="15"/>
                <w:szCs w:val="15"/>
                <w:color w:val="auto"/>
              </w:rPr>
              <w:t>CONSTRUCTING  A</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10/106,151</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3/26/2002</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7,805,338</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9/28/2010</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3/26/20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8"/>
          </w:tcPr>
          <w:p>
            <w:pPr>
              <w:ind w:left="60"/>
              <w:spacing w:after="0" w:line="155" w:lineRule="exact"/>
              <w:rPr>
                <w:sz w:val="20"/>
                <w:szCs w:val="20"/>
                <w:color w:val="auto"/>
              </w:rPr>
            </w:pPr>
            <w:r>
              <w:rPr>
                <w:rFonts w:ascii="Arial" w:cs="Arial" w:eastAsia="Arial" w:hAnsi="Arial"/>
                <w:sz w:val="15"/>
                <w:szCs w:val="15"/>
                <w:color w:val="auto"/>
                <w:w w:val="98"/>
              </w:rPr>
              <w:t>DIGITAL CONTENT PLAY LIST FOR</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4"/>
              </w:rPr>
              <w:t>TRANSMISSION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94"/>
              </w:rPr>
              <w:t>AND</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2"/>
              </w:rPr>
              <w:t>PRESENTATION</w:t>
            </w:r>
          </w:p>
        </w:tc>
        <w:tc>
          <w:tcPr>
            <w:tcW w:w="120" w:type="dxa"/>
            <w:vAlign w:val="bottom"/>
          </w:tcPr>
          <w:p>
            <w:pPr>
              <w:spacing w:after="0"/>
              <w:rPr>
                <w:sz w:val="13"/>
                <w:szCs w:val="13"/>
                <w:color w:val="auto"/>
              </w:rPr>
            </w:pPr>
          </w:p>
        </w:tc>
        <w:tc>
          <w:tcPr>
            <w:tcW w:w="320" w:type="dxa"/>
            <w:vAlign w:val="bottom"/>
          </w:tcPr>
          <w:p>
            <w:pPr>
              <w:jc w:val="right"/>
              <w:ind w:right="27"/>
              <w:spacing w:after="0" w:line="155" w:lineRule="exact"/>
              <w:rPr>
                <w:sz w:val="20"/>
                <w:szCs w:val="20"/>
                <w:color w:val="auto"/>
              </w:rPr>
            </w:pPr>
            <w:r>
              <w:rPr>
                <w:rFonts w:ascii="Arial" w:cs="Arial" w:eastAsia="Arial" w:hAnsi="Arial"/>
                <w:sz w:val="15"/>
                <w:szCs w:val="15"/>
                <w:color w:val="auto"/>
                <w:w w:val="88"/>
              </w:rPr>
              <w:t>ON</w:t>
            </w:r>
          </w:p>
        </w:tc>
        <w:tc>
          <w:tcPr>
            <w:tcW w:w="320" w:type="dxa"/>
            <w:vAlign w:val="bottom"/>
          </w:tcPr>
          <w:p>
            <w:pPr>
              <w:ind w:left="60"/>
              <w:spacing w:after="0" w:line="155" w:lineRule="exact"/>
              <w:rPr>
                <w:sz w:val="20"/>
                <w:szCs w:val="20"/>
                <w:color w:val="auto"/>
              </w:rPr>
            </w:pPr>
            <w:r>
              <w:rPr>
                <w:rFonts w:ascii="Arial" w:cs="Arial" w:eastAsia="Arial" w:hAnsi="Arial"/>
                <w:sz w:val="15"/>
                <w:szCs w:val="15"/>
                <w:color w:val="auto"/>
              </w:rPr>
              <w:t>A</w:t>
            </w:r>
          </w:p>
        </w:tc>
        <w:tc>
          <w:tcPr>
            <w:tcW w:w="6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5"/>
              </w:rPr>
              <w:t>PUBLIC</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8"/>
          </w:tcPr>
          <w:p>
            <w:pPr>
              <w:ind w:left="60"/>
              <w:spacing w:after="0" w:line="169" w:lineRule="exact"/>
              <w:rPr>
                <w:sz w:val="20"/>
                <w:szCs w:val="20"/>
                <w:color w:val="auto"/>
              </w:rPr>
            </w:pPr>
            <w:r>
              <w:rPr>
                <w:rFonts w:ascii="Arial" w:cs="Arial" w:eastAsia="Arial" w:hAnsi="Arial"/>
                <w:sz w:val="15"/>
                <w:szCs w:val="15"/>
                <w:color w:val="auto"/>
              </w:rPr>
              <w:t>ACCESS ELECTRONIC TERMINAL</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USE-656US</w:t>
            </w:r>
          </w:p>
        </w:tc>
        <w:tc>
          <w:tcPr>
            <w:tcW w:w="280" w:type="dxa"/>
            <w:vAlign w:val="bottom"/>
            <w:tcBorders>
              <w:right w:val="single" w:sz="8" w:color="auto"/>
            </w:tcBorders>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AN   IN-VEHICLE</w:t>
            </w:r>
          </w:p>
        </w:tc>
        <w:tc>
          <w:tcPr>
            <w:tcW w:w="860" w:type="dxa"/>
            <w:vAlign w:val="bottom"/>
            <w:gridSpan w:val="3"/>
          </w:tcPr>
          <w:p>
            <w:pPr>
              <w:ind w:left="180"/>
              <w:spacing w:after="0" w:line="130" w:lineRule="exact"/>
              <w:rPr>
                <w:sz w:val="20"/>
                <w:szCs w:val="20"/>
                <w:color w:val="auto"/>
              </w:rPr>
            </w:pPr>
            <w:r>
              <w:rPr>
                <w:rFonts w:ascii="Arial" w:cs="Arial" w:eastAsia="Arial" w:hAnsi="Arial"/>
                <w:sz w:val="15"/>
                <w:szCs w:val="15"/>
                <w:color w:val="auto"/>
              </w:rPr>
              <w:t>DEVICE</w:t>
            </w:r>
          </w:p>
        </w:tc>
        <w:tc>
          <w:tcPr>
            <w:tcW w:w="42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94"/>
              </w:rPr>
              <w:t>FOR</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09/556,543</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4/24/2000</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6,856,820</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2/15/2005</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4/24/20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8"/>
              </w:rPr>
              <w:t>WIRELESSLY</w:t>
            </w:r>
          </w:p>
        </w:tc>
        <w:tc>
          <w:tcPr>
            <w:tcW w:w="140" w:type="dxa"/>
            <w:vAlign w:val="bottom"/>
          </w:tcPr>
          <w:p>
            <w:pPr>
              <w:spacing w:after="0"/>
              <w:rPr>
                <w:sz w:val="13"/>
                <w:szCs w:val="13"/>
                <w:color w:val="auto"/>
              </w:rPr>
            </w:pPr>
          </w:p>
        </w:tc>
        <w:tc>
          <w:tcPr>
            <w:tcW w:w="98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3"/>
              </w:rPr>
              <w:t>CONNECTING</w:t>
            </w:r>
          </w:p>
        </w:tc>
        <w:tc>
          <w:tcPr>
            <w:tcW w:w="42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8"/>
          </w:tcPr>
          <w:p>
            <w:pPr>
              <w:ind w:left="60"/>
              <w:spacing w:after="0" w:line="155" w:lineRule="exact"/>
              <w:rPr>
                <w:sz w:val="20"/>
                <w:szCs w:val="20"/>
                <w:color w:val="auto"/>
              </w:rPr>
            </w:pPr>
            <w:r>
              <w:rPr>
                <w:rFonts w:ascii="Arial" w:cs="Arial" w:eastAsia="Arial" w:hAnsi="Arial"/>
                <w:sz w:val="15"/>
                <w:szCs w:val="15"/>
                <w:color w:val="auto"/>
              </w:rPr>
              <w:t>VEHICLE TO THE INTERNET AND</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8"/>
          </w:tcPr>
          <w:p>
            <w:pPr>
              <w:ind w:left="60"/>
              <w:spacing w:after="0" w:line="155" w:lineRule="exact"/>
              <w:rPr>
                <w:sz w:val="20"/>
                <w:szCs w:val="20"/>
                <w:color w:val="auto"/>
              </w:rPr>
            </w:pPr>
            <w:r>
              <w:rPr>
                <w:rFonts w:ascii="Arial" w:cs="Arial" w:eastAsia="Arial" w:hAnsi="Arial"/>
                <w:sz w:val="15"/>
                <w:szCs w:val="15"/>
                <w:color w:val="auto"/>
                <w:w w:val="97"/>
              </w:rPr>
              <w:t>FOR TRANSACTING E-COMMERCE</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w w:val="94"/>
              </w:rPr>
              <w:t>AND E-BUSINESS</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USE-657US</w:t>
            </w:r>
          </w:p>
        </w:tc>
        <w:tc>
          <w:tcPr>
            <w:tcW w:w="280" w:type="dxa"/>
            <w:vAlign w:val="bottom"/>
            <w:tcBorders>
              <w:right w:val="single" w:sz="8" w:color="auto"/>
            </w:tcBorders>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5"/>
                <w:szCs w:val="15"/>
                <w:color w:val="auto"/>
              </w:rPr>
              <w:t>VEHICLE</w:t>
            </w:r>
          </w:p>
        </w:tc>
        <w:tc>
          <w:tcPr>
            <w:tcW w:w="840" w:type="dxa"/>
            <w:vAlign w:val="bottom"/>
            <w:gridSpan w:val="4"/>
          </w:tcPr>
          <w:p>
            <w:pPr>
              <w:jc w:val="right"/>
              <w:spacing w:after="0" w:line="130" w:lineRule="exact"/>
              <w:rPr>
                <w:sz w:val="20"/>
                <w:szCs w:val="20"/>
                <w:color w:val="auto"/>
              </w:rPr>
            </w:pPr>
            <w:r>
              <w:rPr>
                <w:rFonts w:ascii="Arial" w:cs="Arial" w:eastAsia="Arial" w:hAnsi="Arial"/>
                <w:sz w:val="15"/>
                <w:szCs w:val="15"/>
                <w:color w:val="auto"/>
              </w:rPr>
              <w:t>RELATED</w:t>
            </w:r>
          </w:p>
        </w:tc>
        <w:tc>
          <w:tcPr>
            <w:tcW w:w="96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rPr>
              <w:t>WIRELESS</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10/115,547</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4/3/2002</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6,895,310</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5/17/2005</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4/24/20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SCIENTIFIC</w:t>
            </w:r>
          </w:p>
        </w:tc>
        <w:tc>
          <w:tcPr>
            <w:tcW w:w="1540" w:type="dxa"/>
            <w:vAlign w:val="bottom"/>
            <w:tcBorders>
              <w:right w:val="single" w:sz="8" w:color="auto"/>
            </w:tcBorders>
            <w:gridSpan w:val="6"/>
          </w:tcPr>
          <w:p>
            <w:pPr>
              <w:jc w:val="right"/>
              <w:ind w:right="27"/>
              <w:spacing w:after="0" w:line="155" w:lineRule="exact"/>
              <w:rPr>
                <w:sz w:val="20"/>
                <w:szCs w:val="20"/>
                <w:color w:val="auto"/>
              </w:rPr>
            </w:pPr>
            <w:r>
              <w:rPr>
                <w:rFonts w:ascii="Arial" w:cs="Arial" w:eastAsia="Arial" w:hAnsi="Arial"/>
                <w:sz w:val="15"/>
                <w:szCs w:val="15"/>
                <w:color w:val="auto"/>
                <w:w w:val="98"/>
              </w:rPr>
              <w:t>INSTRUMENTATION</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9"/>
              </w:rPr>
              <w:t>TELEMATICS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USE-658US</w:t>
            </w:r>
          </w:p>
        </w:tc>
        <w:tc>
          <w:tcPr>
            <w:tcW w:w="28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gridSpan w:val="8"/>
          </w:tcPr>
          <w:p>
            <w:pPr>
              <w:ind w:left="60"/>
              <w:spacing w:after="0" w:line="130" w:lineRule="exact"/>
              <w:rPr>
                <w:sz w:val="20"/>
                <w:szCs w:val="20"/>
                <w:color w:val="auto"/>
              </w:rPr>
            </w:pPr>
            <w:r>
              <w:rPr>
                <w:rFonts w:ascii="Arial" w:cs="Arial" w:eastAsia="Arial" w:hAnsi="Arial"/>
                <w:sz w:val="15"/>
                <w:szCs w:val="15"/>
                <w:color w:val="auto"/>
                <w:w w:val="97"/>
              </w:rPr>
              <w:t>TRANSACTING E-COMMERCE AND</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09/564,471</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5/3/2000</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6,389,337</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5/14/2002</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4/24/20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CONDUCTING</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92"/>
              </w:rPr>
              <w:t>E-BUSINESS</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ind w:left="60"/>
              <w:spacing w:after="0" w:line="155" w:lineRule="exact"/>
              <w:rPr>
                <w:sz w:val="20"/>
                <w:szCs w:val="20"/>
                <w:color w:val="auto"/>
              </w:rPr>
            </w:pPr>
            <w:r>
              <w:rPr>
                <w:rFonts w:ascii="Arial" w:cs="Arial" w:eastAsia="Arial" w:hAnsi="Arial"/>
                <w:sz w:val="15"/>
                <w:szCs w:val="15"/>
                <w:color w:val="auto"/>
                <w:w w:val="98"/>
              </w:rPr>
              <w:t>RELATED</w:t>
            </w:r>
          </w:p>
        </w:tc>
        <w:tc>
          <w:tcPr>
            <w:tcW w:w="260" w:type="dxa"/>
            <w:vAlign w:val="bottom"/>
          </w:tcPr>
          <w:p>
            <w:pPr>
              <w:ind w:left="60"/>
              <w:spacing w:after="0" w:line="155" w:lineRule="exact"/>
              <w:rPr>
                <w:sz w:val="20"/>
                <w:szCs w:val="20"/>
                <w:color w:val="auto"/>
              </w:rPr>
            </w:pPr>
            <w:r>
              <w:rPr>
                <w:rFonts w:ascii="Arial" w:cs="Arial" w:eastAsia="Arial" w:hAnsi="Arial"/>
                <w:sz w:val="15"/>
                <w:szCs w:val="15"/>
                <w:color w:val="auto"/>
                <w:w w:val="86"/>
              </w:rPr>
              <w:t>TO</w:t>
            </w:r>
          </w:p>
        </w:tc>
        <w:tc>
          <w:tcPr>
            <w:tcW w:w="1120" w:type="dxa"/>
            <w:vAlign w:val="bottom"/>
            <w:gridSpan w:val="5"/>
          </w:tcPr>
          <w:p>
            <w:pPr>
              <w:jc w:val="center"/>
              <w:spacing w:after="0" w:line="155" w:lineRule="exact"/>
              <w:rPr>
                <w:sz w:val="20"/>
                <w:szCs w:val="20"/>
                <w:color w:val="auto"/>
              </w:rPr>
            </w:pPr>
            <w:r>
              <w:rPr>
                <w:rFonts w:ascii="Arial" w:cs="Arial" w:eastAsia="Arial" w:hAnsi="Arial"/>
                <w:sz w:val="15"/>
                <w:szCs w:val="15"/>
                <w:color w:val="auto"/>
                <w:w w:val="98"/>
              </w:rPr>
              <w:t>IDENTIFYING</w:t>
            </w:r>
          </w:p>
        </w:tc>
        <w:tc>
          <w:tcPr>
            <w:tcW w:w="42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94"/>
              </w:rPr>
              <w:t>AND</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PROCURING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AUTOMOTIVE</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ind w:left="60"/>
              <w:spacing w:after="0" w:line="155" w:lineRule="exact"/>
              <w:rPr>
                <w:sz w:val="20"/>
                <w:szCs w:val="20"/>
                <w:color w:val="auto"/>
              </w:rPr>
            </w:pPr>
            <w:r>
              <w:rPr>
                <w:rFonts w:ascii="Arial" w:cs="Arial" w:eastAsia="Arial" w:hAnsi="Arial"/>
                <w:sz w:val="15"/>
                <w:szCs w:val="15"/>
                <w:color w:val="auto"/>
              </w:rPr>
              <w:t>SERVICE</w:t>
            </w:r>
          </w:p>
        </w:tc>
        <w:tc>
          <w:tcPr>
            <w:tcW w:w="260" w:type="dxa"/>
            <w:vAlign w:val="bottom"/>
          </w:tcPr>
          <w:p>
            <w:pPr>
              <w:spacing w:after="0"/>
              <w:rPr>
                <w:sz w:val="13"/>
                <w:szCs w:val="13"/>
                <w:color w:val="auto"/>
              </w:rPr>
            </w:pPr>
          </w:p>
        </w:tc>
        <w:tc>
          <w:tcPr>
            <w:tcW w:w="580" w:type="dxa"/>
            <w:vAlign w:val="bottom"/>
            <w:gridSpan w:val="3"/>
          </w:tcPr>
          <w:p>
            <w:pPr>
              <w:jc w:val="right"/>
              <w:ind w:right="127"/>
              <w:spacing w:after="0" w:line="155" w:lineRule="exact"/>
              <w:rPr>
                <w:sz w:val="20"/>
                <w:szCs w:val="20"/>
                <w:color w:val="auto"/>
              </w:rPr>
            </w:pPr>
            <w:r>
              <w:rPr>
                <w:rFonts w:ascii="Arial" w:cs="Arial" w:eastAsia="Arial" w:hAnsi="Arial"/>
                <w:sz w:val="15"/>
                <w:szCs w:val="15"/>
                <w:color w:val="auto"/>
              </w:rPr>
              <w:t>AND</w:t>
            </w:r>
          </w:p>
        </w:tc>
        <w:tc>
          <w:tcPr>
            <w:tcW w:w="9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VEHICLE</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w w:val="91"/>
              </w:rPr>
              <w:t>REPLACEMENT PARTS</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USE-659US</w:t>
            </w:r>
          </w:p>
        </w:tc>
        <w:tc>
          <w:tcPr>
            <w:tcW w:w="280" w:type="dxa"/>
            <w:vAlign w:val="bottom"/>
            <w:tcBorders>
              <w:right w:val="single" w:sz="8" w:color="auto"/>
            </w:tcBorders>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5"/>
                <w:szCs w:val="15"/>
                <w:color w:val="auto"/>
              </w:rPr>
              <w:t>GLOBAL</w:t>
            </w:r>
          </w:p>
        </w:tc>
        <w:tc>
          <w:tcPr>
            <w:tcW w:w="1160" w:type="dxa"/>
            <w:vAlign w:val="bottom"/>
            <w:gridSpan w:val="5"/>
          </w:tcPr>
          <w:p>
            <w:pPr>
              <w:ind w:left="200"/>
              <w:spacing w:after="0" w:line="130" w:lineRule="exact"/>
              <w:rPr>
                <w:sz w:val="20"/>
                <w:szCs w:val="20"/>
                <w:color w:val="auto"/>
              </w:rPr>
            </w:pPr>
            <w:r>
              <w:rPr>
                <w:rFonts w:ascii="Arial" w:cs="Arial" w:eastAsia="Arial" w:hAnsi="Arial"/>
                <w:sz w:val="15"/>
                <w:szCs w:val="15"/>
                <w:color w:val="auto"/>
              </w:rPr>
              <w:t>NETWORK</w:t>
            </w:r>
          </w:p>
        </w:tc>
        <w:tc>
          <w:tcPr>
            <w:tcW w:w="6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BASED</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10/134,907</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4/29/2002</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6,853,894</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2/8/2005</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4/24/20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8"/>
          </w:tcPr>
          <w:p>
            <w:pPr>
              <w:ind w:left="60"/>
              <w:spacing w:after="0" w:line="155" w:lineRule="exact"/>
              <w:rPr>
                <w:sz w:val="20"/>
                <w:szCs w:val="20"/>
                <w:color w:val="auto"/>
              </w:rPr>
            </w:pPr>
            <w:r>
              <w:rPr>
                <w:rFonts w:ascii="Arial" w:cs="Arial" w:eastAsia="Arial" w:hAnsi="Arial"/>
                <w:sz w:val="15"/>
                <w:szCs w:val="15"/>
                <w:color w:val="auto"/>
              </w:rPr>
              <w:t>VEHICLE SAFETY AND SECURITY</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9"/>
              </w:rPr>
              <w:t>TELEMATICS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USE-660US</w:t>
            </w:r>
          </w:p>
        </w:tc>
        <w:tc>
          <w:tcPr>
            <w:tcW w:w="28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gridSpan w:val="8"/>
          </w:tcPr>
          <w:p>
            <w:pPr>
              <w:ind w:left="60"/>
              <w:spacing w:after="0" w:line="130" w:lineRule="exact"/>
              <w:rPr>
                <w:sz w:val="20"/>
                <w:szCs w:val="20"/>
                <w:color w:val="auto"/>
              </w:rPr>
            </w:pPr>
            <w:r>
              <w:rPr>
                <w:rFonts w:ascii="Arial" w:cs="Arial" w:eastAsia="Arial" w:hAnsi="Arial"/>
                <w:sz w:val="15"/>
                <w:szCs w:val="15"/>
                <w:color w:val="auto"/>
                <w:w w:val="97"/>
              </w:rPr>
              <w:t>WIRELESS VEHICLE DIAGNOSTICS</w:t>
            </w:r>
          </w:p>
        </w:tc>
        <w:tc>
          <w:tcPr>
            <w:tcW w:w="6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US</w:t>
            </w:r>
          </w:p>
        </w:tc>
        <w:tc>
          <w:tcPr>
            <w:tcW w:w="11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10/056,942</w:t>
            </w:r>
          </w:p>
        </w:tc>
        <w:tc>
          <w:tcPr>
            <w:tcW w:w="20" w:type="dxa"/>
            <w:vAlign w:val="bottom"/>
          </w:tcPr>
          <w:p>
            <w:pPr>
              <w:spacing w:after="0"/>
              <w:rPr>
                <w:sz w:val="11"/>
                <w:szCs w:val="11"/>
                <w:color w:val="auto"/>
              </w:rPr>
            </w:pPr>
          </w:p>
        </w:tc>
        <w:tc>
          <w:tcPr>
            <w:tcW w:w="92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5"/>
                <w:szCs w:val="15"/>
                <w:color w:val="auto"/>
              </w:rPr>
              <w:t>1/25/2002</w:t>
            </w:r>
          </w:p>
        </w:tc>
        <w:tc>
          <w:tcPr>
            <w:tcW w:w="700" w:type="dxa"/>
            <w:vAlign w:val="bottom"/>
          </w:tcPr>
          <w:p>
            <w:pPr>
              <w:ind w:left="60"/>
              <w:spacing w:after="0" w:line="130" w:lineRule="exact"/>
              <w:rPr>
                <w:sz w:val="20"/>
                <w:szCs w:val="20"/>
                <w:color w:val="auto"/>
              </w:rPr>
            </w:pPr>
            <w:r>
              <w:rPr>
                <w:rFonts w:ascii="Arial" w:cs="Arial" w:eastAsia="Arial" w:hAnsi="Arial"/>
                <w:sz w:val="15"/>
                <w:szCs w:val="15"/>
                <w:color w:val="auto"/>
                <w:w w:val="92"/>
              </w:rPr>
              <w:t>7,502,672</w:t>
            </w:r>
          </w:p>
        </w:tc>
        <w:tc>
          <w:tcPr>
            <w:tcW w:w="3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3/10/2009</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ind w:left="60"/>
              <w:spacing w:after="0" w:line="130" w:lineRule="exact"/>
              <w:rPr>
                <w:sz w:val="20"/>
                <w:szCs w:val="20"/>
                <w:color w:val="auto"/>
              </w:rPr>
            </w:pPr>
            <w:r>
              <w:rPr>
                <w:rFonts w:ascii="Arial" w:cs="Arial" w:eastAsia="Arial" w:hAnsi="Arial"/>
                <w:sz w:val="15"/>
                <w:szCs w:val="15"/>
                <w:color w:val="auto"/>
                <w:w w:val="87"/>
              </w:rPr>
              <w:t>4/24/20</w:t>
            </w: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ind w:left="60"/>
              <w:spacing w:after="0" w:line="155" w:lineRule="exact"/>
              <w:rPr>
                <w:sz w:val="20"/>
                <w:szCs w:val="20"/>
                <w:color w:val="auto"/>
              </w:rPr>
            </w:pPr>
            <w:r>
              <w:rPr>
                <w:rFonts w:ascii="Arial" w:cs="Arial" w:eastAsia="Arial" w:hAnsi="Arial"/>
                <w:sz w:val="15"/>
                <w:szCs w:val="15"/>
                <w:color w:val="auto"/>
              </w:rPr>
              <w:t>DEVICE</w:t>
            </w:r>
          </w:p>
        </w:tc>
        <w:tc>
          <w:tcPr>
            <w:tcW w:w="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AND</w:t>
            </w:r>
          </w:p>
        </w:tc>
        <w:tc>
          <w:tcPr>
            <w:tcW w:w="760" w:type="dxa"/>
            <w:vAlign w:val="bottom"/>
            <w:gridSpan w:val="3"/>
          </w:tcPr>
          <w:p>
            <w:pPr>
              <w:jc w:val="center"/>
              <w:ind w:left="27"/>
              <w:spacing w:after="0" w:line="155" w:lineRule="exact"/>
              <w:rPr>
                <w:sz w:val="20"/>
                <w:szCs w:val="20"/>
                <w:color w:val="auto"/>
              </w:rPr>
            </w:pPr>
            <w:r>
              <w:rPr>
                <w:rFonts w:ascii="Arial" w:cs="Arial" w:eastAsia="Arial" w:hAnsi="Arial"/>
                <w:sz w:val="15"/>
                <w:szCs w:val="15"/>
                <w:color w:val="auto"/>
                <w:w w:val="95"/>
              </w:rPr>
              <w:t>METHOD</w:t>
            </w:r>
          </w:p>
        </w:tc>
        <w:tc>
          <w:tcPr>
            <w:tcW w:w="6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WITH</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ind w:left="60"/>
              <w:spacing w:after="0" w:line="155" w:lineRule="exact"/>
              <w:rPr>
                <w:sz w:val="20"/>
                <w:szCs w:val="20"/>
                <w:color w:val="auto"/>
              </w:rPr>
            </w:pPr>
            <w:r>
              <w:rPr>
                <w:rFonts w:ascii="Arial" w:cs="Arial" w:eastAsia="Arial" w:hAnsi="Arial"/>
                <w:sz w:val="15"/>
                <w:szCs w:val="15"/>
                <w:color w:val="auto"/>
              </w:rPr>
              <w:t>SERVICE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5"/>
                <w:szCs w:val="15"/>
                <w:color w:val="auto"/>
              </w:rPr>
              <w:t>AND</w:t>
            </w:r>
          </w:p>
        </w:tc>
        <w:tc>
          <w:tcPr>
            <w:tcW w:w="32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PART</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28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6"/>
              </w:rPr>
              <w:t>DETERMINATION</w:t>
            </w:r>
          </w:p>
        </w:tc>
        <w:tc>
          <w:tcPr>
            <w:tcW w:w="128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CAPABILITIES</w:t>
            </w:r>
          </w:p>
        </w:tc>
        <w:tc>
          <w:tcPr>
            <w:tcW w:w="3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8"/>
              </w:rPr>
              <w:t>(AS AMENDED)</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ind w:left="500"/>
              <w:spacing w:after="0"/>
              <w:rPr>
                <w:sz w:val="20"/>
                <w:szCs w:val="20"/>
                <w:color w:val="auto"/>
              </w:rPr>
            </w:pPr>
            <w:r>
              <w:rPr>
                <w:rFonts w:ascii="Arial" w:cs="Arial" w:eastAsia="Arial" w:hAnsi="Arial"/>
                <w:sz w:val="13"/>
                <w:szCs w:val="13"/>
                <w:color w:val="auto"/>
              </w:rPr>
              <w:t>9</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88" w:name="page189"/>
    <w:bookmarkEnd w:id="188"/>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2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USE-661US</w:t>
            </w:r>
          </w:p>
        </w:tc>
        <w:tc>
          <w:tcPr>
            <w:tcW w:w="1340" w:type="dxa"/>
            <w:vAlign w:val="bottom"/>
            <w:tcBorders>
              <w:top w:val="single" w:sz="8" w:color="auto"/>
            </w:tcBorders>
            <w:gridSpan w:val="4"/>
          </w:tcPr>
          <w:p>
            <w:pPr>
              <w:ind w:left="60"/>
              <w:spacing w:after="0" w:line="150" w:lineRule="exact"/>
              <w:rPr>
                <w:sz w:val="20"/>
                <w:szCs w:val="20"/>
                <w:color w:val="auto"/>
              </w:rPr>
            </w:pPr>
            <w:r>
              <w:rPr>
                <w:rFonts w:ascii="Arial" w:cs="Arial" w:eastAsia="Arial" w:hAnsi="Arial"/>
                <w:sz w:val="15"/>
                <w:szCs w:val="15"/>
                <w:color w:val="auto"/>
                <w:w w:val="96"/>
              </w:rPr>
              <w:t>COMMUNICATION</w:t>
            </w:r>
          </w:p>
        </w:tc>
        <w:tc>
          <w:tcPr>
            <w:tcW w:w="1220" w:type="dxa"/>
            <w:vAlign w:val="bottom"/>
            <w:tcBorders>
              <w:top w:val="single" w:sz="8" w:color="auto"/>
              <w:right w:val="single" w:sz="8" w:color="auto"/>
            </w:tcBorders>
            <w:gridSpan w:val="3"/>
          </w:tcPr>
          <w:p>
            <w:pPr>
              <w:jc w:val="right"/>
              <w:ind w:right="27"/>
              <w:spacing w:after="0" w:line="150" w:lineRule="exact"/>
              <w:rPr>
                <w:sz w:val="20"/>
                <w:szCs w:val="20"/>
                <w:color w:val="auto"/>
              </w:rPr>
            </w:pPr>
            <w:r>
              <w:rPr>
                <w:rFonts w:ascii="Arial" w:cs="Arial" w:eastAsia="Arial" w:hAnsi="Arial"/>
                <w:sz w:val="15"/>
                <w:szCs w:val="15"/>
                <w:color w:val="auto"/>
              </w:rPr>
              <w:t>INTERFACE</w:t>
            </w:r>
          </w:p>
        </w:tc>
        <w:tc>
          <w:tcPr>
            <w:tcW w:w="36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rPr>
              <w:t>US</w:t>
            </w:r>
          </w:p>
        </w:tc>
        <w:tc>
          <w:tcPr>
            <w:tcW w:w="20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09/593,881</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6/14/2000</w:t>
            </w:r>
          </w:p>
        </w:tc>
        <w:tc>
          <w:tcPr>
            <w:tcW w:w="1060" w:type="dxa"/>
            <w:vAlign w:val="bottom"/>
            <w:tcBorders>
              <w:top w:val="single" w:sz="8" w:color="auto"/>
              <w:right w:val="single" w:sz="8" w:color="auto"/>
            </w:tcBorders>
          </w:tcPr>
          <w:p>
            <w:pPr>
              <w:jc w:val="right"/>
              <w:ind w:right="327"/>
              <w:spacing w:after="0" w:line="150" w:lineRule="exact"/>
              <w:rPr>
                <w:sz w:val="20"/>
                <w:szCs w:val="20"/>
                <w:color w:val="auto"/>
              </w:rPr>
            </w:pPr>
            <w:r>
              <w:rPr>
                <w:rFonts w:ascii="Arial" w:cs="Arial" w:eastAsia="Arial" w:hAnsi="Arial"/>
                <w:sz w:val="15"/>
                <w:szCs w:val="15"/>
                <w:color w:val="auto"/>
                <w:w w:val="95"/>
              </w:rPr>
              <w:t>7,003,289</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2/21/2006</w:t>
            </w:r>
          </w:p>
        </w:tc>
        <w:tc>
          <w:tcPr>
            <w:tcW w:w="1120" w:type="dxa"/>
            <w:vAlign w:val="bottom"/>
            <w:tcBorders>
              <w:top w:val="single" w:sz="8" w:color="auto"/>
              <w:right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ISSUED</w:t>
            </w:r>
          </w:p>
        </w:tc>
        <w:tc>
          <w:tcPr>
            <w:tcW w:w="5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9"/>
              </w:rPr>
              <w:t>3/17/20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vMerge w:val="continue"/>
          </w:tcPr>
          <w:p>
            <w:pPr>
              <w:spacing w:after="0"/>
              <w:rPr>
                <w:sz w:val="13"/>
                <w:szCs w:val="13"/>
                <w:color w:val="auto"/>
              </w:rPr>
            </w:pPr>
          </w:p>
        </w:tc>
        <w:tc>
          <w:tcPr>
            <w:tcW w:w="640" w:type="dxa"/>
            <w:vAlign w:val="bottom"/>
          </w:tcPr>
          <w:p>
            <w:pPr>
              <w:ind w:left="60"/>
              <w:spacing w:after="0" w:line="155" w:lineRule="exact"/>
              <w:rPr>
                <w:sz w:val="20"/>
                <w:szCs w:val="20"/>
                <w:color w:val="auto"/>
              </w:rPr>
            </w:pPr>
            <w:r>
              <w:rPr>
                <w:rFonts w:ascii="Arial" w:cs="Arial" w:eastAsia="Arial" w:hAnsi="Arial"/>
                <w:sz w:val="15"/>
                <w:szCs w:val="15"/>
                <w:color w:val="auto"/>
              </w:rPr>
              <w:t>DEVICE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ind w:left="20"/>
              <w:spacing w:after="0" w:line="155" w:lineRule="exact"/>
              <w:rPr>
                <w:sz w:val="20"/>
                <w:szCs w:val="20"/>
                <w:color w:val="auto"/>
              </w:rPr>
            </w:pPr>
            <w:r>
              <w:rPr>
                <w:rFonts w:ascii="Arial" w:cs="Arial" w:eastAsia="Arial" w:hAnsi="Arial"/>
                <w:sz w:val="15"/>
                <w:szCs w:val="15"/>
                <w:color w:val="auto"/>
              </w:rPr>
              <w:t>FOR</w:t>
            </w:r>
          </w:p>
        </w:tc>
        <w:tc>
          <w:tcPr>
            <w:tcW w:w="122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MANAGING</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WIRELESS</w:t>
            </w:r>
          </w:p>
        </w:tc>
        <w:tc>
          <w:tcPr>
            <w:tcW w:w="460" w:type="dxa"/>
            <w:vAlign w:val="bottom"/>
            <w:gridSpan w:val="2"/>
          </w:tcPr>
          <w:p>
            <w:pPr>
              <w:spacing w:after="0" w:line="155" w:lineRule="exact"/>
              <w:rPr>
                <w:sz w:val="20"/>
                <w:szCs w:val="20"/>
                <w:color w:val="auto"/>
              </w:rPr>
            </w:pPr>
            <w:r>
              <w:rPr>
                <w:rFonts w:ascii="Arial" w:cs="Arial" w:eastAsia="Arial" w:hAnsi="Arial"/>
                <w:sz w:val="15"/>
                <w:szCs w:val="15"/>
                <w:color w:val="auto"/>
              </w:rPr>
              <w:t>DATA</w:t>
            </w:r>
          </w:p>
        </w:tc>
        <w:tc>
          <w:tcPr>
            <w:tcW w:w="1220" w:type="dxa"/>
            <w:vAlign w:val="bottom"/>
            <w:tcBorders>
              <w:right w:val="single" w:sz="8" w:color="auto"/>
            </w:tcBorders>
            <w:gridSpan w:val="3"/>
          </w:tcPr>
          <w:p>
            <w:pPr>
              <w:jc w:val="right"/>
              <w:ind w:right="47"/>
              <w:spacing w:after="0" w:line="155" w:lineRule="exact"/>
              <w:rPr>
                <w:sz w:val="20"/>
                <w:szCs w:val="20"/>
                <w:color w:val="auto"/>
              </w:rPr>
            </w:pPr>
            <w:r>
              <w:rPr>
                <w:rFonts w:ascii="Arial" w:cs="Arial" w:eastAsia="Arial" w:hAnsi="Arial"/>
                <w:sz w:val="15"/>
                <w:szCs w:val="15"/>
                <w:color w:val="auto"/>
                <w:w w:val="94"/>
              </w:rPr>
              <w:t>TRANSMISSION</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BETWEEN A VEHICLE AND THE</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INTERNET</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USE-662US</w:t>
            </w:r>
          </w:p>
        </w:tc>
        <w:tc>
          <w:tcPr>
            <w:tcW w:w="13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6"/>
              </w:rPr>
              <w:t>COMMUNICATING</w:t>
            </w:r>
          </w:p>
        </w:tc>
        <w:tc>
          <w:tcPr>
            <w:tcW w:w="122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rPr>
              <w:t>INTERACTIVE</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09/579,263</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5/25/2000</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6,615,186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9/2/2003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5/25/20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640" w:type="dxa"/>
            <w:vAlign w:val="bottom"/>
          </w:tcPr>
          <w:p>
            <w:pPr>
              <w:ind w:left="60"/>
              <w:spacing w:after="0" w:line="155" w:lineRule="exact"/>
              <w:rPr>
                <w:sz w:val="20"/>
                <w:szCs w:val="20"/>
                <w:color w:val="auto"/>
              </w:rPr>
            </w:pPr>
            <w:r>
              <w:rPr>
                <w:rFonts w:ascii="Arial" w:cs="Arial" w:eastAsia="Arial" w:hAnsi="Arial"/>
                <w:sz w:val="15"/>
                <w:szCs w:val="15"/>
                <w:color w:val="auto"/>
                <w:w w:val="95"/>
              </w:rPr>
              <w:t>DIGITAL</w:t>
            </w:r>
          </w:p>
        </w:tc>
        <w:tc>
          <w:tcPr>
            <w:tcW w:w="1040" w:type="dxa"/>
            <w:vAlign w:val="bottom"/>
            <w:gridSpan w:val="4"/>
          </w:tcPr>
          <w:p>
            <w:pPr>
              <w:ind w:left="220"/>
              <w:spacing w:after="0" w:line="155" w:lineRule="exact"/>
              <w:rPr>
                <w:sz w:val="20"/>
                <w:szCs w:val="20"/>
                <w:color w:val="auto"/>
              </w:rPr>
            </w:pPr>
            <w:r>
              <w:rPr>
                <w:rFonts w:ascii="Arial" w:cs="Arial" w:eastAsia="Arial" w:hAnsi="Arial"/>
                <w:sz w:val="15"/>
                <w:szCs w:val="15"/>
                <w:color w:val="auto"/>
              </w:rPr>
              <w:t>CONTENT</w:t>
            </w:r>
          </w:p>
        </w:tc>
        <w:tc>
          <w:tcPr>
            <w:tcW w:w="88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BETWEEN</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VEHICLES AND INTERNET BASED</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w w:val="97"/>
              </w:rPr>
              <w:t>DATA  PROCESSING  RESOURCES</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640" w:type="dxa"/>
            <w:vAlign w:val="bottom"/>
          </w:tcPr>
          <w:p>
            <w:pPr>
              <w:ind w:left="60"/>
              <w:spacing w:after="0" w:line="155" w:lineRule="exact"/>
              <w:rPr>
                <w:sz w:val="20"/>
                <w:szCs w:val="20"/>
                <w:color w:val="auto"/>
              </w:rPr>
            </w:pPr>
            <w:r>
              <w:rPr>
                <w:rFonts w:ascii="Arial" w:cs="Arial" w:eastAsia="Arial" w:hAnsi="Arial"/>
                <w:sz w:val="15"/>
                <w:szCs w:val="15"/>
                <w:color w:val="auto"/>
              </w:rPr>
              <w:t>FOR</w:t>
            </w:r>
          </w:p>
        </w:tc>
        <w:tc>
          <w:tcPr>
            <w:tcW w:w="320" w:type="dxa"/>
            <w:vAlign w:val="bottom"/>
            <w:gridSpan w:val="2"/>
          </w:tcPr>
          <w:p>
            <w:pPr>
              <w:ind w:left="40"/>
              <w:spacing w:after="0" w:line="155" w:lineRule="exact"/>
              <w:rPr>
                <w:sz w:val="20"/>
                <w:szCs w:val="20"/>
                <w:color w:val="auto"/>
              </w:rPr>
            </w:pPr>
            <w:r>
              <w:rPr>
                <w:rFonts w:ascii="Arial" w:cs="Arial" w:eastAsia="Arial" w:hAnsi="Arial"/>
                <w:sz w:val="15"/>
                <w:szCs w:val="15"/>
                <w:color w:val="auto"/>
                <w:w w:val="86"/>
              </w:rPr>
              <w:t>THE</w:t>
            </w:r>
          </w:p>
        </w:tc>
        <w:tc>
          <w:tcPr>
            <w:tcW w:w="1200" w:type="dxa"/>
            <w:vAlign w:val="bottom"/>
            <w:gridSpan w:val="3"/>
          </w:tcPr>
          <w:p>
            <w:pPr>
              <w:ind w:left="340"/>
              <w:spacing w:after="0" w:line="155" w:lineRule="exact"/>
              <w:rPr>
                <w:sz w:val="20"/>
                <w:szCs w:val="20"/>
                <w:color w:val="auto"/>
              </w:rPr>
            </w:pPr>
            <w:r>
              <w:rPr>
                <w:rFonts w:ascii="Arial" w:cs="Arial" w:eastAsia="Arial" w:hAnsi="Arial"/>
                <w:sz w:val="15"/>
                <w:szCs w:val="15"/>
                <w:color w:val="auto"/>
              </w:rPr>
              <w:t>PURPOSE</w:t>
            </w:r>
          </w:p>
        </w:tc>
        <w:tc>
          <w:tcPr>
            <w:tcW w:w="4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OF</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TRANSACTING E-COMMERCE OR</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1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CONDUCTING E-BUSINESS</w:t>
            </w: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USE-667US</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87"/>
              </w:rPr>
              <w:t>APPARATUS</w:t>
            </w:r>
          </w:p>
        </w:tc>
        <w:tc>
          <w:tcPr>
            <w:tcW w:w="80" w:type="dxa"/>
            <w:vAlign w:val="bottom"/>
          </w:tcPr>
          <w:p>
            <w:pPr>
              <w:spacing w:after="0"/>
              <w:rPr>
                <w:sz w:val="11"/>
                <w:szCs w:val="11"/>
                <w:color w:val="auto"/>
              </w:rPr>
            </w:pPr>
          </w:p>
        </w:tc>
        <w:tc>
          <w:tcPr>
            <w:tcW w:w="380" w:type="dxa"/>
            <w:vAlign w:val="bottom"/>
          </w:tcPr>
          <w:p>
            <w:pPr>
              <w:ind w:left="20"/>
              <w:spacing w:after="0" w:line="130" w:lineRule="exact"/>
              <w:rPr>
                <w:sz w:val="20"/>
                <w:szCs w:val="20"/>
                <w:color w:val="auto"/>
              </w:rPr>
            </w:pPr>
            <w:r>
              <w:rPr>
                <w:rFonts w:ascii="Arial" w:cs="Arial" w:eastAsia="Arial" w:hAnsi="Arial"/>
                <w:sz w:val="15"/>
                <w:szCs w:val="15"/>
                <w:color w:val="auto"/>
              </w:rPr>
              <w:t>AND</w:t>
            </w:r>
          </w:p>
        </w:tc>
        <w:tc>
          <w:tcPr>
            <w:tcW w:w="820" w:type="dxa"/>
            <w:vAlign w:val="bottom"/>
            <w:gridSpan w:val="2"/>
          </w:tcPr>
          <w:p>
            <w:pPr>
              <w:ind w:left="40"/>
              <w:spacing w:after="0" w:line="130" w:lineRule="exact"/>
              <w:rPr>
                <w:sz w:val="20"/>
                <w:szCs w:val="20"/>
                <w:color w:val="auto"/>
              </w:rPr>
            </w:pPr>
            <w:r>
              <w:rPr>
                <w:rFonts w:ascii="Arial" w:cs="Arial" w:eastAsia="Arial" w:hAnsi="Arial"/>
                <w:sz w:val="15"/>
                <w:szCs w:val="15"/>
                <w:color w:val="auto"/>
              </w:rPr>
              <w:t>METHODS</w:t>
            </w:r>
          </w:p>
        </w:tc>
        <w:tc>
          <w:tcPr>
            <w:tcW w:w="40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88"/>
              </w:rPr>
              <w:t>FOR</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718,386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11/21/1996</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5,844,808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12/1/1998</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11/21/2</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MONITORING</w:t>
            </w:r>
          </w:p>
        </w:tc>
        <w:tc>
          <w:tcPr>
            <w:tcW w:w="34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AND</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6"/>
              </w:rPr>
              <w:t>COMMUNICATING</w:t>
            </w:r>
          </w:p>
        </w:tc>
        <w:tc>
          <w:tcPr>
            <w:tcW w:w="820" w:type="dxa"/>
            <w:vAlign w:val="bottom"/>
            <w:gridSpan w:val="2"/>
          </w:tcPr>
          <w:p>
            <w:pPr>
              <w:ind w:left="300"/>
              <w:spacing w:after="0" w:line="155" w:lineRule="exact"/>
              <w:rPr>
                <w:sz w:val="20"/>
                <w:szCs w:val="20"/>
                <w:color w:val="auto"/>
              </w:rPr>
            </w:pPr>
            <w:r>
              <w:rPr>
                <w:rFonts w:ascii="Arial" w:cs="Arial" w:eastAsia="Arial" w:hAnsi="Arial"/>
                <w:sz w:val="15"/>
                <w:szCs w:val="15"/>
                <w:color w:val="auto"/>
              </w:rPr>
              <w:t>WITH</w:t>
            </w:r>
          </w:p>
        </w:tc>
        <w:tc>
          <w:tcPr>
            <w:tcW w:w="4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7"/>
              </w:rPr>
              <w:t>PLURALITY</w:t>
            </w:r>
          </w:p>
        </w:tc>
        <w:tc>
          <w:tcPr>
            <w:tcW w:w="80" w:type="dxa"/>
            <w:vAlign w:val="bottom"/>
          </w:tcPr>
          <w:p>
            <w:pPr>
              <w:spacing w:after="0"/>
              <w:rPr>
                <w:sz w:val="13"/>
                <w:szCs w:val="13"/>
                <w:color w:val="auto"/>
              </w:rPr>
            </w:pPr>
          </w:p>
        </w:tc>
        <w:tc>
          <w:tcPr>
            <w:tcW w:w="380" w:type="dxa"/>
            <w:vAlign w:val="bottom"/>
          </w:tcPr>
          <w:p>
            <w:pPr>
              <w:ind w:left="140"/>
              <w:spacing w:after="0" w:line="155" w:lineRule="exact"/>
              <w:rPr>
                <w:sz w:val="20"/>
                <w:szCs w:val="20"/>
                <w:color w:val="auto"/>
              </w:rPr>
            </w:pPr>
            <w:r>
              <w:rPr>
                <w:rFonts w:ascii="Arial" w:cs="Arial" w:eastAsia="Arial" w:hAnsi="Arial"/>
                <w:sz w:val="15"/>
                <w:szCs w:val="15"/>
                <w:color w:val="auto"/>
              </w:rPr>
              <w:t>OF</w:t>
            </w:r>
          </w:p>
        </w:tc>
        <w:tc>
          <w:tcPr>
            <w:tcW w:w="122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NETWORKED</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1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w w:val="94"/>
              </w:rPr>
              <w:t>REMOTE VENDING MACHINES</w:t>
            </w: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USE-668US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6"/>
              </w:rPr>
              <w:t>SYSTEM FOR PROVIDING REMOTE</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09/884,755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6/19/2001</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6,505,095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1/7/2003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6/19/20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w w:val="98"/>
              </w:rPr>
              <w:t>AUDIT, CASHLESS PAYMENT, AND</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INTERACTIVE</w:t>
            </w:r>
          </w:p>
        </w:tc>
        <w:tc>
          <w:tcPr>
            <w:tcW w:w="122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TRANSACTION</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CAPABILITIES  IN</w:t>
            </w:r>
          </w:p>
        </w:tc>
        <w:tc>
          <w:tcPr>
            <w:tcW w:w="340" w:type="dxa"/>
            <w:vAlign w:val="bottom"/>
          </w:tcPr>
          <w:p>
            <w:pPr>
              <w:ind w:left="180"/>
              <w:spacing w:after="0" w:line="155" w:lineRule="exact"/>
              <w:rPr>
                <w:sz w:val="20"/>
                <w:szCs w:val="20"/>
                <w:color w:val="auto"/>
              </w:rPr>
            </w:pPr>
            <w:r>
              <w:rPr>
                <w:rFonts w:ascii="Arial" w:cs="Arial" w:eastAsia="Arial" w:hAnsi="Arial"/>
                <w:sz w:val="15"/>
                <w:szCs w:val="15"/>
                <w:color w:val="auto"/>
              </w:rPr>
              <w:t>A</w:t>
            </w:r>
          </w:p>
        </w:tc>
        <w:tc>
          <w:tcPr>
            <w:tcW w:w="88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VENDING</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MACHINE</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USE-671US</w:t>
            </w:r>
          </w:p>
        </w:tc>
        <w:tc>
          <w:tcPr>
            <w:tcW w:w="640" w:type="dxa"/>
            <w:vAlign w:val="bottom"/>
          </w:tcPr>
          <w:p>
            <w:pPr>
              <w:ind w:left="60"/>
              <w:spacing w:after="0" w:line="130" w:lineRule="exact"/>
              <w:rPr>
                <w:sz w:val="20"/>
                <w:szCs w:val="20"/>
                <w:color w:val="auto"/>
              </w:rPr>
            </w:pPr>
            <w:r>
              <w:rPr>
                <w:rFonts w:ascii="Arial" w:cs="Arial" w:eastAsia="Arial" w:hAnsi="Arial"/>
                <w:sz w:val="15"/>
                <w:szCs w:val="15"/>
                <w:color w:val="auto"/>
              </w:rPr>
              <w:t>POINT</w:t>
            </w:r>
          </w:p>
        </w:tc>
        <w:tc>
          <w:tcPr>
            <w:tcW w:w="32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OF</w:t>
            </w:r>
          </w:p>
        </w:tc>
        <w:tc>
          <w:tcPr>
            <w:tcW w:w="720" w:type="dxa"/>
            <w:vAlign w:val="bottom"/>
            <w:gridSpan w:val="2"/>
          </w:tcPr>
          <w:p>
            <w:pPr>
              <w:ind w:left="160"/>
              <w:spacing w:after="0" w:line="130" w:lineRule="exact"/>
              <w:rPr>
                <w:sz w:val="20"/>
                <w:szCs w:val="20"/>
                <w:color w:val="auto"/>
              </w:rPr>
            </w:pPr>
            <w:r>
              <w:rPr>
                <w:rFonts w:ascii="Arial" w:cs="Arial" w:eastAsia="Arial" w:hAnsi="Arial"/>
                <w:sz w:val="15"/>
                <w:szCs w:val="15"/>
                <w:color w:val="auto"/>
              </w:rPr>
              <w:t>SALE</w:t>
            </w:r>
          </w:p>
        </w:tc>
        <w:tc>
          <w:tcPr>
            <w:tcW w:w="88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TERMINAL</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29/252,741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1/26/2006</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8"/>
              </w:rPr>
              <w:t>D543,588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5/29/2007</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5/29/20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96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4"/>
              </w:rPr>
              <w:t>MOUNTABLE</w:t>
            </w:r>
          </w:p>
        </w:tc>
        <w:tc>
          <w:tcPr>
            <w:tcW w:w="380" w:type="dxa"/>
            <w:vAlign w:val="bottom"/>
          </w:tcPr>
          <w:p>
            <w:pPr>
              <w:ind w:left="180"/>
              <w:spacing w:after="0" w:line="155" w:lineRule="exact"/>
              <w:rPr>
                <w:sz w:val="20"/>
                <w:szCs w:val="20"/>
                <w:color w:val="auto"/>
              </w:rPr>
            </w:pPr>
            <w:r>
              <w:rPr>
                <w:rFonts w:ascii="Arial" w:cs="Arial" w:eastAsia="Arial" w:hAnsi="Arial"/>
                <w:sz w:val="15"/>
                <w:szCs w:val="15"/>
                <w:color w:val="auto"/>
                <w:w w:val="79"/>
              </w:rPr>
              <w:t>ON</w:t>
            </w:r>
          </w:p>
        </w:tc>
        <w:tc>
          <w:tcPr>
            <w:tcW w:w="340" w:type="dxa"/>
            <w:vAlign w:val="bottom"/>
          </w:tcPr>
          <w:p>
            <w:pPr>
              <w:ind w:left="180"/>
              <w:spacing w:after="0" w:line="155" w:lineRule="exact"/>
              <w:rPr>
                <w:sz w:val="20"/>
                <w:szCs w:val="20"/>
                <w:color w:val="auto"/>
              </w:rPr>
            </w:pPr>
            <w:r>
              <w:rPr>
                <w:rFonts w:ascii="Arial" w:cs="Arial" w:eastAsia="Arial" w:hAnsi="Arial"/>
                <w:sz w:val="15"/>
                <w:szCs w:val="15"/>
                <w:color w:val="auto"/>
              </w:rPr>
              <w:t>A</w:t>
            </w:r>
          </w:p>
        </w:tc>
        <w:tc>
          <w:tcPr>
            <w:tcW w:w="88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VENDING</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MACHINE</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USE-673US</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WIRELESS</w:t>
            </w:r>
          </w:p>
        </w:tc>
        <w:tc>
          <w:tcPr>
            <w:tcW w:w="80" w:type="dxa"/>
            <w:vAlign w:val="bottom"/>
          </w:tcPr>
          <w:p>
            <w:pPr>
              <w:spacing w:after="0"/>
              <w:rPr>
                <w:sz w:val="11"/>
                <w:szCs w:val="11"/>
                <w:color w:val="auto"/>
              </w:rPr>
            </w:pPr>
          </w:p>
        </w:tc>
        <w:tc>
          <w:tcPr>
            <w:tcW w:w="1200" w:type="dxa"/>
            <w:vAlign w:val="bottom"/>
            <w:gridSpan w:val="3"/>
          </w:tcPr>
          <w:p>
            <w:pPr>
              <w:ind w:left="220"/>
              <w:spacing w:after="0" w:line="130" w:lineRule="exact"/>
              <w:rPr>
                <w:sz w:val="20"/>
                <w:szCs w:val="20"/>
                <w:color w:val="auto"/>
              </w:rPr>
            </w:pPr>
            <w:r>
              <w:rPr>
                <w:rFonts w:ascii="Arial" w:cs="Arial" w:eastAsia="Arial" w:hAnsi="Arial"/>
                <w:sz w:val="15"/>
                <w:szCs w:val="15"/>
                <w:color w:val="auto"/>
              </w:rPr>
              <w:t>SYSTEM</w:t>
            </w:r>
          </w:p>
        </w:tc>
        <w:tc>
          <w:tcPr>
            <w:tcW w:w="40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88"/>
              </w:rPr>
              <w:t>FOR</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10/051,594</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1/18/2002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7,593,897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9/22/2009</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5/17/20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6"/>
              </w:rPr>
              <w:t>COMMUNICATING</w:t>
            </w:r>
          </w:p>
        </w:tc>
        <w:tc>
          <w:tcPr>
            <w:tcW w:w="34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w w:val="92"/>
              </w:rPr>
              <w:t>CASHLESS</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VENDING</w:t>
            </w:r>
          </w:p>
        </w:tc>
        <w:tc>
          <w:tcPr>
            <w:tcW w:w="1680" w:type="dxa"/>
            <w:vAlign w:val="bottom"/>
            <w:tcBorders>
              <w:right w:val="single" w:sz="8" w:color="auto"/>
            </w:tcBorders>
            <w:gridSpan w:val="5"/>
          </w:tcPr>
          <w:p>
            <w:pPr>
              <w:jc w:val="right"/>
              <w:ind w:right="27"/>
              <w:spacing w:after="0" w:line="155" w:lineRule="exact"/>
              <w:rPr>
                <w:sz w:val="20"/>
                <w:szCs w:val="20"/>
                <w:color w:val="auto"/>
              </w:rPr>
            </w:pPr>
            <w:r>
              <w:rPr>
                <w:rFonts w:ascii="Arial" w:cs="Arial" w:eastAsia="Arial" w:hAnsi="Arial"/>
                <w:sz w:val="15"/>
                <w:szCs w:val="15"/>
                <w:color w:val="auto"/>
              </w:rPr>
              <w:t>TRANSACTION  DATA</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AND VENDING MACHINE AUDIT</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1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w w:val="92"/>
              </w:rPr>
              <w:t>DATA TO REMOTE LOCATIONS</w:t>
            </w: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USE-676US</w:t>
            </w:r>
          </w:p>
        </w:tc>
        <w:tc>
          <w:tcPr>
            <w:tcW w:w="640" w:type="dxa"/>
            <w:vAlign w:val="bottom"/>
          </w:tcPr>
          <w:p>
            <w:pPr>
              <w:ind w:left="60"/>
              <w:spacing w:after="0" w:line="130" w:lineRule="exact"/>
              <w:rPr>
                <w:sz w:val="20"/>
                <w:szCs w:val="20"/>
                <w:color w:val="auto"/>
              </w:rPr>
            </w:pPr>
            <w:r>
              <w:rPr>
                <w:rFonts w:ascii="Arial" w:cs="Arial" w:eastAsia="Arial" w:hAnsi="Arial"/>
                <w:sz w:val="15"/>
                <w:szCs w:val="15"/>
                <w:color w:val="auto"/>
                <w:w w:val="90"/>
              </w:rPr>
              <w:t>SYSTEM</w:t>
            </w:r>
          </w:p>
        </w:tc>
        <w:tc>
          <w:tcPr>
            <w:tcW w:w="700" w:type="dxa"/>
            <w:vAlign w:val="bottom"/>
            <w:gridSpan w:val="3"/>
          </w:tcPr>
          <w:p>
            <w:pPr>
              <w:ind w:left="200"/>
              <w:spacing w:after="0" w:line="130" w:lineRule="exact"/>
              <w:rPr>
                <w:sz w:val="20"/>
                <w:szCs w:val="20"/>
                <w:color w:val="auto"/>
              </w:rPr>
            </w:pPr>
            <w:r>
              <w:rPr>
                <w:rFonts w:ascii="Arial" w:cs="Arial" w:eastAsia="Arial" w:hAnsi="Arial"/>
                <w:sz w:val="15"/>
                <w:szCs w:val="15"/>
                <w:color w:val="auto"/>
              </w:rPr>
              <w:t>AND</w:t>
            </w:r>
          </w:p>
        </w:tc>
        <w:tc>
          <w:tcPr>
            <w:tcW w:w="820" w:type="dxa"/>
            <w:vAlign w:val="bottom"/>
            <w:gridSpan w:val="2"/>
          </w:tcPr>
          <w:p>
            <w:pPr>
              <w:spacing w:after="0" w:line="130" w:lineRule="exact"/>
              <w:rPr>
                <w:sz w:val="20"/>
                <w:szCs w:val="20"/>
                <w:color w:val="auto"/>
              </w:rPr>
            </w:pPr>
            <w:r>
              <w:rPr>
                <w:rFonts w:ascii="Arial" w:cs="Arial" w:eastAsia="Arial" w:hAnsi="Arial"/>
                <w:sz w:val="15"/>
                <w:szCs w:val="15"/>
                <w:color w:val="auto"/>
              </w:rPr>
              <w:t>METHOD</w:t>
            </w:r>
          </w:p>
        </w:tc>
        <w:tc>
          <w:tcPr>
            <w:tcW w:w="40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88"/>
              </w:rPr>
              <w:t>FOR</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10/118,123</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4/8/2002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7,630,939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12/8/2009</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2/16/20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LOCALLY</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AUTHORIZING</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9"/>
              </w:rPr>
              <w:t>CASHLESS</w:t>
            </w:r>
          </w:p>
        </w:tc>
        <w:tc>
          <w:tcPr>
            <w:tcW w:w="80" w:type="dxa"/>
            <w:vAlign w:val="bottom"/>
          </w:tcPr>
          <w:p>
            <w:pPr>
              <w:spacing w:after="0"/>
              <w:rPr>
                <w:sz w:val="13"/>
                <w:szCs w:val="13"/>
                <w:color w:val="auto"/>
              </w:rPr>
            </w:pPr>
          </w:p>
        </w:tc>
        <w:tc>
          <w:tcPr>
            <w:tcW w:w="1200" w:type="dxa"/>
            <w:vAlign w:val="bottom"/>
            <w:gridSpan w:val="3"/>
          </w:tcPr>
          <w:p>
            <w:pPr>
              <w:ind w:left="20"/>
              <w:spacing w:after="0" w:line="155" w:lineRule="exact"/>
              <w:rPr>
                <w:sz w:val="20"/>
                <w:szCs w:val="20"/>
                <w:color w:val="auto"/>
              </w:rPr>
            </w:pPr>
            <w:r>
              <w:rPr>
                <w:rFonts w:ascii="Arial" w:cs="Arial" w:eastAsia="Arial" w:hAnsi="Arial"/>
                <w:sz w:val="15"/>
                <w:szCs w:val="15"/>
                <w:color w:val="auto"/>
                <w:w w:val="98"/>
              </w:rPr>
              <w:t>TRANSACTIONS</w:t>
            </w:r>
          </w:p>
        </w:tc>
        <w:tc>
          <w:tcPr>
            <w:tcW w:w="4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AT</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POINT OF SALE</w:t>
            </w: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USE-677US</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9"/>
              </w:rPr>
              <w:t>CASHLESS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47"/>
              <w:spacing w:after="0" w:line="130" w:lineRule="exact"/>
              <w:rPr>
                <w:sz w:val="20"/>
                <w:szCs w:val="20"/>
                <w:color w:val="auto"/>
              </w:rPr>
            </w:pPr>
            <w:r>
              <w:rPr>
                <w:rFonts w:ascii="Arial" w:cs="Arial" w:eastAsia="Arial" w:hAnsi="Arial"/>
                <w:sz w:val="15"/>
                <w:szCs w:val="15"/>
                <w:color w:val="auto"/>
              </w:rPr>
              <w:t>VENDING</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10/121,081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4/12/2002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7,076,329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7/11/2006</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6/19/20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TRANSACTION MANAGEMENT BY</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A   VEND   ASSIST   MODE   OF</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0"/>
              </w:rPr>
              <w:t>OPERATION</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USE-677US1</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9"/>
              </w:rPr>
              <w:t>CASHLESS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47"/>
              <w:spacing w:after="0" w:line="130" w:lineRule="exact"/>
              <w:rPr>
                <w:sz w:val="20"/>
                <w:szCs w:val="20"/>
                <w:color w:val="auto"/>
              </w:rPr>
            </w:pPr>
            <w:r>
              <w:rPr>
                <w:rFonts w:ascii="Arial" w:cs="Arial" w:eastAsia="Arial" w:hAnsi="Arial"/>
                <w:sz w:val="15"/>
                <w:szCs w:val="15"/>
                <w:color w:val="auto"/>
              </w:rPr>
              <w:t>VENDING</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11/347,678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2/3/2006</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7,693,602</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4/6/2010</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6/19/20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TRANSACTION MANAGEMENT BY</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A   VEND   ASSIST   MODE   OF</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0"/>
              </w:rPr>
              <w:t>OPERATION</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USE-678US</w:t>
            </w:r>
          </w:p>
        </w:tc>
        <w:tc>
          <w:tcPr>
            <w:tcW w:w="640" w:type="dxa"/>
            <w:vAlign w:val="bottom"/>
          </w:tcPr>
          <w:p>
            <w:pPr>
              <w:ind w:left="60"/>
              <w:spacing w:after="0" w:line="130" w:lineRule="exact"/>
              <w:rPr>
                <w:sz w:val="20"/>
                <w:szCs w:val="20"/>
                <w:color w:val="auto"/>
              </w:rPr>
            </w:pPr>
            <w:r>
              <w:rPr>
                <w:rFonts w:ascii="Arial" w:cs="Arial" w:eastAsia="Arial" w:hAnsi="Arial"/>
                <w:sz w:val="15"/>
                <w:szCs w:val="15"/>
                <w:color w:val="auto"/>
              </w:rPr>
              <w:t>MDB</w:t>
            </w:r>
          </w:p>
        </w:tc>
        <w:tc>
          <w:tcPr>
            <w:tcW w:w="1040" w:type="dxa"/>
            <w:vAlign w:val="bottom"/>
            <w:gridSpan w:val="4"/>
          </w:tcPr>
          <w:p>
            <w:pPr>
              <w:spacing w:after="0" w:line="130" w:lineRule="exact"/>
              <w:rPr>
                <w:sz w:val="20"/>
                <w:szCs w:val="20"/>
                <w:color w:val="auto"/>
              </w:rPr>
            </w:pPr>
            <w:r>
              <w:rPr>
                <w:rFonts w:ascii="Arial" w:cs="Arial" w:eastAsia="Arial" w:hAnsi="Arial"/>
                <w:sz w:val="15"/>
                <w:szCs w:val="15"/>
                <w:color w:val="auto"/>
                <w:w w:val="94"/>
              </w:rPr>
              <w:t>TRANSACTION</w:t>
            </w:r>
          </w:p>
        </w:tc>
        <w:tc>
          <w:tcPr>
            <w:tcW w:w="88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STRING</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10/138,385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5/3/2002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7,131,575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11/7/2006</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10/2/20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34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EFFECTUATED</w:t>
            </w:r>
          </w:p>
        </w:tc>
        <w:tc>
          <w:tcPr>
            <w:tcW w:w="34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4"/>
              </w:rPr>
              <w:t>CASHLESS</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VENDING</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USE-679US</w:t>
            </w:r>
          </w:p>
        </w:tc>
        <w:tc>
          <w:tcPr>
            <w:tcW w:w="134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INTERACTIVE</w:t>
            </w:r>
          </w:p>
        </w:tc>
        <w:tc>
          <w:tcPr>
            <w:tcW w:w="122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rPr>
              <w:t>INTERFACE</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10/153,478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5/22/2002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8,596,529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12/3/2013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6/19/20</w:t>
            </w: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1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EFFECTUATED VENDING</w:t>
            </w: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bottom w:val="single" w:sz="8" w:color="auto"/>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USE-683US</w:t>
            </w:r>
          </w:p>
        </w:tc>
        <w:tc>
          <w:tcPr>
            <w:tcW w:w="2160" w:type="dxa"/>
            <w:vAlign w:val="bottom"/>
            <w:tcBorders>
              <w:bottom w:val="single" w:sz="8" w:color="auto"/>
            </w:tcBorders>
            <w:gridSpan w:val="6"/>
          </w:tcPr>
          <w:p>
            <w:pPr>
              <w:ind w:left="60"/>
              <w:spacing w:after="0" w:line="162" w:lineRule="exact"/>
              <w:rPr>
                <w:sz w:val="20"/>
                <w:szCs w:val="20"/>
                <w:color w:val="auto"/>
              </w:rPr>
            </w:pPr>
            <w:r>
              <w:rPr>
                <w:rFonts w:ascii="Arial" w:cs="Arial" w:eastAsia="Arial" w:hAnsi="Arial"/>
                <w:sz w:val="15"/>
                <w:szCs w:val="15"/>
                <w:color w:val="auto"/>
              </w:rPr>
              <w:t>CARD READER ASSEMBLY</w:t>
            </w: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US</w:t>
            </w: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10/277,458</w:t>
            </w:r>
          </w:p>
        </w:tc>
        <w:tc>
          <w:tcPr>
            <w:tcW w:w="94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10/22/2002</w:t>
            </w:r>
          </w:p>
        </w:tc>
        <w:tc>
          <w:tcPr>
            <w:tcW w:w="1060" w:type="dxa"/>
            <w:vAlign w:val="bottom"/>
            <w:tcBorders>
              <w:bottom w:val="single" w:sz="8" w:color="auto"/>
              <w:right w:val="single" w:sz="8" w:color="auto"/>
            </w:tcBorders>
          </w:tcPr>
          <w:p>
            <w:pPr>
              <w:jc w:val="right"/>
              <w:ind w:right="327"/>
              <w:spacing w:after="0" w:line="162" w:lineRule="exact"/>
              <w:rPr>
                <w:sz w:val="20"/>
                <w:szCs w:val="20"/>
                <w:color w:val="auto"/>
              </w:rPr>
            </w:pPr>
            <w:r>
              <w:rPr>
                <w:rFonts w:ascii="Arial" w:cs="Arial" w:eastAsia="Arial" w:hAnsi="Arial"/>
                <w:sz w:val="15"/>
                <w:szCs w:val="15"/>
                <w:color w:val="auto"/>
                <w:w w:val="95"/>
              </w:rPr>
              <w:t>7,690,495</w:t>
            </w:r>
          </w:p>
        </w:tc>
        <w:tc>
          <w:tcPr>
            <w:tcW w:w="94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4/6/2010</w:t>
            </w:r>
          </w:p>
        </w:tc>
        <w:tc>
          <w:tcPr>
            <w:tcW w:w="112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ISSUED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6/20/20</w:t>
            </w: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USE-683US1</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9"/>
              </w:rPr>
              <w:t>CASHLESS</w:t>
            </w:r>
          </w:p>
        </w:tc>
        <w:tc>
          <w:tcPr>
            <w:tcW w:w="8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5"/>
                <w:szCs w:val="15"/>
                <w:color w:val="auto"/>
                <w:w w:val="96"/>
              </w:rPr>
              <w:t>VENDING</w:t>
            </w:r>
          </w:p>
        </w:tc>
        <w:tc>
          <w:tcPr>
            <w:tcW w:w="88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SYSTEM</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11/348,744</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2/7/2006</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7,464,867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12/16/2008</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8/25/20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640" w:type="dxa"/>
            <w:vAlign w:val="bottom"/>
          </w:tcPr>
          <w:p>
            <w:pPr>
              <w:ind w:left="60"/>
              <w:spacing w:after="0" w:line="155" w:lineRule="exact"/>
              <w:rPr>
                <w:sz w:val="20"/>
                <w:szCs w:val="20"/>
                <w:color w:val="auto"/>
              </w:rPr>
            </w:pPr>
            <w:r>
              <w:rPr>
                <w:rFonts w:ascii="Arial" w:cs="Arial" w:eastAsia="Arial" w:hAnsi="Arial"/>
                <w:sz w:val="15"/>
                <w:szCs w:val="15"/>
                <w:color w:val="auto"/>
              </w:rPr>
              <w:t>WITH</w:t>
            </w:r>
          </w:p>
        </w:tc>
        <w:tc>
          <w:tcPr>
            <w:tcW w:w="1040" w:type="dxa"/>
            <w:vAlign w:val="bottom"/>
            <w:gridSpan w:val="4"/>
          </w:tcPr>
          <w:p>
            <w:pPr>
              <w:ind w:left="80"/>
              <w:spacing w:after="0" w:line="155" w:lineRule="exact"/>
              <w:rPr>
                <w:sz w:val="20"/>
                <w:szCs w:val="20"/>
                <w:color w:val="auto"/>
              </w:rPr>
            </w:pPr>
            <w:r>
              <w:rPr>
                <w:rFonts w:ascii="Arial" w:cs="Arial" w:eastAsia="Arial" w:hAnsi="Arial"/>
                <w:sz w:val="15"/>
                <w:szCs w:val="15"/>
                <w:color w:val="auto"/>
              </w:rPr>
              <w:t>TETHERED</w:t>
            </w:r>
          </w:p>
        </w:tc>
        <w:tc>
          <w:tcPr>
            <w:tcW w:w="88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rPr>
              <w:t>PAYMENT</w:t>
            </w: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4"/>
              </w:rPr>
              <w:t>INTERFACE</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USE-685US</w:t>
            </w:r>
          </w:p>
        </w:tc>
        <w:tc>
          <w:tcPr>
            <w:tcW w:w="8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9"/>
              </w:rPr>
              <w:t>CASHLESS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Borders>
              <w:right w:val="single" w:sz="8" w:color="auto"/>
            </w:tcBorders>
            <w:gridSpan w:val="3"/>
          </w:tcPr>
          <w:p>
            <w:pPr>
              <w:jc w:val="right"/>
              <w:ind w:right="47"/>
              <w:spacing w:after="0" w:line="130" w:lineRule="exact"/>
              <w:rPr>
                <w:sz w:val="20"/>
                <w:szCs w:val="20"/>
                <w:color w:val="auto"/>
              </w:rPr>
            </w:pPr>
            <w:r>
              <w:rPr>
                <w:rFonts w:ascii="Arial" w:cs="Arial" w:eastAsia="Arial" w:hAnsi="Arial"/>
                <w:sz w:val="15"/>
                <w:szCs w:val="15"/>
                <w:color w:val="auto"/>
              </w:rPr>
              <w:t>TRANSACTION</w:t>
            </w:r>
          </w:p>
        </w:tc>
        <w:tc>
          <w:tcPr>
            <w:tcW w:w="36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10/100,680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3/18/2002</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7,865,430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1/4/2011</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6/19/20</w:t>
            </w: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rPr>
              <w:t>PAYMENT MODULE</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1067"/>
              <w:spacing w:after="0"/>
              <w:rPr>
                <w:sz w:val="20"/>
                <w:szCs w:val="20"/>
                <w:color w:val="auto"/>
              </w:rPr>
            </w:pPr>
            <w:r>
              <w:rPr>
                <w:rFonts w:ascii="Arial" w:cs="Arial" w:eastAsia="Arial" w:hAnsi="Arial"/>
                <w:sz w:val="13"/>
                <w:szCs w:val="13"/>
                <w:color w:val="auto"/>
              </w:rPr>
              <w:t>10</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8" w:right="139" w:bottom="1440" w:gutter="0" w:footer="0" w:header="0"/>
        </w:sectPr>
      </w:pPr>
    </w:p>
    <w:bookmarkStart w:id="189" w:name="page190"/>
    <w:bookmarkEnd w:id="189"/>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2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USE-697US</w:t>
            </w:r>
          </w:p>
        </w:tc>
        <w:tc>
          <w:tcPr>
            <w:tcW w:w="80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rPr>
              <w:t>DEVICES</w:t>
            </w:r>
          </w:p>
        </w:tc>
        <w:tc>
          <w:tcPr>
            <w:tcW w:w="44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5"/>
                <w:szCs w:val="15"/>
                <w:color w:val="auto"/>
              </w:rPr>
              <w:t>AND</w:t>
            </w:r>
          </w:p>
        </w:tc>
        <w:tc>
          <w:tcPr>
            <w:tcW w:w="840" w:type="dxa"/>
            <w:vAlign w:val="bottom"/>
            <w:tcBorders>
              <w:top w:val="single" w:sz="8" w:color="auto"/>
            </w:tcBorders>
            <w:gridSpan w:val="3"/>
          </w:tcPr>
          <w:p>
            <w:pPr>
              <w:jc w:val="right"/>
              <w:spacing w:after="0" w:line="150" w:lineRule="exact"/>
              <w:rPr>
                <w:sz w:val="20"/>
                <w:szCs w:val="20"/>
                <w:color w:val="auto"/>
              </w:rPr>
            </w:pPr>
            <w:r>
              <w:rPr>
                <w:rFonts w:ascii="Arial" w:cs="Arial" w:eastAsia="Arial" w:hAnsi="Arial"/>
                <w:sz w:val="15"/>
                <w:szCs w:val="15"/>
                <w:color w:val="auto"/>
              </w:rPr>
              <w:t>METHODS</w:t>
            </w:r>
          </w:p>
        </w:tc>
        <w:tc>
          <w:tcPr>
            <w:tcW w:w="480" w:type="dxa"/>
            <w:vAlign w:val="bottom"/>
            <w:tcBorders>
              <w:top w:val="single" w:sz="8" w:color="auto"/>
              <w:right w:val="single" w:sz="8" w:color="auto"/>
            </w:tcBorders>
          </w:tcPr>
          <w:p>
            <w:pPr>
              <w:jc w:val="right"/>
              <w:ind w:right="27"/>
              <w:spacing w:after="0" w:line="150" w:lineRule="exact"/>
              <w:rPr>
                <w:sz w:val="20"/>
                <w:szCs w:val="20"/>
                <w:color w:val="auto"/>
              </w:rPr>
            </w:pPr>
            <w:r>
              <w:rPr>
                <w:rFonts w:ascii="Arial" w:cs="Arial" w:eastAsia="Arial" w:hAnsi="Arial"/>
                <w:sz w:val="15"/>
                <w:szCs w:val="15"/>
                <w:color w:val="auto"/>
              </w:rPr>
              <w:t>FOR</w:t>
            </w:r>
          </w:p>
        </w:tc>
        <w:tc>
          <w:tcPr>
            <w:tcW w:w="40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rPr>
              <w:t>US</w:t>
            </w:r>
          </w:p>
        </w:tc>
        <w:tc>
          <w:tcPr>
            <w:tcW w:w="18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12/576,473</w:t>
            </w:r>
          </w:p>
        </w:tc>
        <w:tc>
          <w:tcPr>
            <w:tcW w:w="920" w:type="dxa"/>
            <w:vAlign w:val="bottom"/>
            <w:tcBorders>
              <w:top w:val="single" w:sz="8" w:color="auto"/>
              <w:right w:val="single" w:sz="8" w:color="auto"/>
            </w:tcBorders>
          </w:tcPr>
          <w:p>
            <w:pPr>
              <w:ind w:left="80"/>
              <w:spacing w:after="0" w:line="150" w:lineRule="exact"/>
              <w:rPr>
                <w:sz w:val="20"/>
                <w:szCs w:val="20"/>
                <w:color w:val="auto"/>
              </w:rPr>
            </w:pPr>
            <w:r>
              <w:rPr>
                <w:rFonts w:ascii="Arial" w:cs="Arial" w:eastAsia="Arial" w:hAnsi="Arial"/>
                <w:sz w:val="15"/>
                <w:szCs w:val="15"/>
                <w:color w:val="auto"/>
              </w:rPr>
              <w:t>10/9/2009</w:t>
            </w:r>
          </w:p>
        </w:tc>
        <w:tc>
          <w:tcPr>
            <w:tcW w:w="1100" w:type="dxa"/>
            <w:vAlign w:val="bottom"/>
            <w:tcBorders>
              <w:top w:val="single" w:sz="8" w:color="auto"/>
              <w:right w:val="single" w:sz="8" w:color="auto"/>
            </w:tcBorders>
          </w:tcPr>
          <w:p>
            <w:pPr>
              <w:ind w:left="80"/>
              <w:spacing w:after="0" w:line="150" w:lineRule="exact"/>
              <w:rPr>
                <w:sz w:val="20"/>
                <w:szCs w:val="20"/>
                <w:color w:val="auto"/>
              </w:rPr>
            </w:pPr>
            <w:r>
              <w:rPr>
                <w:rFonts w:ascii="Arial" w:cs="Arial" w:eastAsia="Arial" w:hAnsi="Arial"/>
                <w:sz w:val="15"/>
                <w:szCs w:val="15"/>
                <w:color w:val="auto"/>
              </w:rPr>
              <w:t>8,373,558</w:t>
            </w:r>
          </w:p>
        </w:tc>
        <w:tc>
          <w:tcPr>
            <w:tcW w:w="92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2/12/2013</w:t>
            </w:r>
          </w:p>
        </w:tc>
        <w:tc>
          <w:tcPr>
            <w:tcW w:w="1120" w:type="dxa"/>
            <w:vAlign w:val="bottom"/>
            <w:tcBorders>
              <w:top w:val="single" w:sz="8" w:color="auto"/>
              <w:right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rPr>
              <w:t>ISSUED</w:t>
            </w:r>
          </w:p>
        </w:tc>
        <w:tc>
          <w:tcPr>
            <w:tcW w:w="5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9"/>
              </w:rPr>
              <w:t>10/10/2</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vMerge w:val="continue"/>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rPr>
              <w:t>PROVIDING CASHLESS PAYMENT</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w w:val="99"/>
              </w:rPr>
              <w:t>AND DIAGNOSTICS FOR VENDING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MACHINES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USE-702US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7"/>
              </w:rPr>
              <w:t>PRINTER BRACKET FOR POINT OF</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29/160,140</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5/6/2002</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D475,414</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6/3/2003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6/3/201</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7"/>
              </w:rPr>
              <w:t>SALE TERMINAL</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USE-703US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6"/>
              </w:rPr>
              <w:t>USER INTERFACE BRACKET FOR A</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29/160,162</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5/6/2002</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D476,037</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6/17/20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POINT OF SAME TERMINAL</w:t>
            </w: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USE-704US</w:t>
            </w:r>
          </w:p>
        </w:tc>
        <w:tc>
          <w:tcPr>
            <w:tcW w:w="11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MOUNTING</w:t>
            </w:r>
          </w:p>
        </w:tc>
        <w:tc>
          <w:tcPr>
            <w:tcW w:w="940" w:type="dxa"/>
            <w:vAlign w:val="bottom"/>
            <w:gridSpan w:val="4"/>
          </w:tcPr>
          <w:p>
            <w:pPr>
              <w:jc w:val="right"/>
              <w:ind w:right="147"/>
              <w:spacing w:after="0" w:line="130" w:lineRule="exact"/>
              <w:rPr>
                <w:sz w:val="20"/>
                <w:szCs w:val="20"/>
                <w:color w:val="auto"/>
              </w:rPr>
            </w:pPr>
            <w:r>
              <w:rPr>
                <w:rFonts w:ascii="Arial" w:cs="Arial" w:eastAsia="Arial" w:hAnsi="Arial"/>
                <w:sz w:val="15"/>
                <w:szCs w:val="15"/>
                <w:color w:val="auto"/>
                <w:w w:val="98"/>
              </w:rPr>
              <w:t>BRACKET</w:t>
            </w:r>
          </w:p>
        </w:tc>
        <w:tc>
          <w:tcPr>
            <w:tcW w:w="4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FOR</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29/167,844</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9/20/2002</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D480,948</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10/21/2003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10/21/2</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MOUNTING</w:t>
            </w:r>
          </w:p>
        </w:tc>
        <w:tc>
          <w:tcPr>
            <w:tcW w:w="100" w:type="dxa"/>
            <w:vAlign w:val="bottom"/>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5"/>
                <w:szCs w:val="15"/>
                <w:color w:val="auto"/>
              </w:rPr>
              <w:t>A</w:t>
            </w:r>
          </w:p>
        </w:tc>
        <w:tc>
          <w:tcPr>
            <w:tcW w:w="1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89"/>
              </w:rPr>
              <w:t>CASHLESS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w w:val="99"/>
              </w:rPr>
              <w:t>PAYMENT</w:t>
            </w:r>
          </w:p>
        </w:tc>
        <w:tc>
          <w:tcPr>
            <w:tcW w:w="920" w:type="dxa"/>
            <w:vAlign w:val="bottom"/>
            <w:gridSpan w:val="4"/>
          </w:tcPr>
          <w:p>
            <w:pPr>
              <w:jc w:val="center"/>
              <w:ind w:left="87"/>
              <w:spacing w:after="0" w:line="155" w:lineRule="exact"/>
              <w:rPr>
                <w:sz w:val="20"/>
                <w:szCs w:val="20"/>
                <w:color w:val="auto"/>
              </w:rPr>
            </w:pPr>
            <w:r>
              <w:rPr>
                <w:rFonts w:ascii="Arial" w:cs="Arial" w:eastAsia="Arial" w:hAnsi="Arial"/>
                <w:sz w:val="15"/>
                <w:szCs w:val="15"/>
                <w:color w:val="auto"/>
              </w:rPr>
              <w:t>TERMINAL</w:t>
            </w:r>
          </w:p>
        </w:tc>
        <w:tc>
          <w:tcPr>
            <w:tcW w:w="8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TO   A</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VENDING MACHINE</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USE-705US</w:t>
            </w:r>
          </w:p>
        </w:tc>
        <w:tc>
          <w:tcPr>
            <w:tcW w:w="2080" w:type="dxa"/>
            <w:vAlign w:val="bottom"/>
            <w:tcBorders>
              <w:bottom w:val="single" w:sz="8" w:color="auto"/>
            </w:tcBorders>
            <w:gridSpan w:val="6"/>
          </w:tcPr>
          <w:p>
            <w:pPr>
              <w:ind w:left="60"/>
              <w:spacing w:after="0" w:line="162" w:lineRule="exact"/>
              <w:rPr>
                <w:sz w:val="20"/>
                <w:szCs w:val="20"/>
                <w:color w:val="auto"/>
              </w:rPr>
            </w:pPr>
            <w:r>
              <w:rPr>
                <w:rFonts w:ascii="Arial" w:cs="Arial" w:eastAsia="Arial" w:hAnsi="Arial"/>
                <w:sz w:val="15"/>
                <w:szCs w:val="15"/>
                <w:color w:val="auto"/>
              </w:rPr>
              <w:t>TRANSCEIVER BASE UNIT</w:t>
            </w: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US</w:t>
            </w: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29/155,567</w:t>
            </w:r>
          </w:p>
        </w:tc>
        <w:tc>
          <w:tcPr>
            <w:tcW w:w="920" w:type="dxa"/>
            <w:vAlign w:val="bottom"/>
            <w:tcBorders>
              <w:bottom w:val="single" w:sz="8" w:color="auto"/>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2/12/2002</w:t>
            </w:r>
          </w:p>
        </w:tc>
        <w:tc>
          <w:tcPr>
            <w:tcW w:w="1100" w:type="dxa"/>
            <w:vAlign w:val="bottom"/>
            <w:tcBorders>
              <w:bottom w:val="single" w:sz="8" w:color="auto"/>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D478,577</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8/19/2003</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ISSUED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8/19/20</w:t>
            </w: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USE-706US</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80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8"/>
              </w:rPr>
              <w:t>MACHINE</w:t>
            </w: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w w:val="89"/>
              </w:rPr>
              <w:t>CASHLESS</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29/167,954</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9/24/2002</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D477,030</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7/8/2003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7/8/201</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w w:val="99"/>
              </w:rPr>
              <w:t>PAYMENT TERMINAL</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USE-707US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7"/>
              </w:rPr>
              <w:t>PRINTER BRACKET FOR POINT OF</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29/147,759</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9/5/2001</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D476,036</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6/17/20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7"/>
              </w:rPr>
              <w:t>SALE TERMINAL</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USE-708US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6"/>
              </w:rPr>
              <w:t>USER INTERFACE BRACKET FOR A</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29/147,767</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9/5/2001</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D475,751</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6/10/2003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6/10/20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POINT OF SALE TERMINAL</w:t>
            </w: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USE-709US</w:t>
            </w:r>
          </w:p>
        </w:tc>
        <w:tc>
          <w:tcPr>
            <w:tcW w:w="2560" w:type="dxa"/>
            <w:vAlign w:val="bottom"/>
            <w:tcBorders>
              <w:right w:val="single" w:sz="8" w:color="auto"/>
            </w:tcBorders>
            <w:gridSpan w:val="7"/>
          </w:tcPr>
          <w:p>
            <w:pPr>
              <w:ind w:left="60"/>
              <w:spacing w:after="0" w:line="130" w:lineRule="exact"/>
              <w:rPr>
                <w:sz w:val="20"/>
                <w:szCs w:val="20"/>
                <w:color w:val="auto"/>
              </w:rPr>
            </w:pPr>
            <w:r>
              <w:rPr>
                <w:rFonts w:ascii="Arial" w:cs="Arial" w:eastAsia="Arial" w:hAnsi="Arial"/>
                <w:sz w:val="15"/>
                <w:szCs w:val="15"/>
                <w:color w:val="auto"/>
                <w:w w:val="99"/>
              </w:rPr>
              <w:t>PAPER  GUIDE  FOR  A  POINT  OF</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29/147,766</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9/5/2001</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D475,750</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6/10/2003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6/10/20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7"/>
              </w:rPr>
              <w:t>SALE TERMINAL</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USE-714US</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920" w:type="dxa"/>
            <w:vAlign w:val="bottom"/>
            <w:gridSpan w:val="4"/>
          </w:tcPr>
          <w:p>
            <w:pPr>
              <w:jc w:val="center"/>
              <w:spacing w:after="0" w:line="130" w:lineRule="exact"/>
              <w:rPr>
                <w:sz w:val="20"/>
                <w:szCs w:val="20"/>
                <w:color w:val="auto"/>
              </w:rPr>
            </w:pPr>
            <w:r>
              <w:rPr>
                <w:rFonts w:ascii="Arial" w:cs="Arial" w:eastAsia="Arial" w:hAnsi="Arial"/>
                <w:sz w:val="15"/>
                <w:szCs w:val="15"/>
                <w:color w:val="auto"/>
                <w:w w:val="93"/>
              </w:rPr>
              <w:t>APPROVAL</w:t>
            </w: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w w:val="94"/>
              </w:rPr>
              <w:t>SYSTEMS,</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14/015,150</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8/30/2013</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9,159,182</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10/13/2015</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8/30/20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w w:val="90"/>
              </w:rPr>
              <w:t>METHODS,</w:t>
            </w:r>
          </w:p>
        </w:tc>
        <w:tc>
          <w:tcPr>
            <w:tcW w:w="800" w:type="dxa"/>
            <w:vAlign w:val="bottom"/>
            <w:gridSpan w:val="3"/>
          </w:tcPr>
          <w:p>
            <w:pPr>
              <w:jc w:val="center"/>
              <w:spacing w:after="0" w:line="155" w:lineRule="exact"/>
              <w:rPr>
                <w:sz w:val="20"/>
                <w:szCs w:val="20"/>
                <w:color w:val="auto"/>
              </w:rPr>
            </w:pPr>
            <w:r>
              <w:rPr>
                <w:rFonts w:ascii="Arial" w:cs="Arial" w:eastAsia="Arial" w:hAnsi="Arial"/>
                <w:sz w:val="15"/>
                <w:szCs w:val="15"/>
                <w:color w:val="auto"/>
              </w:rPr>
              <w:t>AND</w:t>
            </w:r>
          </w:p>
        </w:tc>
        <w:tc>
          <w:tcPr>
            <w:tcW w:w="9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92"/>
              </w:rPr>
              <w:t>APPARATUS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w w:val="95"/>
              </w:rPr>
              <w:t>USING CARD READERS</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USE-717US</w:t>
            </w:r>
          </w:p>
        </w:tc>
        <w:tc>
          <w:tcPr>
            <w:tcW w:w="11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APPARATUS,</w:t>
            </w:r>
          </w:p>
        </w:tc>
        <w:tc>
          <w:tcPr>
            <w:tcW w:w="940" w:type="dxa"/>
            <w:vAlign w:val="bottom"/>
            <w:gridSpan w:val="4"/>
          </w:tcPr>
          <w:p>
            <w:pPr>
              <w:ind w:left="80"/>
              <w:spacing w:after="0" w:line="130" w:lineRule="exact"/>
              <w:rPr>
                <w:sz w:val="20"/>
                <w:szCs w:val="20"/>
                <w:color w:val="auto"/>
              </w:rPr>
            </w:pPr>
            <w:r>
              <w:rPr>
                <w:rFonts w:ascii="Arial" w:cs="Arial" w:eastAsia="Arial" w:hAnsi="Arial"/>
                <w:sz w:val="15"/>
                <w:szCs w:val="15"/>
                <w:color w:val="auto"/>
              </w:rPr>
              <w:t>SYSTEM,</w:t>
            </w:r>
          </w:p>
        </w:tc>
        <w:tc>
          <w:tcPr>
            <w:tcW w:w="4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AND</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14/681,463</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4/8/2015</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9,619,795</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4/11/2017</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4/8/203</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w w:val="95"/>
              </w:rPr>
              <w:t>METHODS</w:t>
            </w:r>
          </w:p>
        </w:tc>
        <w:tc>
          <w:tcPr>
            <w:tcW w:w="440" w:type="dxa"/>
            <w:vAlign w:val="bottom"/>
            <w:gridSpan w:val="2"/>
          </w:tcPr>
          <w:p>
            <w:pPr>
              <w:ind w:left="140"/>
              <w:spacing w:after="0" w:line="155" w:lineRule="exact"/>
              <w:rPr>
                <w:sz w:val="20"/>
                <w:szCs w:val="20"/>
                <w:color w:val="auto"/>
              </w:rPr>
            </w:pPr>
            <w:r>
              <w:rPr>
                <w:rFonts w:ascii="Arial" w:cs="Arial" w:eastAsia="Arial" w:hAnsi="Arial"/>
                <w:sz w:val="15"/>
                <w:szCs w:val="15"/>
                <w:color w:val="auto"/>
                <w:w w:val="88"/>
              </w:rPr>
              <w:t>FOR</w:t>
            </w:r>
          </w:p>
        </w:tc>
        <w:tc>
          <w:tcPr>
            <w:tcW w:w="132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RETROFITTING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rPr>
              <w:t>VENDING</w:t>
            </w:r>
          </w:p>
        </w:tc>
        <w:tc>
          <w:tcPr>
            <w:tcW w:w="1280" w:type="dxa"/>
            <w:vAlign w:val="bottom"/>
            <w:gridSpan w:val="5"/>
          </w:tcPr>
          <w:p>
            <w:pPr>
              <w:jc w:val="center"/>
              <w:spacing w:after="0" w:line="155" w:lineRule="exact"/>
              <w:rPr>
                <w:sz w:val="20"/>
                <w:szCs w:val="20"/>
                <w:color w:val="auto"/>
              </w:rPr>
            </w:pPr>
            <w:r>
              <w:rPr>
                <w:rFonts w:ascii="Arial" w:cs="Arial" w:eastAsia="Arial" w:hAnsi="Arial"/>
                <w:sz w:val="15"/>
                <w:szCs w:val="15"/>
                <w:color w:val="auto"/>
                <w:w w:val="91"/>
              </w:rPr>
              <w:t>SYSTEMS</w:t>
            </w:r>
          </w:p>
        </w:tc>
        <w:tc>
          <w:tcPr>
            <w:tcW w:w="48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93"/>
              </w:rPr>
              <w:t>WITH</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w w:val="94"/>
              </w:rPr>
              <w:t>WIRELESS COMMUNICATION</w:t>
            </w: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USE-719JP</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w w:val="98"/>
              </w:rPr>
              <w:t>INTERFACE</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JP</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2014-021859</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10/1/2014</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1534461</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8/28/2015</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8/28/20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CONTROLLER</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USE-719US</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w w:val="98"/>
              </w:rPr>
              <w:t>INTERFACE</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29/486,788</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4/2/2014</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D727,428</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4/21/2015</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4/21/20</w:t>
            </w: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rPr>
              <w:t>CONTROLLER</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USE-721US</w:t>
            </w:r>
          </w:p>
        </w:tc>
        <w:tc>
          <w:tcPr>
            <w:tcW w:w="11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UNATTENDED</w:t>
            </w:r>
          </w:p>
        </w:tc>
        <w:tc>
          <w:tcPr>
            <w:tcW w:w="58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8"/>
              </w:rPr>
              <w:t>RETAIL</w:t>
            </w: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w w:val="94"/>
              </w:rPr>
              <w:t>SYSTEMS,</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14/485,274</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9/12/2014</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9,245,269</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1/26/2016</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w w:val="95"/>
              </w:rPr>
              <w:t>METHODS</w:t>
            </w:r>
          </w:p>
        </w:tc>
        <w:tc>
          <w:tcPr>
            <w:tcW w:w="440" w:type="dxa"/>
            <w:vAlign w:val="bottom"/>
            <w:gridSpan w:val="2"/>
          </w:tcPr>
          <w:p>
            <w:pPr>
              <w:ind w:left="120"/>
              <w:spacing w:after="0" w:line="155" w:lineRule="exact"/>
              <w:rPr>
                <w:sz w:val="20"/>
                <w:szCs w:val="20"/>
                <w:color w:val="auto"/>
              </w:rPr>
            </w:pPr>
            <w:r>
              <w:rPr>
                <w:rFonts w:ascii="Arial" w:cs="Arial" w:eastAsia="Arial" w:hAnsi="Arial"/>
                <w:sz w:val="15"/>
                <w:szCs w:val="15"/>
                <w:color w:val="auto"/>
                <w:w w:val="94"/>
              </w:rPr>
              <w:t>AND</w:t>
            </w:r>
          </w:p>
        </w:tc>
        <w:tc>
          <w:tcPr>
            <w:tcW w:w="840" w:type="dxa"/>
            <w:vAlign w:val="bottom"/>
            <w:gridSpan w:val="3"/>
          </w:tcPr>
          <w:p>
            <w:pPr>
              <w:jc w:val="right"/>
              <w:spacing w:after="0" w:line="155" w:lineRule="exact"/>
              <w:rPr>
                <w:sz w:val="20"/>
                <w:szCs w:val="20"/>
                <w:color w:val="auto"/>
              </w:rPr>
            </w:pPr>
            <w:r>
              <w:rPr>
                <w:rFonts w:ascii="Arial" w:cs="Arial" w:eastAsia="Arial" w:hAnsi="Arial"/>
                <w:sz w:val="15"/>
                <w:szCs w:val="15"/>
                <w:color w:val="auto"/>
              </w:rPr>
              <w:t>DEVICES</w:t>
            </w:r>
          </w:p>
        </w:tc>
        <w:tc>
          <w:tcPr>
            <w:tcW w:w="48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FOR</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rPr>
              <w:t>LINKING</w:t>
            </w:r>
          </w:p>
        </w:tc>
        <w:tc>
          <w:tcPr>
            <w:tcW w:w="920" w:type="dxa"/>
            <w:vAlign w:val="bottom"/>
            <w:gridSpan w:val="4"/>
          </w:tcPr>
          <w:p>
            <w:pPr>
              <w:jc w:val="center"/>
              <w:ind w:right="7"/>
              <w:spacing w:after="0" w:line="155" w:lineRule="exact"/>
              <w:rPr>
                <w:sz w:val="20"/>
                <w:szCs w:val="20"/>
                <w:color w:val="auto"/>
              </w:rPr>
            </w:pPr>
            <w:r>
              <w:rPr>
                <w:rFonts w:ascii="Arial" w:cs="Arial" w:eastAsia="Arial" w:hAnsi="Arial"/>
                <w:sz w:val="15"/>
                <w:szCs w:val="15"/>
                <w:color w:val="auto"/>
                <w:w w:val="92"/>
              </w:rPr>
              <w:t>PAYMENTS,</w:t>
            </w:r>
          </w:p>
        </w:tc>
        <w:tc>
          <w:tcPr>
            <w:tcW w:w="8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LOYALTY,</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5"/>
                <w:szCs w:val="15"/>
                <w:color w:val="auto"/>
                <w:w w:val="94"/>
              </w:rPr>
              <w:t>AND REWARDS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USE-726US</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800" w:type="dxa"/>
            <w:vAlign w:val="bottom"/>
            <w:gridSpan w:val="3"/>
          </w:tcPr>
          <w:p>
            <w:pPr>
              <w:ind w:left="120"/>
              <w:spacing w:after="0" w:line="130" w:lineRule="exact"/>
              <w:rPr>
                <w:sz w:val="20"/>
                <w:szCs w:val="20"/>
                <w:color w:val="auto"/>
              </w:rPr>
            </w:pPr>
            <w:r>
              <w:rPr>
                <w:rFonts w:ascii="Arial" w:cs="Arial" w:eastAsia="Arial" w:hAnsi="Arial"/>
                <w:sz w:val="15"/>
                <w:szCs w:val="15"/>
                <w:color w:val="auto"/>
                <w:w w:val="95"/>
              </w:rPr>
              <w:t>MACHINE</w:t>
            </w: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SYSTEMS</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12/351,222</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1/16/2012</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8,788,341</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7/22/2014</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4/27/20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16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USING  STANDARD</w:t>
            </w:r>
          </w:p>
        </w:tc>
        <w:tc>
          <w:tcPr>
            <w:tcW w:w="9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95"/>
              </w:rPr>
              <w:t>INVENTORY</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rPr>
              <w:t>CONTROL SYSTEM COMPONEN</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USE-727US</w:t>
            </w:r>
          </w:p>
        </w:tc>
        <w:tc>
          <w:tcPr>
            <w:tcW w:w="800" w:type="dxa"/>
            <w:vAlign w:val="bottom"/>
          </w:tcPr>
          <w:p>
            <w:pPr>
              <w:ind w:left="60"/>
              <w:spacing w:after="0" w:line="130" w:lineRule="exact"/>
              <w:rPr>
                <w:sz w:val="20"/>
                <w:szCs w:val="20"/>
                <w:color w:val="auto"/>
              </w:rPr>
            </w:pPr>
            <w:r>
              <w:rPr>
                <w:rFonts w:ascii="Arial" w:cs="Arial" w:eastAsia="Arial" w:hAnsi="Arial"/>
                <w:sz w:val="15"/>
                <w:szCs w:val="15"/>
                <w:color w:val="auto"/>
              </w:rPr>
              <w:t>VENDING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MACHINE</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12/768,726</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4/27/2010</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8,583,280</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11/12/2013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4/27/20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NUTRITIONAL</w:t>
            </w:r>
          </w:p>
        </w:tc>
        <w:tc>
          <w:tcPr>
            <w:tcW w:w="100" w:type="dxa"/>
            <w:vAlign w:val="bottom"/>
          </w:tcPr>
          <w:p>
            <w:pPr>
              <w:spacing w:after="0"/>
              <w:rPr>
                <w:sz w:val="13"/>
                <w:szCs w:val="13"/>
                <w:color w:val="auto"/>
              </w:rPr>
            </w:pPr>
          </w:p>
        </w:tc>
        <w:tc>
          <w:tcPr>
            <w:tcW w:w="132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INFORMATION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rPr>
              <w:t>DISPLAY</w:t>
            </w:r>
          </w:p>
        </w:tc>
        <w:tc>
          <w:tcPr>
            <w:tcW w:w="920" w:type="dxa"/>
            <w:vAlign w:val="bottom"/>
            <w:gridSpan w:val="4"/>
          </w:tcPr>
          <w:p>
            <w:pPr>
              <w:jc w:val="center"/>
              <w:ind w:left="67"/>
              <w:spacing w:after="0" w:line="155" w:lineRule="exact"/>
              <w:rPr>
                <w:sz w:val="20"/>
                <w:szCs w:val="20"/>
                <w:color w:val="auto"/>
              </w:rPr>
            </w:pPr>
            <w:r>
              <w:rPr>
                <w:rFonts w:ascii="Arial" w:cs="Arial" w:eastAsia="Arial" w:hAnsi="Arial"/>
                <w:sz w:val="15"/>
                <w:szCs w:val="15"/>
                <w:color w:val="auto"/>
                <w:w w:val="93"/>
              </w:rPr>
              <w:t>SYSTEM</w:t>
            </w:r>
          </w:p>
        </w:tc>
        <w:tc>
          <w:tcPr>
            <w:tcW w:w="8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USING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w w:val="97"/>
              </w:rPr>
              <w:t>STANDARD INVENTORY CONTROL</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w w:val="94"/>
              </w:rPr>
              <w:t>SYSTEM COMPONENTS</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USEB-100AU</w:t>
            </w:r>
          </w:p>
        </w:tc>
        <w:tc>
          <w:tcPr>
            <w:tcW w:w="114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0"/>
              </w:rPr>
              <w:t>REFRIGERATED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VENDING</w:t>
            </w:r>
          </w:p>
        </w:tc>
        <w:tc>
          <w:tcPr>
            <w:tcW w:w="400" w:type="dxa"/>
            <w:vAlign w:val="bottom"/>
          </w:tcPr>
          <w:p>
            <w:pPr>
              <w:ind w:left="60"/>
              <w:spacing w:after="0" w:line="130" w:lineRule="exact"/>
              <w:rPr>
                <w:sz w:val="20"/>
                <w:szCs w:val="20"/>
                <w:color w:val="auto"/>
              </w:rPr>
            </w:pPr>
            <w:r>
              <w:rPr>
                <w:rFonts w:ascii="Arial" w:cs="Arial" w:eastAsia="Arial" w:hAnsi="Arial"/>
                <w:sz w:val="15"/>
                <w:szCs w:val="15"/>
                <w:color w:val="auto"/>
              </w:rPr>
              <w:t>AU</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2001263356</w:t>
            </w:r>
          </w:p>
        </w:tc>
        <w:tc>
          <w:tcPr>
            <w:tcW w:w="9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5/22/2001</w:t>
            </w:r>
          </w:p>
        </w:tc>
        <w:tc>
          <w:tcPr>
            <w:tcW w:w="11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2001263356</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1/13/2005</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5/22/20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7"/>
          </w:tcPr>
          <w:p>
            <w:pPr>
              <w:ind w:left="60"/>
              <w:spacing w:after="0" w:line="155" w:lineRule="exact"/>
              <w:rPr>
                <w:sz w:val="20"/>
                <w:szCs w:val="20"/>
                <w:color w:val="auto"/>
              </w:rPr>
            </w:pPr>
            <w:r>
              <w:rPr>
                <w:rFonts w:ascii="Arial" w:cs="Arial" w:eastAsia="Arial" w:hAnsi="Arial"/>
                <w:sz w:val="15"/>
                <w:szCs w:val="15"/>
                <w:color w:val="auto"/>
                <w:w w:val="98"/>
              </w:rPr>
              <w:t>MACHINE EXPLOITING EXPANDED</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3"/>
              </w:rPr>
              <w:t>TEMPERATURE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3"/>
              </w:rPr>
              <w:t>VARIANCE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tcPr>
          <w:p>
            <w:pPr>
              <w:spacing w:after="0"/>
              <w:rPr>
                <w:sz w:val="13"/>
                <w:szCs w:val="13"/>
                <w:color w:val="auto"/>
              </w:rPr>
            </w:pPr>
          </w:p>
        </w:tc>
        <w:tc>
          <w:tcPr>
            <w:tcW w:w="800" w:type="dxa"/>
            <w:vAlign w:val="bottom"/>
          </w:tcPr>
          <w:p>
            <w:pPr>
              <w:ind w:left="60"/>
              <w:spacing w:after="0" w:line="155" w:lineRule="exact"/>
              <w:rPr>
                <w:sz w:val="20"/>
                <w:szCs w:val="20"/>
                <w:color w:val="auto"/>
              </w:rPr>
            </w:pPr>
            <w:r>
              <w:rPr>
                <w:rFonts w:ascii="Arial" w:cs="Arial" w:eastAsia="Arial" w:hAnsi="Arial"/>
                <w:sz w:val="15"/>
                <w:szCs w:val="15"/>
                <w:color w:val="auto"/>
              </w:rPr>
              <w:t>DURING</w:t>
            </w:r>
          </w:p>
        </w:tc>
        <w:tc>
          <w:tcPr>
            <w:tcW w:w="1760" w:type="dxa"/>
            <w:vAlign w:val="bottom"/>
            <w:tcBorders>
              <w:right w:val="single" w:sz="8" w:color="auto"/>
            </w:tcBorders>
            <w:gridSpan w:val="6"/>
          </w:tcPr>
          <w:p>
            <w:pPr>
              <w:jc w:val="right"/>
              <w:ind w:right="27"/>
              <w:spacing w:after="0" w:line="155" w:lineRule="exact"/>
              <w:rPr>
                <w:sz w:val="20"/>
                <w:szCs w:val="20"/>
                <w:color w:val="auto"/>
              </w:rPr>
            </w:pPr>
            <w:r>
              <w:rPr>
                <w:rFonts w:ascii="Arial" w:cs="Arial" w:eastAsia="Arial" w:hAnsi="Arial"/>
                <w:sz w:val="15"/>
                <w:szCs w:val="15"/>
                <w:color w:val="auto"/>
                <w:w w:val="90"/>
              </w:rPr>
              <w:t>POWER-CONSERVATION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MODE</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2"/>
          </w:tcPr>
          <w:p>
            <w:pPr>
              <w:jc w:val="right"/>
              <w:ind w:right="1067"/>
              <w:spacing w:after="0"/>
              <w:rPr>
                <w:sz w:val="20"/>
                <w:szCs w:val="20"/>
                <w:color w:val="auto"/>
              </w:rPr>
            </w:pPr>
            <w:r>
              <w:rPr>
                <w:rFonts w:ascii="Arial" w:cs="Arial" w:eastAsia="Arial" w:hAnsi="Arial"/>
                <w:sz w:val="13"/>
                <w:szCs w:val="13"/>
                <w:color w:val="auto"/>
              </w:rPr>
              <w:t>11</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90" w:name="page191"/>
    <w:bookmarkEnd w:id="190"/>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24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USEB-100BR</w:t>
            </w:r>
          </w:p>
        </w:tc>
        <w:tc>
          <w:tcPr>
            <w:tcW w:w="2540" w:type="dxa"/>
            <w:vAlign w:val="bottom"/>
            <w:tcBorders>
              <w:top w:val="single" w:sz="8" w:color="auto"/>
              <w:right w:val="single" w:sz="8" w:color="auto"/>
            </w:tcBorders>
            <w:gridSpan w:val="6"/>
          </w:tcPr>
          <w:p>
            <w:pPr>
              <w:ind w:left="60"/>
              <w:spacing w:after="0" w:line="150" w:lineRule="exact"/>
              <w:rPr>
                <w:sz w:val="20"/>
                <w:szCs w:val="20"/>
                <w:color w:val="auto"/>
              </w:rPr>
            </w:pPr>
            <w:r>
              <w:rPr>
                <w:rFonts w:ascii="Arial" w:cs="Arial" w:eastAsia="Arial" w:hAnsi="Arial"/>
                <w:sz w:val="15"/>
                <w:szCs w:val="15"/>
                <w:color w:val="auto"/>
                <w:w w:val="95"/>
              </w:rPr>
              <w:t>TEMPERATURE CONTROLLER FOR</w:t>
            </w:r>
          </w:p>
        </w:tc>
        <w:tc>
          <w:tcPr>
            <w:tcW w:w="56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BR</w:t>
            </w:r>
          </w:p>
        </w:tc>
        <w:tc>
          <w:tcPr>
            <w:tcW w:w="1340" w:type="dxa"/>
            <w:vAlign w:val="bottom"/>
            <w:tcBorders>
              <w:top w:val="single" w:sz="8" w:color="auto"/>
              <w:right w:val="single" w:sz="8" w:color="auto"/>
            </w:tcBorders>
          </w:tcPr>
          <w:p>
            <w:pPr>
              <w:ind w:left="80"/>
              <w:spacing w:after="0" w:line="150" w:lineRule="exact"/>
              <w:rPr>
                <w:sz w:val="20"/>
                <w:szCs w:val="20"/>
                <w:color w:val="auto"/>
              </w:rPr>
            </w:pPr>
            <w:r>
              <w:rPr>
                <w:rFonts w:ascii="Arial" w:cs="Arial" w:eastAsia="Arial" w:hAnsi="Arial"/>
                <w:sz w:val="15"/>
                <w:szCs w:val="15"/>
                <w:color w:val="auto"/>
              </w:rPr>
              <w:t>0111132-9</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5/22/2001</w:t>
            </w:r>
          </w:p>
        </w:tc>
        <w:tc>
          <w:tcPr>
            <w:tcW w:w="106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PI0111132-9</w:t>
            </w:r>
          </w:p>
        </w:tc>
        <w:tc>
          <w:tcPr>
            <w:tcW w:w="940" w:type="dxa"/>
            <w:vAlign w:val="bottom"/>
            <w:tcBorders>
              <w:top w:val="single" w:sz="8" w:color="auto"/>
              <w:right w:val="single" w:sz="8" w:color="auto"/>
            </w:tcBorders>
          </w:tcPr>
          <w:p>
            <w:pPr>
              <w:ind w:left="80"/>
              <w:spacing w:after="0" w:line="150" w:lineRule="exact"/>
              <w:rPr>
                <w:sz w:val="20"/>
                <w:szCs w:val="20"/>
                <w:color w:val="auto"/>
              </w:rPr>
            </w:pPr>
            <w:r>
              <w:rPr>
                <w:rFonts w:ascii="Arial" w:cs="Arial" w:eastAsia="Arial" w:hAnsi="Arial"/>
                <w:sz w:val="15"/>
                <w:szCs w:val="15"/>
                <w:color w:val="auto"/>
              </w:rPr>
              <w:t>4/24/2013</w:t>
            </w:r>
          </w:p>
        </w:tc>
        <w:tc>
          <w:tcPr>
            <w:tcW w:w="1060" w:type="dxa"/>
            <w:vAlign w:val="bottom"/>
            <w:tcBorders>
              <w:top w:val="single" w:sz="8" w:color="auto"/>
              <w:right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rPr>
              <w:t>ISSUED</w:t>
            </w:r>
          </w:p>
        </w:tc>
        <w:tc>
          <w:tcPr>
            <w:tcW w:w="52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9"/>
              </w:rPr>
              <w:t>4/23/20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w:t>
            </w:r>
          </w:p>
        </w:tc>
        <w:tc>
          <w:tcPr>
            <w:tcW w:w="1340" w:type="dxa"/>
            <w:vAlign w:val="bottom"/>
            <w:gridSpan w:val="3"/>
          </w:tcPr>
          <w:p>
            <w:pPr>
              <w:jc w:val="right"/>
              <w:ind w:right="167"/>
              <w:spacing w:after="0" w:line="155" w:lineRule="exact"/>
              <w:rPr>
                <w:sz w:val="20"/>
                <w:szCs w:val="20"/>
                <w:color w:val="auto"/>
              </w:rPr>
            </w:pPr>
            <w:r>
              <w:rPr>
                <w:rFonts w:ascii="Arial" w:cs="Arial" w:eastAsia="Arial" w:hAnsi="Arial"/>
                <w:sz w:val="15"/>
                <w:szCs w:val="15"/>
                <w:color w:val="auto"/>
                <w:w w:val="91"/>
              </w:rPr>
              <w:t>REFRIGERATED</w:t>
            </w:r>
          </w:p>
        </w:tc>
        <w:tc>
          <w:tcPr>
            <w:tcW w:w="80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9"/>
              </w:rPr>
              <w:t>VENDING</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MACHINE</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USEB-100CA</w:t>
            </w:r>
          </w:p>
        </w:tc>
        <w:tc>
          <w:tcPr>
            <w:tcW w:w="2540" w:type="dxa"/>
            <w:vAlign w:val="bottom"/>
            <w:tcBorders>
              <w:right w:val="single" w:sz="8" w:color="auto"/>
            </w:tcBorders>
            <w:gridSpan w:val="6"/>
          </w:tcPr>
          <w:p>
            <w:pPr>
              <w:ind w:left="60"/>
              <w:spacing w:after="0" w:line="130" w:lineRule="exact"/>
              <w:rPr>
                <w:sz w:val="20"/>
                <w:szCs w:val="20"/>
                <w:color w:val="auto"/>
              </w:rPr>
            </w:pPr>
            <w:r>
              <w:rPr>
                <w:rFonts w:ascii="Arial" w:cs="Arial" w:eastAsia="Arial" w:hAnsi="Arial"/>
                <w:sz w:val="15"/>
                <w:szCs w:val="15"/>
                <w:color w:val="auto"/>
                <w:w w:val="95"/>
              </w:rPr>
              <w:t>TEMPERATURE CONTROLLER FOR</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CA</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2,409,228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5/22/2001</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2,409,228</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3/9/2010</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5/22/20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w:t>
            </w:r>
          </w:p>
        </w:tc>
        <w:tc>
          <w:tcPr>
            <w:tcW w:w="1340" w:type="dxa"/>
            <w:vAlign w:val="bottom"/>
            <w:gridSpan w:val="3"/>
          </w:tcPr>
          <w:p>
            <w:pPr>
              <w:jc w:val="right"/>
              <w:ind w:right="167"/>
              <w:spacing w:after="0" w:line="155" w:lineRule="exact"/>
              <w:rPr>
                <w:sz w:val="20"/>
                <w:szCs w:val="20"/>
                <w:color w:val="auto"/>
              </w:rPr>
            </w:pPr>
            <w:r>
              <w:rPr>
                <w:rFonts w:ascii="Arial" w:cs="Arial" w:eastAsia="Arial" w:hAnsi="Arial"/>
                <w:sz w:val="15"/>
                <w:szCs w:val="15"/>
                <w:color w:val="auto"/>
                <w:w w:val="91"/>
              </w:rPr>
              <w:t>REFRIGERATED</w:t>
            </w:r>
          </w:p>
        </w:tc>
        <w:tc>
          <w:tcPr>
            <w:tcW w:w="80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9"/>
              </w:rPr>
              <w:t>VENDING</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MACHINE</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USEB-100MX</w:t>
            </w:r>
          </w:p>
        </w:tc>
        <w:tc>
          <w:tcPr>
            <w:tcW w:w="2540" w:type="dxa"/>
            <w:vAlign w:val="bottom"/>
            <w:tcBorders>
              <w:right w:val="single" w:sz="8" w:color="auto"/>
            </w:tcBorders>
            <w:gridSpan w:val="6"/>
          </w:tcPr>
          <w:p>
            <w:pPr>
              <w:ind w:left="60"/>
              <w:spacing w:after="0" w:line="130" w:lineRule="exact"/>
              <w:rPr>
                <w:sz w:val="20"/>
                <w:szCs w:val="20"/>
                <w:color w:val="auto"/>
              </w:rPr>
            </w:pPr>
            <w:r>
              <w:rPr>
                <w:rFonts w:ascii="Arial" w:cs="Arial" w:eastAsia="Arial" w:hAnsi="Arial"/>
                <w:sz w:val="15"/>
                <w:szCs w:val="15"/>
                <w:color w:val="auto"/>
                <w:w w:val="95"/>
              </w:rPr>
              <w:t>TEMPERATURE CONTROLLER FOR</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MX</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w w:val="96"/>
              </w:rPr>
              <w:t>PA/A/2002/011689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5/22/2001</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234363</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2/13/2006</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5/22/20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w:t>
            </w:r>
          </w:p>
        </w:tc>
        <w:tc>
          <w:tcPr>
            <w:tcW w:w="1340" w:type="dxa"/>
            <w:vAlign w:val="bottom"/>
            <w:gridSpan w:val="3"/>
          </w:tcPr>
          <w:p>
            <w:pPr>
              <w:jc w:val="right"/>
              <w:ind w:right="167"/>
              <w:spacing w:after="0" w:line="155" w:lineRule="exact"/>
              <w:rPr>
                <w:sz w:val="20"/>
                <w:szCs w:val="20"/>
                <w:color w:val="auto"/>
              </w:rPr>
            </w:pPr>
            <w:r>
              <w:rPr>
                <w:rFonts w:ascii="Arial" w:cs="Arial" w:eastAsia="Arial" w:hAnsi="Arial"/>
                <w:sz w:val="15"/>
                <w:szCs w:val="15"/>
                <w:color w:val="auto"/>
                <w:w w:val="91"/>
              </w:rPr>
              <w:t>REFRIGERATED</w:t>
            </w:r>
          </w:p>
        </w:tc>
        <w:tc>
          <w:tcPr>
            <w:tcW w:w="80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9"/>
              </w:rPr>
              <w:t>VENDING</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MACHINE</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USEB-100US</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REFRIGERATED</w:t>
            </w:r>
          </w:p>
        </w:tc>
        <w:tc>
          <w:tcPr>
            <w:tcW w:w="800" w:type="dxa"/>
            <w:vAlign w:val="bottom"/>
            <w:tcBorders>
              <w:right w:val="single" w:sz="8" w:color="auto"/>
            </w:tcBorders>
            <w:gridSpan w:val="2"/>
          </w:tcPr>
          <w:p>
            <w:pPr>
              <w:jc w:val="right"/>
              <w:ind w:right="47"/>
              <w:spacing w:after="0" w:line="130" w:lineRule="exact"/>
              <w:rPr>
                <w:sz w:val="20"/>
                <w:szCs w:val="20"/>
                <w:color w:val="auto"/>
              </w:rPr>
            </w:pPr>
            <w:r>
              <w:rPr>
                <w:rFonts w:ascii="Arial" w:cs="Arial" w:eastAsia="Arial" w:hAnsi="Arial"/>
                <w:sz w:val="15"/>
                <w:szCs w:val="15"/>
                <w:color w:val="auto"/>
                <w:w w:val="96"/>
              </w:rPr>
              <w:t>VENDING</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US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09/579,411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5/25/2000</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6,389,822</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5/21/2002</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5/25/20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MACHINE</w:t>
            </w:r>
          </w:p>
        </w:tc>
        <w:tc>
          <w:tcPr>
            <w:tcW w:w="1600" w:type="dxa"/>
            <w:vAlign w:val="bottom"/>
            <w:tcBorders>
              <w:right w:val="single" w:sz="8" w:color="auto"/>
            </w:tcBorders>
            <w:gridSpan w:val="3"/>
          </w:tcPr>
          <w:p>
            <w:pPr>
              <w:jc w:val="right"/>
              <w:ind w:right="47"/>
              <w:spacing w:after="0" w:line="155" w:lineRule="exact"/>
              <w:rPr>
                <w:sz w:val="20"/>
                <w:szCs w:val="20"/>
                <w:color w:val="auto"/>
              </w:rPr>
            </w:pPr>
            <w:r>
              <w:rPr>
                <w:rFonts w:ascii="Arial" w:cs="Arial" w:eastAsia="Arial" w:hAnsi="Arial"/>
                <w:sz w:val="15"/>
                <w:szCs w:val="15"/>
                <w:color w:val="auto"/>
              </w:rPr>
              <w:t>EXPLOITING</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EXPANDED</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TEMPERATURE</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VARIANCE</w:t>
            </w:r>
          </w:p>
        </w:tc>
        <w:tc>
          <w:tcPr>
            <w:tcW w:w="800" w:type="dxa"/>
            <w:vAlign w:val="bottom"/>
          </w:tcPr>
          <w:p>
            <w:pPr>
              <w:jc w:val="right"/>
              <w:ind w:right="47"/>
              <w:spacing w:after="0" w:line="155" w:lineRule="exact"/>
              <w:rPr>
                <w:sz w:val="20"/>
                <w:szCs w:val="20"/>
                <w:color w:val="auto"/>
              </w:rPr>
            </w:pPr>
            <w:r>
              <w:rPr>
                <w:rFonts w:ascii="Arial" w:cs="Arial" w:eastAsia="Arial" w:hAnsi="Arial"/>
                <w:sz w:val="15"/>
                <w:szCs w:val="15"/>
                <w:color w:val="auto"/>
              </w:rPr>
              <w:t>DURING</w:t>
            </w:r>
          </w:p>
        </w:tc>
        <w:tc>
          <w:tcPr>
            <w:tcW w:w="80" w:type="dxa"/>
            <w:vAlign w:val="bottom"/>
          </w:tcPr>
          <w:p>
            <w:pPr>
              <w:spacing w:after="0"/>
              <w:rPr>
                <w:sz w:val="13"/>
                <w:szCs w:val="13"/>
                <w:color w:val="auto"/>
              </w:rPr>
            </w:pPr>
          </w:p>
        </w:tc>
        <w:tc>
          <w:tcPr>
            <w:tcW w:w="72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w w:val="93"/>
              </w:rPr>
              <w:t>POWER-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w w:val="98"/>
              </w:rPr>
              <w:t>CONSERVATION MODE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USEB-101US</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5"/>
              </w:rPr>
              <w:t>METHOD</w:t>
            </w:r>
          </w:p>
        </w:tc>
        <w:tc>
          <w:tcPr>
            <w:tcW w:w="184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AND  APPARATUS  FOR</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US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10/901,615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7/28/2004</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7,286,907</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10/23/2007</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4/7/202</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gridSpan w:val="6"/>
          </w:tcPr>
          <w:p>
            <w:pPr>
              <w:ind w:left="60"/>
              <w:spacing w:after="0" w:line="155" w:lineRule="exact"/>
              <w:rPr>
                <w:sz w:val="20"/>
                <w:szCs w:val="20"/>
                <w:color w:val="auto"/>
              </w:rPr>
            </w:pPr>
            <w:r>
              <w:rPr>
                <w:rFonts w:ascii="Arial" w:cs="Arial" w:eastAsia="Arial" w:hAnsi="Arial"/>
                <w:sz w:val="15"/>
                <w:szCs w:val="15"/>
                <w:color w:val="auto"/>
                <w:w w:val="96"/>
              </w:rPr>
              <w:t>CONSERVING POWER CONSUMED</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gridSpan w:val="6"/>
          </w:tcPr>
          <w:p>
            <w:pPr>
              <w:ind w:left="60"/>
              <w:spacing w:after="0" w:line="155" w:lineRule="exact"/>
              <w:rPr>
                <w:sz w:val="20"/>
                <w:szCs w:val="20"/>
                <w:color w:val="auto"/>
              </w:rPr>
            </w:pPr>
            <w:r>
              <w:rPr>
                <w:rFonts w:ascii="Arial" w:cs="Arial" w:eastAsia="Arial" w:hAnsi="Arial"/>
                <w:sz w:val="15"/>
                <w:szCs w:val="15"/>
                <w:color w:val="auto"/>
                <w:w w:val="99"/>
              </w:rPr>
              <w:t>BY A REFRIGERATED APPLIANCE</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UTILIZING</w:t>
            </w:r>
          </w:p>
        </w:tc>
        <w:tc>
          <w:tcPr>
            <w:tcW w:w="8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AUDIO</w:t>
            </w:r>
          </w:p>
        </w:tc>
        <w:tc>
          <w:tcPr>
            <w:tcW w:w="80" w:type="dxa"/>
            <w:vAlign w:val="bottom"/>
          </w:tcPr>
          <w:p>
            <w:pPr>
              <w:spacing w:after="0"/>
              <w:rPr>
                <w:sz w:val="13"/>
                <w:szCs w:val="13"/>
                <w:color w:val="auto"/>
              </w:rPr>
            </w:pPr>
          </w:p>
        </w:tc>
        <w:tc>
          <w:tcPr>
            <w:tcW w:w="72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SIGNAL</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9"/>
              </w:rPr>
              <w:t>DETECTION</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USEB-101US1</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5"/>
              </w:rPr>
              <w:t>METHOD</w:t>
            </w:r>
          </w:p>
        </w:tc>
        <w:tc>
          <w:tcPr>
            <w:tcW w:w="184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AND  APPARATUS  FOR</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US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11/875,201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10/19/2007</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7,856,289</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12/21/2010</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7/28/20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gridSpan w:val="6"/>
          </w:tcPr>
          <w:p>
            <w:pPr>
              <w:ind w:left="60"/>
              <w:spacing w:after="0" w:line="155" w:lineRule="exact"/>
              <w:rPr>
                <w:sz w:val="20"/>
                <w:szCs w:val="20"/>
                <w:color w:val="auto"/>
              </w:rPr>
            </w:pPr>
            <w:r>
              <w:rPr>
                <w:rFonts w:ascii="Arial" w:cs="Arial" w:eastAsia="Arial" w:hAnsi="Arial"/>
                <w:sz w:val="15"/>
                <w:szCs w:val="15"/>
                <w:color w:val="auto"/>
                <w:w w:val="96"/>
              </w:rPr>
              <w:t>CONSERVING POWER CONSUMED</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BY</w:t>
            </w:r>
          </w:p>
        </w:tc>
        <w:tc>
          <w:tcPr>
            <w:tcW w:w="300" w:type="dxa"/>
            <w:vAlign w:val="bottom"/>
          </w:tcPr>
          <w:p>
            <w:pPr>
              <w:ind w:left="100"/>
              <w:spacing w:after="0" w:line="155" w:lineRule="exact"/>
              <w:rPr>
                <w:sz w:val="20"/>
                <w:szCs w:val="20"/>
                <w:color w:val="auto"/>
              </w:rPr>
            </w:pPr>
            <w:r>
              <w:rPr>
                <w:rFonts w:ascii="Arial" w:cs="Arial" w:eastAsia="Arial" w:hAnsi="Arial"/>
                <w:sz w:val="15"/>
                <w:szCs w:val="15"/>
                <w:color w:val="auto"/>
              </w:rPr>
              <w:t>A</w:t>
            </w:r>
          </w:p>
        </w:tc>
        <w:tc>
          <w:tcPr>
            <w:tcW w:w="1040" w:type="dxa"/>
            <w:vAlign w:val="bottom"/>
            <w:gridSpan w:val="2"/>
          </w:tcPr>
          <w:p>
            <w:pPr>
              <w:jc w:val="right"/>
              <w:ind w:right="147"/>
              <w:spacing w:after="0" w:line="155" w:lineRule="exact"/>
              <w:rPr>
                <w:sz w:val="20"/>
                <w:szCs w:val="20"/>
                <w:color w:val="auto"/>
              </w:rPr>
            </w:pPr>
            <w:r>
              <w:rPr>
                <w:rFonts w:ascii="Arial" w:cs="Arial" w:eastAsia="Arial" w:hAnsi="Arial"/>
                <w:sz w:val="15"/>
                <w:szCs w:val="15"/>
                <w:color w:val="auto"/>
              </w:rPr>
              <w:t>VENDING</w:t>
            </w:r>
          </w:p>
        </w:tc>
        <w:tc>
          <w:tcPr>
            <w:tcW w:w="80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w w:val="95"/>
              </w:rPr>
              <w:t>MACHINE</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UTILIZING</w:t>
            </w:r>
          </w:p>
        </w:tc>
        <w:tc>
          <w:tcPr>
            <w:tcW w:w="8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AUDIO</w:t>
            </w:r>
          </w:p>
        </w:tc>
        <w:tc>
          <w:tcPr>
            <w:tcW w:w="80" w:type="dxa"/>
            <w:vAlign w:val="bottom"/>
          </w:tcPr>
          <w:p>
            <w:pPr>
              <w:spacing w:after="0"/>
              <w:rPr>
                <w:sz w:val="13"/>
                <w:szCs w:val="13"/>
                <w:color w:val="auto"/>
              </w:rPr>
            </w:pPr>
          </w:p>
        </w:tc>
        <w:tc>
          <w:tcPr>
            <w:tcW w:w="72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SIGNAL</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9"/>
              </w:rPr>
              <w:t>DETECTION</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USEB-102DE</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DE</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60225149.4</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USEB-102EP</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EP</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1419425</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USEB-102ES</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ES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1419425</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USEB-102FR</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FR</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1419425</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USEB-102GB</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GB</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1419425</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USEB-102IT</w:t>
            </w:r>
          </w:p>
        </w:tc>
        <w:tc>
          <w:tcPr>
            <w:tcW w:w="17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1"/>
              </w:rPr>
              <w:t>POWER-CONSERVATION</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right"/>
              <w:ind w:right="47"/>
              <w:spacing w:after="0" w:line="130" w:lineRule="exact"/>
              <w:rPr>
                <w:sz w:val="20"/>
                <w:szCs w:val="20"/>
                <w:color w:val="auto"/>
              </w:rPr>
            </w:pPr>
            <w:r>
              <w:rPr>
                <w:rFonts w:ascii="Arial" w:cs="Arial" w:eastAsia="Arial" w:hAnsi="Arial"/>
                <w:sz w:val="15"/>
                <w:szCs w:val="15"/>
                <w:color w:val="auto"/>
                <w:w w:val="93"/>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IT</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02740000.1</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6/27/2002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1419425</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2/20/2008</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6/27/20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USEB-102US</w:t>
            </w:r>
          </w:p>
        </w:tc>
        <w:tc>
          <w:tcPr>
            <w:tcW w:w="1820" w:type="dxa"/>
            <w:vAlign w:val="bottom"/>
            <w:gridSpan w:val="5"/>
          </w:tcPr>
          <w:p>
            <w:pPr>
              <w:ind w:left="60"/>
              <w:spacing w:after="0" w:line="130" w:lineRule="exact"/>
              <w:rPr>
                <w:sz w:val="20"/>
                <w:szCs w:val="20"/>
                <w:color w:val="auto"/>
              </w:rPr>
            </w:pPr>
            <w:r>
              <w:rPr>
                <w:rFonts w:ascii="Arial" w:cs="Arial" w:eastAsia="Arial" w:hAnsi="Arial"/>
                <w:sz w:val="15"/>
                <w:szCs w:val="15"/>
                <w:color w:val="auto"/>
                <w:w w:val="94"/>
              </w:rPr>
              <w:t>POWER  CONSERVATION</w:t>
            </w:r>
          </w:p>
        </w:tc>
        <w:tc>
          <w:tcPr>
            <w:tcW w:w="72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97"/>
              </w:rPr>
              <w:t>SYSTEM</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US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09/899,499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7/5/2001</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6,801,836</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10/5/2004</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7/5/202</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BASED</w:t>
            </w:r>
          </w:p>
        </w:tc>
        <w:tc>
          <w:tcPr>
            <w:tcW w:w="240" w:type="dxa"/>
            <w:vAlign w:val="bottom"/>
          </w:tcPr>
          <w:p>
            <w:pPr>
              <w:ind w:left="20"/>
              <w:spacing w:after="0" w:line="155" w:lineRule="exact"/>
              <w:rPr>
                <w:sz w:val="20"/>
                <w:szCs w:val="20"/>
                <w:color w:val="auto"/>
              </w:rPr>
            </w:pPr>
            <w:r>
              <w:rPr>
                <w:rFonts w:ascii="Arial" w:cs="Arial" w:eastAsia="Arial" w:hAnsi="Arial"/>
                <w:sz w:val="15"/>
                <w:szCs w:val="15"/>
                <w:color w:val="auto"/>
                <w:w w:val="88"/>
              </w:rPr>
              <w:t>ON</w:t>
            </w: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INDOOR/OUTDOOR</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40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AMBIENT-LIGHT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DETERMINATION</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USEB-104US</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5"/>
              </w:rPr>
              <w:t>METHOD</w:t>
            </w:r>
          </w:p>
        </w:tc>
        <w:tc>
          <w:tcPr>
            <w:tcW w:w="184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AND  APPARATUS  FOR</w:t>
            </w:r>
          </w:p>
        </w:tc>
        <w:tc>
          <w:tcPr>
            <w:tcW w:w="5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US</w:t>
            </w:r>
          </w:p>
        </w:tc>
        <w:tc>
          <w:tcPr>
            <w:tcW w:w="13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10/350,567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1/24/2003</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6,898,942</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5/31/2005</w:t>
            </w:r>
          </w:p>
        </w:tc>
        <w:tc>
          <w:tcPr>
            <w:tcW w:w="106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20" w:type="dxa"/>
            <w:vAlign w:val="bottom"/>
          </w:tcPr>
          <w:p>
            <w:pPr>
              <w:jc w:val="right"/>
              <w:spacing w:after="0" w:line="130" w:lineRule="exact"/>
              <w:rPr>
                <w:sz w:val="20"/>
                <w:szCs w:val="20"/>
                <w:color w:val="auto"/>
              </w:rPr>
            </w:pPr>
            <w:r>
              <w:rPr>
                <w:rFonts w:ascii="Arial" w:cs="Arial" w:eastAsia="Arial" w:hAnsi="Arial"/>
                <w:sz w:val="15"/>
                <w:szCs w:val="15"/>
                <w:color w:val="auto"/>
                <w:w w:val="99"/>
              </w:rPr>
              <w:t>1/24/20</w:t>
            </w: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gridSpan w:val="6"/>
          </w:tcPr>
          <w:p>
            <w:pPr>
              <w:ind w:left="60"/>
              <w:spacing w:after="0" w:line="155" w:lineRule="exact"/>
              <w:rPr>
                <w:sz w:val="20"/>
                <w:szCs w:val="20"/>
                <w:color w:val="auto"/>
              </w:rPr>
            </w:pPr>
            <w:r>
              <w:rPr>
                <w:rFonts w:ascii="Arial" w:cs="Arial" w:eastAsia="Arial" w:hAnsi="Arial"/>
                <w:sz w:val="15"/>
                <w:szCs w:val="15"/>
                <w:color w:val="auto"/>
                <w:w w:val="96"/>
              </w:rPr>
              <w:t>CONSERVING POWER CONSUMED</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2540" w:type="dxa"/>
            <w:vAlign w:val="bottom"/>
            <w:tcBorders>
              <w:right w:val="single" w:sz="8" w:color="auto"/>
            </w:tcBorders>
            <w:gridSpan w:val="6"/>
          </w:tcPr>
          <w:p>
            <w:pPr>
              <w:ind w:left="60"/>
              <w:spacing w:after="0" w:line="155" w:lineRule="exact"/>
              <w:rPr>
                <w:sz w:val="20"/>
                <w:szCs w:val="20"/>
                <w:color w:val="auto"/>
              </w:rPr>
            </w:pPr>
            <w:r>
              <w:rPr>
                <w:rFonts w:ascii="Arial" w:cs="Arial" w:eastAsia="Arial" w:hAnsi="Arial"/>
                <w:sz w:val="15"/>
                <w:szCs w:val="15"/>
                <w:color w:val="auto"/>
                <w:w w:val="99"/>
              </w:rPr>
              <w:t>BY A REFRIGERATED APPLIANCE</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94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UTILIZING</w:t>
            </w:r>
          </w:p>
        </w:tc>
        <w:tc>
          <w:tcPr>
            <w:tcW w:w="880" w:type="dxa"/>
            <w:vAlign w:val="bottom"/>
            <w:gridSpan w:val="2"/>
          </w:tcPr>
          <w:p>
            <w:pPr>
              <w:spacing w:after="0" w:line="155" w:lineRule="exact"/>
              <w:rPr>
                <w:sz w:val="20"/>
                <w:szCs w:val="20"/>
                <w:color w:val="auto"/>
              </w:rPr>
            </w:pPr>
            <w:r>
              <w:rPr>
                <w:rFonts w:ascii="Arial" w:cs="Arial" w:eastAsia="Arial" w:hAnsi="Arial"/>
                <w:sz w:val="15"/>
                <w:szCs w:val="15"/>
                <w:color w:val="auto"/>
                <w:w w:val="92"/>
              </w:rPr>
              <w:t>DISPENSING</w:t>
            </w:r>
          </w:p>
        </w:tc>
        <w:tc>
          <w:tcPr>
            <w:tcW w:w="72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EVENT</w:t>
            </w:r>
          </w:p>
        </w:tc>
        <w:tc>
          <w:tcPr>
            <w:tcW w:w="5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DATA SIGNALS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12</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91" w:name="page192"/>
    <w:bookmarkEnd w:id="191"/>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2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USEB-105US</w:t>
            </w:r>
          </w:p>
        </w:tc>
        <w:tc>
          <w:tcPr>
            <w:tcW w:w="1860" w:type="dxa"/>
            <w:vAlign w:val="bottom"/>
            <w:tcBorders>
              <w:top w:val="single" w:sz="8" w:color="auto"/>
            </w:tcBorders>
            <w:gridSpan w:val="6"/>
          </w:tcPr>
          <w:p>
            <w:pPr>
              <w:ind w:left="60"/>
              <w:spacing w:after="0" w:line="150" w:lineRule="exact"/>
              <w:rPr>
                <w:sz w:val="20"/>
                <w:szCs w:val="20"/>
                <w:color w:val="auto"/>
              </w:rPr>
            </w:pPr>
            <w:r>
              <w:rPr>
                <w:rFonts w:ascii="Arial" w:cs="Arial" w:eastAsia="Arial" w:hAnsi="Arial"/>
                <w:sz w:val="15"/>
                <w:szCs w:val="15"/>
                <w:color w:val="auto"/>
                <w:w w:val="97"/>
              </w:rPr>
              <w:t>POWER-CONSERVATION</w:t>
            </w:r>
          </w:p>
        </w:tc>
        <w:tc>
          <w:tcPr>
            <w:tcW w:w="780" w:type="dxa"/>
            <w:vAlign w:val="bottom"/>
            <w:tcBorders>
              <w:top w:val="single" w:sz="8" w:color="auto"/>
              <w:right w:val="single" w:sz="8" w:color="auto"/>
            </w:tcBorders>
            <w:gridSpan w:val="3"/>
          </w:tcPr>
          <w:p>
            <w:pPr>
              <w:jc w:val="right"/>
              <w:ind w:right="27"/>
              <w:spacing w:after="0" w:line="150" w:lineRule="exact"/>
              <w:rPr>
                <w:sz w:val="20"/>
                <w:szCs w:val="20"/>
                <w:color w:val="auto"/>
              </w:rPr>
            </w:pPr>
            <w:r>
              <w:rPr>
                <w:rFonts w:ascii="Arial" w:cs="Arial" w:eastAsia="Arial" w:hAnsi="Arial"/>
                <w:sz w:val="15"/>
                <w:szCs w:val="15"/>
                <w:color w:val="auto"/>
              </w:rPr>
              <w:t>SYSTEM</w:t>
            </w:r>
          </w:p>
        </w:tc>
        <w:tc>
          <w:tcPr>
            <w:tcW w:w="32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rPr>
              <w:t>US</w:t>
            </w:r>
          </w:p>
        </w:tc>
        <w:tc>
          <w:tcPr>
            <w:tcW w:w="24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jc w:val="right"/>
              <w:ind w:right="367"/>
              <w:spacing w:after="0" w:line="150" w:lineRule="exact"/>
              <w:rPr>
                <w:sz w:val="20"/>
                <w:szCs w:val="20"/>
                <w:color w:val="auto"/>
              </w:rPr>
            </w:pPr>
            <w:r>
              <w:rPr>
                <w:rFonts w:ascii="Arial" w:cs="Arial" w:eastAsia="Arial" w:hAnsi="Arial"/>
                <w:sz w:val="15"/>
                <w:szCs w:val="15"/>
                <w:color w:val="auto"/>
                <w:w w:val="93"/>
              </w:rPr>
              <w:t>08/091,643</w:t>
            </w:r>
          </w:p>
        </w:tc>
        <w:tc>
          <w:tcPr>
            <w:tcW w:w="940" w:type="dxa"/>
            <w:vAlign w:val="bottom"/>
            <w:tcBorders>
              <w:top w:val="single" w:sz="8" w:color="auto"/>
              <w:right w:val="single" w:sz="8" w:color="auto"/>
            </w:tcBorders>
          </w:tcPr>
          <w:p>
            <w:pPr>
              <w:ind w:left="80"/>
              <w:spacing w:after="0" w:line="150" w:lineRule="exact"/>
              <w:rPr>
                <w:sz w:val="20"/>
                <w:szCs w:val="20"/>
                <w:color w:val="auto"/>
              </w:rPr>
            </w:pPr>
            <w:r>
              <w:rPr>
                <w:rFonts w:ascii="Arial" w:cs="Arial" w:eastAsia="Arial" w:hAnsi="Arial"/>
                <w:sz w:val="15"/>
                <w:szCs w:val="15"/>
                <w:color w:val="auto"/>
              </w:rPr>
              <w:t>7/14/1993</w:t>
            </w:r>
          </w:p>
        </w:tc>
        <w:tc>
          <w:tcPr>
            <w:tcW w:w="1040" w:type="dxa"/>
            <w:vAlign w:val="bottom"/>
            <w:tcBorders>
              <w:top w:val="single" w:sz="8" w:color="auto"/>
              <w:right w:val="single" w:sz="8" w:color="auto"/>
            </w:tcBorders>
          </w:tcPr>
          <w:p>
            <w:pPr>
              <w:jc w:val="right"/>
              <w:ind w:right="307"/>
              <w:spacing w:after="0" w:line="150" w:lineRule="exact"/>
              <w:rPr>
                <w:sz w:val="20"/>
                <w:szCs w:val="20"/>
                <w:color w:val="auto"/>
              </w:rPr>
            </w:pPr>
            <w:r>
              <w:rPr>
                <w:rFonts w:ascii="Arial" w:cs="Arial" w:eastAsia="Arial" w:hAnsi="Arial"/>
                <w:sz w:val="15"/>
                <w:szCs w:val="15"/>
                <w:color w:val="auto"/>
                <w:w w:val="95"/>
              </w:rPr>
              <w:t>5,477,476</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12/19/1995</w:t>
            </w:r>
          </w:p>
        </w:tc>
        <w:tc>
          <w:tcPr>
            <w:tcW w:w="1100" w:type="dxa"/>
            <w:vAlign w:val="bottom"/>
            <w:tcBorders>
              <w:top w:val="single" w:sz="8" w:color="auto"/>
              <w:right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EXPIRED</w:t>
            </w:r>
          </w:p>
        </w:tc>
        <w:tc>
          <w:tcPr>
            <w:tcW w:w="5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9"/>
              </w:rPr>
              <w:t>7/14/20</w:t>
            </w:r>
          </w:p>
        </w:tc>
        <w:tc>
          <w:tcPr>
            <w:tcW w:w="0" w:type="dxa"/>
            <w:vAlign w:val="bottom"/>
          </w:tcPr>
          <w:p>
            <w:pPr>
              <w:spacing w:after="0"/>
              <w:rPr>
                <w:sz w:val="1"/>
                <w:szCs w:val="1"/>
                <w:color w:val="auto"/>
              </w:rPr>
            </w:pPr>
          </w:p>
        </w:tc>
      </w:tr>
      <w:tr>
        <w:trPr>
          <w:trHeight w:val="131"/>
        </w:trPr>
        <w:tc>
          <w:tcPr>
            <w:tcW w:w="1280" w:type="dxa"/>
            <w:vAlign w:val="bottom"/>
            <w:tcBorders>
              <w:left w:val="single" w:sz="8" w:color="auto"/>
              <w:right w:val="single" w:sz="8" w:color="auto"/>
            </w:tcBorders>
            <w:vMerge w:val="continue"/>
          </w:tcPr>
          <w:p>
            <w:pPr>
              <w:spacing w:after="0"/>
              <w:rPr>
                <w:sz w:val="11"/>
                <w:szCs w:val="11"/>
                <w:color w:val="auto"/>
              </w:rPr>
            </w:pPr>
          </w:p>
        </w:tc>
        <w:tc>
          <w:tcPr>
            <w:tcW w:w="2340" w:type="dxa"/>
            <w:vAlign w:val="bottom"/>
            <w:gridSpan w:val="8"/>
            <w:vMerge w:val="restart"/>
          </w:tcPr>
          <w:p>
            <w:pPr>
              <w:ind w:left="60"/>
              <w:spacing w:after="0"/>
              <w:rPr>
                <w:sz w:val="20"/>
                <w:szCs w:val="20"/>
                <w:color w:val="auto"/>
              </w:rPr>
            </w:pPr>
            <w:r>
              <w:rPr>
                <w:rFonts w:ascii="Arial" w:cs="Arial" w:eastAsia="Arial" w:hAnsi="Arial"/>
                <w:sz w:val="15"/>
                <w:szCs w:val="15"/>
                <w:color w:val="auto"/>
                <w:w w:val="97"/>
              </w:rPr>
              <w:t>FOR COMPUTER PERIPHERALS</w:t>
            </w:r>
          </w:p>
        </w:tc>
        <w:tc>
          <w:tcPr>
            <w:tcW w:w="3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2340" w:type="dxa"/>
            <w:vAlign w:val="bottom"/>
            <w:tcBorders>
              <w:bottom w:val="single" w:sz="8" w:color="auto"/>
            </w:tcBorders>
            <w:gridSpan w:val="8"/>
            <w:vMerge w:val="continue"/>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280" w:type="dxa"/>
            <w:vAlign w:val="bottom"/>
            <w:tcBorders>
              <w:left w:val="single" w:sz="8" w:color="auto"/>
              <w:right w:val="single" w:sz="8" w:color="auto"/>
            </w:tcBorders>
          </w:tcPr>
          <w:p>
            <w:pPr>
              <w:ind w:left="100"/>
              <w:spacing w:after="0" w:line="140" w:lineRule="exact"/>
              <w:rPr>
                <w:sz w:val="20"/>
                <w:szCs w:val="20"/>
                <w:color w:val="auto"/>
              </w:rPr>
            </w:pPr>
            <w:r>
              <w:rPr>
                <w:rFonts w:ascii="Arial" w:cs="Arial" w:eastAsia="Arial" w:hAnsi="Arial"/>
                <w:sz w:val="15"/>
                <w:szCs w:val="15"/>
                <w:color w:val="auto"/>
              </w:rPr>
              <w:t>USEB-106US</w:t>
            </w:r>
          </w:p>
        </w:tc>
        <w:tc>
          <w:tcPr>
            <w:tcW w:w="2640" w:type="dxa"/>
            <w:vAlign w:val="bottom"/>
            <w:tcBorders>
              <w:right w:val="single" w:sz="8" w:color="auto"/>
            </w:tcBorders>
            <w:gridSpan w:val="9"/>
          </w:tcPr>
          <w:p>
            <w:pPr>
              <w:ind w:left="60"/>
              <w:spacing w:after="0" w:line="140" w:lineRule="exact"/>
              <w:rPr>
                <w:sz w:val="20"/>
                <w:szCs w:val="20"/>
                <w:color w:val="auto"/>
              </w:rPr>
            </w:pPr>
            <w:r>
              <w:rPr>
                <w:rFonts w:ascii="Arial" w:cs="Arial" w:eastAsia="Arial" w:hAnsi="Arial"/>
                <w:sz w:val="15"/>
                <w:szCs w:val="15"/>
                <w:color w:val="auto"/>
              </w:rPr>
              <w:t>EXTERNAL POWER MANAGEMENT</w:t>
            </w:r>
          </w:p>
        </w:tc>
        <w:tc>
          <w:tcPr>
            <w:tcW w:w="320" w:type="dxa"/>
            <w:vAlign w:val="bottom"/>
          </w:tcPr>
          <w:p>
            <w:pPr>
              <w:ind w:left="60"/>
              <w:spacing w:after="0" w:line="14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ind w:right="367"/>
              <w:spacing w:after="0" w:line="140" w:lineRule="exact"/>
              <w:rPr>
                <w:sz w:val="20"/>
                <w:szCs w:val="20"/>
                <w:color w:val="auto"/>
              </w:rPr>
            </w:pPr>
            <w:r>
              <w:rPr>
                <w:rFonts w:ascii="Arial" w:cs="Arial" w:eastAsia="Arial" w:hAnsi="Arial"/>
                <w:sz w:val="15"/>
                <w:szCs w:val="15"/>
                <w:color w:val="auto"/>
                <w:w w:val="93"/>
              </w:rPr>
              <w:t>09/182,586</w:t>
            </w:r>
          </w:p>
        </w:tc>
        <w:tc>
          <w:tcPr>
            <w:tcW w:w="940" w:type="dxa"/>
            <w:vAlign w:val="bottom"/>
            <w:tcBorders>
              <w:right w:val="single" w:sz="8" w:color="auto"/>
            </w:tcBorders>
          </w:tcPr>
          <w:p>
            <w:pPr>
              <w:ind w:left="80"/>
              <w:spacing w:after="0" w:line="140" w:lineRule="exact"/>
              <w:rPr>
                <w:sz w:val="20"/>
                <w:szCs w:val="20"/>
                <w:color w:val="auto"/>
              </w:rPr>
            </w:pPr>
            <w:r>
              <w:rPr>
                <w:rFonts w:ascii="Arial" w:cs="Arial" w:eastAsia="Arial" w:hAnsi="Arial"/>
                <w:sz w:val="15"/>
                <w:szCs w:val="15"/>
                <w:color w:val="auto"/>
              </w:rPr>
              <w:t>10/28/1998</w:t>
            </w:r>
          </w:p>
        </w:tc>
        <w:tc>
          <w:tcPr>
            <w:tcW w:w="1040" w:type="dxa"/>
            <w:vAlign w:val="bottom"/>
            <w:tcBorders>
              <w:right w:val="single" w:sz="8" w:color="auto"/>
            </w:tcBorders>
          </w:tcPr>
          <w:p>
            <w:pPr>
              <w:jc w:val="right"/>
              <w:ind w:right="307"/>
              <w:spacing w:after="0" w:line="140" w:lineRule="exact"/>
              <w:rPr>
                <w:sz w:val="20"/>
                <w:szCs w:val="20"/>
                <w:color w:val="auto"/>
              </w:rPr>
            </w:pPr>
            <w:r>
              <w:rPr>
                <w:rFonts w:ascii="Arial" w:cs="Arial" w:eastAsia="Arial" w:hAnsi="Arial"/>
                <w:sz w:val="15"/>
                <w:szCs w:val="15"/>
                <w:color w:val="auto"/>
                <w:w w:val="95"/>
              </w:rPr>
              <w:t>6,243,626</w:t>
            </w:r>
          </w:p>
        </w:tc>
        <w:tc>
          <w:tcPr>
            <w:tcW w:w="940" w:type="dxa"/>
            <w:vAlign w:val="bottom"/>
            <w:tcBorders>
              <w:right w:val="single" w:sz="8" w:color="auto"/>
            </w:tcBorders>
          </w:tcPr>
          <w:p>
            <w:pPr>
              <w:ind w:left="60"/>
              <w:spacing w:after="0" w:line="140" w:lineRule="exact"/>
              <w:rPr>
                <w:sz w:val="20"/>
                <w:szCs w:val="20"/>
                <w:color w:val="auto"/>
              </w:rPr>
            </w:pPr>
            <w:r>
              <w:rPr>
                <w:rFonts w:ascii="Arial" w:cs="Arial" w:eastAsia="Arial" w:hAnsi="Arial"/>
                <w:sz w:val="15"/>
                <w:szCs w:val="15"/>
                <w:color w:val="auto"/>
              </w:rPr>
              <w:t>6/5/2001</w:t>
            </w:r>
          </w:p>
        </w:tc>
        <w:tc>
          <w:tcPr>
            <w:tcW w:w="1100" w:type="dxa"/>
            <w:vAlign w:val="bottom"/>
            <w:tcBorders>
              <w:right w:val="single" w:sz="8" w:color="auto"/>
            </w:tcBorders>
            <w:gridSpan w:val="2"/>
          </w:tcPr>
          <w:p>
            <w:pPr>
              <w:ind w:left="60"/>
              <w:spacing w:after="0" w:line="14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40" w:lineRule="exact"/>
              <w:rPr>
                <w:sz w:val="20"/>
                <w:szCs w:val="20"/>
                <w:color w:val="auto"/>
              </w:rPr>
            </w:pPr>
            <w:r>
              <w:rPr>
                <w:rFonts w:ascii="Arial" w:cs="Arial" w:eastAsia="Arial" w:hAnsi="Arial"/>
                <w:sz w:val="15"/>
                <w:szCs w:val="15"/>
                <w:color w:val="auto"/>
                <w:w w:val="99"/>
              </w:rPr>
              <w:t>10/28/2</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DEVICE</w:t>
            </w:r>
          </w:p>
        </w:tc>
        <w:tc>
          <w:tcPr>
            <w:tcW w:w="320" w:type="dxa"/>
            <w:vAlign w:val="bottom"/>
          </w:tcPr>
          <w:p>
            <w:pPr>
              <w:spacing w:after="0"/>
              <w:rPr>
                <w:sz w:val="13"/>
                <w:szCs w:val="13"/>
                <w:color w:val="auto"/>
              </w:rPr>
            </w:pPr>
          </w:p>
        </w:tc>
        <w:tc>
          <w:tcPr>
            <w:tcW w:w="46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WITH</w:t>
            </w: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CURRENT</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02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6"/>
              </w:rPr>
              <w:t>MONITORING</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PRECLUDING</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02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SHUTDOWN</w:t>
            </w:r>
          </w:p>
        </w:tc>
        <w:tc>
          <w:tcPr>
            <w:tcW w:w="220" w:type="dxa"/>
            <w:vAlign w:val="bottom"/>
          </w:tcPr>
          <w:p>
            <w:pPr>
              <w:spacing w:after="0"/>
              <w:rPr>
                <w:sz w:val="13"/>
                <w:szCs w:val="13"/>
                <w:color w:val="auto"/>
              </w:rPr>
            </w:pPr>
          </w:p>
        </w:tc>
        <w:tc>
          <w:tcPr>
            <w:tcW w:w="620" w:type="dxa"/>
            <w:vAlign w:val="bottom"/>
            <w:gridSpan w:val="2"/>
          </w:tcPr>
          <w:p>
            <w:pPr>
              <w:spacing w:after="0" w:line="155" w:lineRule="exact"/>
              <w:rPr>
                <w:sz w:val="20"/>
                <w:szCs w:val="20"/>
                <w:color w:val="auto"/>
              </w:rPr>
            </w:pPr>
            <w:r>
              <w:rPr>
                <w:rFonts w:ascii="Arial" w:cs="Arial" w:eastAsia="Arial" w:hAnsi="Arial"/>
                <w:sz w:val="15"/>
                <w:szCs w:val="15"/>
                <w:color w:val="auto"/>
              </w:rPr>
              <w:t>DURING</w:t>
            </w:r>
          </w:p>
        </w:tc>
        <w:tc>
          <w:tcPr>
            <w:tcW w:w="26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HIGH</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CURRENT</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USEB-107US</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5"/>
              </w:rPr>
              <w:t>METHOD</w:t>
            </w:r>
          </w:p>
        </w:tc>
        <w:tc>
          <w:tcPr>
            <w:tcW w:w="540" w:type="dxa"/>
            <w:vAlign w:val="bottom"/>
            <w:gridSpan w:val="2"/>
          </w:tcPr>
          <w:p>
            <w:pPr>
              <w:jc w:val="center"/>
              <w:spacing w:after="0" w:line="130" w:lineRule="exact"/>
              <w:rPr>
                <w:sz w:val="20"/>
                <w:szCs w:val="20"/>
                <w:color w:val="auto"/>
              </w:rPr>
            </w:pPr>
            <w:r>
              <w:rPr>
                <w:rFonts w:ascii="Arial" w:cs="Arial" w:eastAsia="Arial" w:hAnsi="Arial"/>
                <w:sz w:val="15"/>
                <w:szCs w:val="15"/>
                <w:color w:val="auto"/>
              </w:rPr>
              <w:t>AND</w:t>
            </w:r>
          </w:p>
        </w:tc>
        <w:tc>
          <w:tcPr>
            <w:tcW w:w="88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0"/>
              </w:rPr>
              <w:t>APPARATUS</w:t>
            </w:r>
          </w:p>
        </w:tc>
        <w:tc>
          <w:tcPr>
            <w:tcW w:w="52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FOR</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10/291,066</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11/8/2002</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6,975,926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12/13/2005</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6/10/20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9"/>
              </w:rPr>
              <w:t>POWER  MANAGEMENT  CONTROL</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OF</w:t>
            </w:r>
          </w:p>
        </w:tc>
        <w:tc>
          <w:tcPr>
            <w:tcW w:w="180" w:type="dxa"/>
            <w:vAlign w:val="bottom"/>
          </w:tcPr>
          <w:p>
            <w:pPr>
              <w:ind w:left="80"/>
              <w:spacing w:after="0" w:line="155" w:lineRule="exact"/>
              <w:rPr>
                <w:sz w:val="20"/>
                <w:szCs w:val="20"/>
                <w:color w:val="auto"/>
              </w:rPr>
            </w:pPr>
            <w:r>
              <w:rPr>
                <w:rFonts w:ascii="Arial" w:cs="Arial" w:eastAsia="Arial" w:hAnsi="Arial"/>
                <w:sz w:val="15"/>
                <w:szCs w:val="15"/>
                <w:color w:val="auto"/>
                <w:w w:val="79"/>
              </w:rPr>
              <w:t>A</w:t>
            </w:r>
          </w:p>
        </w:tc>
        <w:tc>
          <w:tcPr>
            <w:tcW w:w="320" w:type="dxa"/>
            <w:vAlign w:val="bottom"/>
          </w:tcPr>
          <w:p>
            <w:pPr>
              <w:spacing w:after="0"/>
              <w:rPr>
                <w:sz w:val="13"/>
                <w:szCs w:val="13"/>
                <w:color w:val="auto"/>
              </w:rPr>
            </w:pPr>
          </w:p>
        </w:tc>
        <w:tc>
          <w:tcPr>
            <w:tcW w:w="1620" w:type="dxa"/>
            <w:vAlign w:val="bottom"/>
            <w:tcBorders>
              <w:right w:val="single" w:sz="8" w:color="auto"/>
            </w:tcBorders>
            <w:gridSpan w:val="6"/>
          </w:tcPr>
          <w:p>
            <w:pPr>
              <w:jc w:val="center"/>
              <w:ind w:right="7"/>
              <w:spacing w:after="0" w:line="155" w:lineRule="exact"/>
              <w:rPr>
                <w:sz w:val="20"/>
                <w:szCs w:val="20"/>
                <w:color w:val="auto"/>
              </w:rPr>
            </w:pPr>
            <w:r>
              <w:rPr>
                <w:rFonts w:ascii="Arial" w:cs="Arial" w:eastAsia="Arial" w:hAnsi="Arial"/>
                <w:sz w:val="15"/>
                <w:szCs w:val="15"/>
                <w:color w:val="auto"/>
                <w:w w:val="91"/>
              </w:rPr>
              <w:t>COMPRESSOR-BASED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02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APPLIANCE</w:t>
            </w:r>
          </w:p>
        </w:tc>
        <w:tc>
          <w:tcPr>
            <w:tcW w:w="840" w:type="dxa"/>
            <w:vAlign w:val="bottom"/>
            <w:gridSpan w:val="3"/>
          </w:tcPr>
          <w:p>
            <w:pPr>
              <w:ind w:left="160"/>
              <w:spacing w:after="0" w:line="155" w:lineRule="exact"/>
              <w:rPr>
                <w:sz w:val="20"/>
                <w:szCs w:val="20"/>
                <w:color w:val="auto"/>
              </w:rPr>
            </w:pPr>
            <w:r>
              <w:rPr>
                <w:rFonts w:ascii="Arial" w:cs="Arial" w:eastAsia="Arial" w:hAnsi="Arial"/>
                <w:sz w:val="15"/>
                <w:szCs w:val="15"/>
                <w:color w:val="auto"/>
              </w:rPr>
              <w:t>THAT</w:t>
            </w:r>
          </w:p>
        </w:tc>
        <w:tc>
          <w:tcPr>
            <w:tcW w:w="78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89"/>
              </w:rPr>
              <w:t>REDUCES</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02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ELECTRICAL</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POWER</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CONSUMPTION OF AN APPLIANCE</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USEB-110US</w:t>
            </w:r>
          </w:p>
        </w:tc>
        <w:tc>
          <w:tcPr>
            <w:tcW w:w="12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8"/>
              </w:rPr>
              <w:t>REFRIGERATED</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w w:val="96"/>
              </w:rPr>
              <w:t>VENDING</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10/151,513</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5/20/2002</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6,581,396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6/24/2003</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5/25/20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MACHINE EXPLOITING EXPANDED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8"/>
              </w:rPr>
              <w:t>TEMPERATURE VARIANCE DURING</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8"/>
          </w:tcPr>
          <w:p>
            <w:pPr>
              <w:ind w:left="60"/>
              <w:spacing w:after="0" w:line="169" w:lineRule="exact"/>
              <w:rPr>
                <w:sz w:val="20"/>
                <w:szCs w:val="20"/>
                <w:color w:val="auto"/>
              </w:rPr>
            </w:pPr>
            <w:r>
              <w:rPr>
                <w:rFonts w:ascii="Arial" w:cs="Arial" w:eastAsia="Arial" w:hAnsi="Arial"/>
                <w:sz w:val="15"/>
                <w:szCs w:val="15"/>
                <w:color w:val="auto"/>
                <w:w w:val="97"/>
              </w:rPr>
              <w:t>POWER-CONSERVATION MODE</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USEB-110US1</w:t>
            </w:r>
          </w:p>
        </w:tc>
        <w:tc>
          <w:tcPr>
            <w:tcW w:w="1240" w:type="dxa"/>
            <w:vAlign w:val="bottom"/>
            <w:gridSpan w:val="4"/>
          </w:tcPr>
          <w:p>
            <w:pPr>
              <w:ind w:left="60"/>
              <w:spacing w:after="0" w:line="130" w:lineRule="exact"/>
              <w:rPr>
                <w:sz w:val="20"/>
                <w:szCs w:val="20"/>
                <w:color w:val="auto"/>
              </w:rPr>
            </w:pPr>
            <w:r>
              <w:rPr>
                <w:rFonts w:ascii="Arial" w:cs="Arial" w:eastAsia="Arial" w:hAnsi="Arial"/>
                <w:sz w:val="15"/>
                <w:szCs w:val="15"/>
                <w:color w:val="auto"/>
                <w:w w:val="98"/>
              </w:rPr>
              <w:t>REFRIGERATED</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Borders>
              <w:right w:val="single" w:sz="8" w:color="auto"/>
            </w:tcBorders>
            <w:gridSpan w:val="3"/>
          </w:tcPr>
          <w:p>
            <w:pPr>
              <w:jc w:val="right"/>
              <w:ind w:right="27"/>
              <w:spacing w:after="0" w:line="130" w:lineRule="exact"/>
              <w:rPr>
                <w:sz w:val="20"/>
                <w:szCs w:val="20"/>
                <w:color w:val="auto"/>
              </w:rPr>
            </w:pPr>
            <w:r>
              <w:rPr>
                <w:rFonts w:ascii="Arial" w:cs="Arial" w:eastAsia="Arial" w:hAnsi="Arial"/>
                <w:sz w:val="15"/>
                <w:szCs w:val="15"/>
                <w:color w:val="auto"/>
                <w:w w:val="96"/>
              </w:rPr>
              <w:t>VENDING</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10/462,453</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6/16/2003</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6,931,869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8/23/2005</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5/25/20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MACHINE EXPLOITING EXPANDED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8"/>
              </w:rPr>
              <w:t>TEMPERATURE VARIANCE DURING</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8"/>
          </w:tcPr>
          <w:p>
            <w:pPr>
              <w:ind w:left="60"/>
              <w:spacing w:after="0" w:line="169" w:lineRule="exact"/>
              <w:rPr>
                <w:sz w:val="20"/>
                <w:szCs w:val="20"/>
                <w:color w:val="auto"/>
              </w:rPr>
            </w:pPr>
            <w:r>
              <w:rPr>
                <w:rFonts w:ascii="Arial" w:cs="Arial" w:eastAsia="Arial" w:hAnsi="Arial"/>
                <w:sz w:val="15"/>
                <w:szCs w:val="15"/>
                <w:color w:val="auto"/>
                <w:w w:val="97"/>
              </w:rPr>
              <w:t>POWER-CONSERVATION MODE</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USEB-112US</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5"/>
              </w:rPr>
              <w:t>METHOD</w:t>
            </w:r>
          </w:p>
        </w:tc>
        <w:tc>
          <w:tcPr>
            <w:tcW w:w="540" w:type="dxa"/>
            <w:vAlign w:val="bottom"/>
            <w:gridSpan w:val="2"/>
          </w:tcPr>
          <w:p>
            <w:pPr>
              <w:jc w:val="center"/>
              <w:spacing w:after="0" w:line="130" w:lineRule="exact"/>
              <w:rPr>
                <w:sz w:val="20"/>
                <w:szCs w:val="20"/>
                <w:color w:val="auto"/>
              </w:rPr>
            </w:pPr>
            <w:r>
              <w:rPr>
                <w:rFonts w:ascii="Arial" w:cs="Arial" w:eastAsia="Arial" w:hAnsi="Arial"/>
                <w:sz w:val="15"/>
                <w:szCs w:val="15"/>
                <w:color w:val="auto"/>
              </w:rPr>
              <w:t>AND</w:t>
            </w:r>
          </w:p>
        </w:tc>
        <w:tc>
          <w:tcPr>
            <w:tcW w:w="88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0"/>
              </w:rPr>
              <w:t>APPARATUS</w:t>
            </w:r>
          </w:p>
        </w:tc>
        <w:tc>
          <w:tcPr>
            <w:tcW w:w="52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FOR</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11/254,994</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10/20/2005</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7,200,467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4/3/2007</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11/8/20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9"/>
              </w:rPr>
              <w:t>POWER  MANAGEMENT  CONTROL</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OF  A  COOLING  SYSTEM  IN  A</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102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CONSUMER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ACCESSIBLE</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APPLIANCE</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USE-F0391US</w:t>
            </w:r>
          </w:p>
        </w:tc>
        <w:tc>
          <w:tcPr>
            <w:tcW w:w="7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SYSTEM</w:t>
            </w:r>
          </w:p>
        </w:tc>
        <w:tc>
          <w:tcPr>
            <w:tcW w:w="540" w:type="dxa"/>
            <w:vAlign w:val="bottom"/>
            <w:gridSpan w:val="2"/>
          </w:tcPr>
          <w:p>
            <w:pPr>
              <w:jc w:val="center"/>
              <w:ind w:left="27"/>
              <w:spacing w:after="0" w:line="130" w:lineRule="exact"/>
              <w:rPr>
                <w:sz w:val="20"/>
                <w:szCs w:val="20"/>
                <w:color w:val="auto"/>
              </w:rPr>
            </w:pPr>
            <w:r>
              <w:rPr>
                <w:rFonts w:ascii="Arial" w:cs="Arial" w:eastAsia="Arial" w:hAnsi="Arial"/>
                <w:sz w:val="15"/>
                <w:szCs w:val="15"/>
                <w:color w:val="auto"/>
              </w:rPr>
              <w:t>AND</w:t>
            </w:r>
          </w:p>
        </w:tc>
        <w:tc>
          <w:tcPr>
            <w:tcW w:w="88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5"/>
              </w:rPr>
              <w:t>METHOD</w:t>
            </w:r>
          </w:p>
        </w:tc>
        <w:tc>
          <w:tcPr>
            <w:tcW w:w="52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FOR</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08/793,588</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2/27/1997</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6,056,194</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5/2/2000</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8/28/20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NETWORKING AND CONTROLLING</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VENDING MACHINES</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USE-F050US</w:t>
            </w:r>
          </w:p>
        </w:tc>
        <w:tc>
          <w:tcPr>
            <w:tcW w:w="2640" w:type="dxa"/>
            <w:vAlign w:val="bottom"/>
            <w:tcBorders>
              <w:right w:val="single" w:sz="8" w:color="auto"/>
            </w:tcBorders>
            <w:gridSpan w:val="9"/>
          </w:tcPr>
          <w:p>
            <w:pPr>
              <w:ind w:left="60"/>
              <w:spacing w:after="0" w:line="130" w:lineRule="exact"/>
              <w:rPr>
                <w:sz w:val="20"/>
                <w:szCs w:val="20"/>
                <w:color w:val="auto"/>
              </w:rPr>
            </w:pPr>
            <w:r>
              <w:rPr>
                <w:rFonts w:ascii="Arial" w:cs="Arial" w:eastAsia="Arial" w:hAnsi="Arial"/>
                <w:sz w:val="15"/>
                <w:szCs w:val="15"/>
                <w:color w:val="auto"/>
              </w:rPr>
              <w:t>CREDIT CARD AND BANK ISSUED</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08/354,207</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12/12/1994</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5,619,024</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4/8/1997</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12/12/2</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w w:val="99"/>
              </w:rPr>
              <w:t>DEBIT</w:t>
            </w:r>
          </w:p>
        </w:tc>
        <w:tc>
          <w:tcPr>
            <w:tcW w:w="500" w:type="dxa"/>
            <w:vAlign w:val="bottom"/>
            <w:gridSpan w:val="2"/>
          </w:tcPr>
          <w:p>
            <w:pPr>
              <w:ind w:left="80"/>
              <w:spacing w:after="0" w:line="155" w:lineRule="exact"/>
              <w:rPr>
                <w:sz w:val="20"/>
                <w:szCs w:val="20"/>
                <w:color w:val="auto"/>
              </w:rPr>
            </w:pPr>
            <w:r>
              <w:rPr>
                <w:rFonts w:ascii="Arial" w:cs="Arial" w:eastAsia="Arial" w:hAnsi="Arial"/>
                <w:sz w:val="15"/>
                <w:szCs w:val="15"/>
                <w:color w:val="auto"/>
                <w:w w:val="94"/>
              </w:rPr>
              <w:t>CARD</w:t>
            </w:r>
          </w:p>
        </w:tc>
        <w:tc>
          <w:tcPr>
            <w:tcW w:w="840" w:type="dxa"/>
            <w:vAlign w:val="bottom"/>
            <w:gridSpan w:val="3"/>
          </w:tcPr>
          <w:p>
            <w:pPr>
              <w:ind w:left="80"/>
              <w:spacing w:after="0" w:line="155" w:lineRule="exact"/>
              <w:rPr>
                <w:sz w:val="20"/>
                <w:szCs w:val="20"/>
                <w:color w:val="auto"/>
              </w:rPr>
            </w:pPr>
            <w:r>
              <w:rPr>
                <w:rFonts w:ascii="Arial" w:cs="Arial" w:eastAsia="Arial" w:hAnsi="Arial"/>
                <w:sz w:val="15"/>
                <w:szCs w:val="15"/>
                <w:color w:val="auto"/>
                <w:w w:val="89"/>
              </w:rPr>
              <w:t>OPERATED</w:t>
            </w:r>
          </w:p>
        </w:tc>
        <w:tc>
          <w:tcPr>
            <w:tcW w:w="78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SYSTEM</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ANDMETHOD  FOR  CONTROLLING</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96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6"/>
              </w:rPr>
              <w:t>MONITORING</w:t>
            </w:r>
          </w:p>
        </w:tc>
        <w:tc>
          <w:tcPr>
            <w:tcW w:w="860" w:type="dxa"/>
            <w:vAlign w:val="bottom"/>
            <w:gridSpan w:val="3"/>
          </w:tcPr>
          <w:p>
            <w:pPr>
              <w:ind w:left="160"/>
              <w:spacing w:after="0" w:line="155" w:lineRule="exact"/>
              <w:rPr>
                <w:sz w:val="20"/>
                <w:szCs w:val="20"/>
                <w:color w:val="auto"/>
              </w:rPr>
            </w:pPr>
            <w:r>
              <w:rPr>
                <w:rFonts w:ascii="Arial" w:cs="Arial" w:eastAsia="Arial" w:hAnsi="Arial"/>
                <w:sz w:val="15"/>
                <w:szCs w:val="15"/>
                <w:color w:val="auto"/>
              </w:rPr>
              <w:t>ACCESS</w:t>
            </w:r>
          </w:p>
        </w:tc>
        <w:tc>
          <w:tcPr>
            <w:tcW w:w="3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86"/>
              </w:rPr>
              <w:t>OF</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w w:val="97"/>
              </w:rPr>
              <w:t>COMPUTER AND COPY EQUIPMENT</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USE-F0521US</w:t>
            </w:r>
          </w:p>
        </w:tc>
        <w:tc>
          <w:tcPr>
            <w:tcW w:w="2640" w:type="dxa"/>
            <w:vAlign w:val="bottom"/>
            <w:tcBorders>
              <w:right w:val="single" w:sz="8" w:color="auto"/>
            </w:tcBorders>
            <w:gridSpan w:val="9"/>
          </w:tcPr>
          <w:p>
            <w:pPr>
              <w:ind w:left="60"/>
              <w:spacing w:after="0" w:line="130" w:lineRule="exact"/>
              <w:rPr>
                <w:sz w:val="20"/>
                <w:szCs w:val="20"/>
                <w:color w:val="auto"/>
              </w:rPr>
            </w:pPr>
            <w:r>
              <w:rPr>
                <w:rFonts w:ascii="Arial" w:cs="Arial" w:eastAsia="Arial" w:hAnsi="Arial"/>
                <w:sz w:val="15"/>
                <w:szCs w:val="15"/>
                <w:color w:val="auto"/>
              </w:rPr>
              <w:t>CREDIT AND BANK ISSUED DEBIT</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08/803,438</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2/20/1997</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6,152,365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11/28/2000</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1/31/20</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CARD</w:t>
            </w:r>
          </w:p>
        </w:tc>
        <w:tc>
          <w:tcPr>
            <w:tcW w:w="96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2"/>
              </w:rPr>
              <w:t>OPERATED</w:t>
            </w:r>
          </w:p>
        </w:tc>
        <w:tc>
          <w:tcPr>
            <w:tcW w:w="64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93"/>
              </w:rPr>
              <w:t>SYSTEM</w:t>
            </w:r>
          </w:p>
        </w:tc>
        <w:tc>
          <w:tcPr>
            <w:tcW w:w="5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AND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5"/>
              </w:rPr>
              <w:t>METHOD</w:t>
            </w:r>
          </w:p>
        </w:tc>
        <w:tc>
          <w:tcPr>
            <w:tcW w:w="54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88"/>
              </w:rPr>
              <w:t>FOR</w:t>
            </w:r>
          </w:p>
        </w:tc>
        <w:tc>
          <w:tcPr>
            <w:tcW w:w="110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5"/>
              </w:rPr>
              <w:t>CONTROLLING</w:t>
            </w:r>
          </w:p>
        </w:tc>
        <w:tc>
          <w:tcPr>
            <w:tcW w:w="3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8"/>
          </w:tcPr>
          <w:p>
            <w:pPr>
              <w:ind w:left="60"/>
              <w:spacing w:after="0" w:line="169" w:lineRule="exact"/>
              <w:rPr>
                <w:sz w:val="20"/>
                <w:szCs w:val="20"/>
                <w:color w:val="auto"/>
              </w:rPr>
            </w:pPr>
            <w:r>
              <w:rPr>
                <w:rFonts w:ascii="Arial" w:cs="Arial" w:eastAsia="Arial" w:hAnsi="Arial"/>
                <w:sz w:val="15"/>
                <w:szCs w:val="15"/>
                <w:color w:val="auto"/>
                <w:w w:val="93"/>
              </w:rPr>
              <w:t>VENDING MACHINE (As Amended)</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USE-F052US</w:t>
            </w:r>
          </w:p>
        </w:tc>
        <w:tc>
          <w:tcPr>
            <w:tcW w:w="2640" w:type="dxa"/>
            <w:vAlign w:val="bottom"/>
            <w:tcBorders>
              <w:right w:val="single" w:sz="8" w:color="auto"/>
            </w:tcBorders>
            <w:gridSpan w:val="9"/>
          </w:tcPr>
          <w:p>
            <w:pPr>
              <w:ind w:left="60"/>
              <w:spacing w:after="0" w:line="130" w:lineRule="exact"/>
              <w:rPr>
                <w:sz w:val="20"/>
                <w:szCs w:val="20"/>
                <w:color w:val="auto"/>
              </w:rPr>
            </w:pPr>
            <w:r>
              <w:rPr>
                <w:rFonts w:ascii="Arial" w:cs="Arial" w:eastAsia="Arial" w:hAnsi="Arial"/>
                <w:sz w:val="15"/>
                <w:szCs w:val="15"/>
                <w:color w:val="auto"/>
              </w:rPr>
              <w:t>CREDIT AND BANK ISSUED DEBIT</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08/489,682</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6/13/1995</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5,637,845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6/10/1997</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12/12/2</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CARD</w:t>
            </w:r>
          </w:p>
        </w:tc>
        <w:tc>
          <w:tcPr>
            <w:tcW w:w="96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2"/>
              </w:rPr>
              <w:t>OPERATED</w:t>
            </w:r>
          </w:p>
        </w:tc>
        <w:tc>
          <w:tcPr>
            <w:tcW w:w="64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93"/>
              </w:rPr>
              <w:t>SYSTEM</w:t>
            </w:r>
          </w:p>
        </w:tc>
        <w:tc>
          <w:tcPr>
            <w:tcW w:w="5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AND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5"/>
              </w:rPr>
              <w:t>METHOD</w:t>
            </w:r>
          </w:p>
        </w:tc>
        <w:tc>
          <w:tcPr>
            <w:tcW w:w="54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88"/>
              </w:rPr>
              <w:t>FOR</w:t>
            </w:r>
          </w:p>
        </w:tc>
        <w:tc>
          <w:tcPr>
            <w:tcW w:w="110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5"/>
              </w:rPr>
              <w:t>CONTROLLING</w:t>
            </w:r>
          </w:p>
        </w:tc>
        <w:tc>
          <w:tcPr>
            <w:tcW w:w="30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70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94"/>
              </w:rPr>
              <w:t>PREPAID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4"/>
              </w:rPr>
              <w:t>CARD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ENCODING/DISPENSING MACHINE</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USE-F053US</w:t>
            </w:r>
          </w:p>
        </w:tc>
        <w:tc>
          <w:tcPr>
            <w:tcW w:w="2640" w:type="dxa"/>
            <w:vAlign w:val="bottom"/>
            <w:tcBorders>
              <w:right w:val="single" w:sz="8" w:color="auto"/>
            </w:tcBorders>
            <w:gridSpan w:val="9"/>
          </w:tcPr>
          <w:p>
            <w:pPr>
              <w:ind w:left="60"/>
              <w:spacing w:after="0" w:line="130" w:lineRule="exact"/>
              <w:rPr>
                <w:sz w:val="20"/>
                <w:szCs w:val="20"/>
                <w:color w:val="auto"/>
              </w:rPr>
            </w:pPr>
            <w:r>
              <w:rPr>
                <w:rFonts w:ascii="Arial" w:cs="Arial" w:eastAsia="Arial" w:hAnsi="Arial"/>
                <w:sz w:val="15"/>
                <w:szCs w:val="15"/>
                <w:color w:val="auto"/>
              </w:rPr>
              <w:t>CREDIT CARD, SMART CARD AND</w:t>
            </w:r>
          </w:p>
        </w:tc>
        <w:tc>
          <w:tcPr>
            <w:tcW w:w="320" w:type="dxa"/>
            <w:vAlign w:val="bottom"/>
          </w:tcPr>
          <w:p>
            <w:pPr>
              <w:ind w:left="60"/>
              <w:spacing w:after="0" w:line="130" w:lineRule="exact"/>
              <w:rPr>
                <w:sz w:val="20"/>
                <w:szCs w:val="20"/>
                <w:color w:val="auto"/>
              </w:rPr>
            </w:pPr>
            <w:r>
              <w:rPr>
                <w:rFonts w:ascii="Arial" w:cs="Arial" w:eastAsia="Arial" w:hAnsi="Arial"/>
                <w:sz w:val="15"/>
                <w:szCs w:val="15"/>
                <w:color w:val="auto"/>
              </w:rPr>
              <w:t>US</w:t>
            </w:r>
          </w:p>
        </w:tc>
        <w:tc>
          <w:tcPr>
            <w:tcW w:w="2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ind w:right="367"/>
              <w:spacing w:after="0" w:line="130" w:lineRule="exact"/>
              <w:rPr>
                <w:sz w:val="20"/>
                <w:szCs w:val="20"/>
                <w:color w:val="auto"/>
              </w:rPr>
            </w:pPr>
            <w:r>
              <w:rPr>
                <w:rFonts w:ascii="Arial" w:cs="Arial" w:eastAsia="Arial" w:hAnsi="Arial"/>
                <w:sz w:val="15"/>
                <w:szCs w:val="15"/>
                <w:color w:val="auto"/>
                <w:w w:val="93"/>
              </w:rPr>
              <w:t>08/775,440</w:t>
            </w:r>
          </w:p>
        </w:tc>
        <w:tc>
          <w:tcPr>
            <w:tcW w:w="94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5"/>
                <w:szCs w:val="15"/>
                <w:color w:val="auto"/>
              </w:rPr>
              <w:t>12/30/1996</w:t>
            </w:r>
          </w:p>
        </w:tc>
        <w:tc>
          <w:tcPr>
            <w:tcW w:w="1040" w:type="dxa"/>
            <w:vAlign w:val="bottom"/>
            <w:tcBorders>
              <w:right w:val="single" w:sz="8" w:color="auto"/>
            </w:tcBorders>
          </w:tcPr>
          <w:p>
            <w:pPr>
              <w:jc w:val="right"/>
              <w:ind w:right="307"/>
              <w:spacing w:after="0" w:line="130" w:lineRule="exact"/>
              <w:rPr>
                <w:sz w:val="20"/>
                <w:szCs w:val="20"/>
                <w:color w:val="auto"/>
              </w:rPr>
            </w:pPr>
            <w:r>
              <w:rPr>
                <w:rFonts w:ascii="Arial" w:cs="Arial" w:eastAsia="Arial" w:hAnsi="Arial"/>
                <w:sz w:val="15"/>
                <w:szCs w:val="15"/>
                <w:color w:val="auto"/>
                <w:w w:val="95"/>
              </w:rPr>
              <w:t>6,119,934</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9/19/2000</w:t>
            </w:r>
          </w:p>
        </w:tc>
        <w:tc>
          <w:tcPr>
            <w:tcW w:w="110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12/12/2</w:t>
            </w: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BANK</w:t>
            </w:r>
          </w:p>
        </w:tc>
        <w:tc>
          <w:tcPr>
            <w:tcW w:w="180" w:type="dxa"/>
            <w:vAlign w:val="bottom"/>
          </w:tcPr>
          <w:p>
            <w:pPr>
              <w:spacing w:after="0"/>
              <w:rPr>
                <w:sz w:val="13"/>
                <w:szCs w:val="13"/>
                <w:color w:val="auto"/>
              </w:rPr>
            </w:pPr>
          </w:p>
        </w:tc>
        <w:tc>
          <w:tcPr>
            <w:tcW w:w="54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89"/>
              </w:rPr>
              <w:t>ISSUED</w:t>
            </w:r>
          </w:p>
        </w:tc>
        <w:tc>
          <w:tcPr>
            <w:tcW w:w="88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4"/>
              </w:rPr>
              <w:t>DEBIT</w:t>
            </w:r>
          </w:p>
        </w:tc>
        <w:tc>
          <w:tcPr>
            <w:tcW w:w="5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4"/>
              </w:rPr>
              <w:t>CARD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264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OPERATED SYSTEM AND METHOD</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5"/>
                <w:szCs w:val="15"/>
                <w:color w:val="auto"/>
              </w:rPr>
              <w:t>FOR</w:t>
            </w:r>
          </w:p>
        </w:tc>
        <w:tc>
          <w:tcPr>
            <w:tcW w:w="96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89"/>
              </w:rPr>
              <w:t>PROCESSING</w:t>
            </w: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ELECTRONIC</w:t>
            </w: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212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w w:val="98"/>
              </w:rPr>
              <w:t>TRANSACTIONS (AMENDED)</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13</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2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92" w:name="page193"/>
    <w:bookmarkEnd w:id="192"/>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32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USE-F0593CA</w:t>
            </w:r>
          </w:p>
        </w:tc>
        <w:tc>
          <w:tcPr>
            <w:tcW w:w="800" w:type="dxa"/>
            <w:vAlign w:val="bottom"/>
            <w:tcBorders>
              <w:top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CREDIT</w:t>
            </w:r>
          </w:p>
        </w:tc>
        <w:tc>
          <w:tcPr>
            <w:tcW w:w="380" w:type="dxa"/>
            <w:vAlign w:val="bottom"/>
            <w:tcBorders>
              <w:top w:val="single" w:sz="8" w:color="auto"/>
            </w:tcBorders>
            <w:gridSpan w:val="2"/>
          </w:tcPr>
          <w:p>
            <w:pPr>
              <w:jc w:val="center"/>
              <w:spacing w:after="0" w:line="150" w:lineRule="exact"/>
              <w:rPr>
                <w:sz w:val="20"/>
                <w:szCs w:val="20"/>
                <w:color w:val="auto"/>
              </w:rPr>
            </w:pPr>
            <w:r>
              <w:rPr>
                <w:rFonts w:ascii="Arial" w:cs="Arial" w:eastAsia="Arial" w:hAnsi="Arial"/>
                <w:sz w:val="15"/>
                <w:szCs w:val="15"/>
                <w:color w:val="auto"/>
                <w:w w:val="94"/>
              </w:rPr>
              <w:t>AND</w:t>
            </w:r>
          </w:p>
        </w:tc>
        <w:tc>
          <w:tcPr>
            <w:tcW w:w="780" w:type="dxa"/>
            <w:vAlign w:val="bottom"/>
            <w:tcBorders>
              <w:top w:val="single" w:sz="8" w:color="auto"/>
            </w:tcBorders>
            <w:gridSpan w:val="2"/>
          </w:tcPr>
          <w:p>
            <w:pPr>
              <w:jc w:val="center"/>
              <w:spacing w:after="0" w:line="150" w:lineRule="exact"/>
              <w:rPr>
                <w:sz w:val="20"/>
                <w:szCs w:val="20"/>
                <w:color w:val="auto"/>
              </w:rPr>
            </w:pPr>
            <w:r>
              <w:rPr>
                <w:rFonts w:ascii="Arial" w:cs="Arial" w:eastAsia="Arial" w:hAnsi="Arial"/>
                <w:sz w:val="15"/>
                <w:szCs w:val="15"/>
                <w:color w:val="auto"/>
                <w:w w:val="99"/>
              </w:rPr>
              <w:t>DEBIT</w:t>
            </w:r>
          </w:p>
        </w:tc>
        <w:tc>
          <w:tcPr>
            <w:tcW w:w="540" w:type="dxa"/>
            <w:vAlign w:val="bottom"/>
            <w:tcBorders>
              <w:top w:val="single" w:sz="8" w:color="auto"/>
              <w:right w:val="single" w:sz="8" w:color="auto"/>
            </w:tcBorders>
            <w:gridSpan w:val="3"/>
          </w:tcPr>
          <w:p>
            <w:pPr>
              <w:jc w:val="right"/>
              <w:ind w:right="27"/>
              <w:spacing w:after="0" w:line="150" w:lineRule="exact"/>
              <w:rPr>
                <w:sz w:val="20"/>
                <w:szCs w:val="20"/>
                <w:color w:val="auto"/>
              </w:rPr>
            </w:pPr>
            <w:r>
              <w:rPr>
                <w:rFonts w:ascii="Arial" w:cs="Arial" w:eastAsia="Arial" w:hAnsi="Arial"/>
                <w:sz w:val="15"/>
                <w:szCs w:val="15"/>
                <w:color w:val="auto"/>
                <w:w w:val="98"/>
              </w:rPr>
              <w:t>CARD</w:t>
            </w:r>
          </w:p>
        </w:tc>
        <w:tc>
          <w:tcPr>
            <w:tcW w:w="400" w:type="dxa"/>
            <w:vAlign w:val="bottom"/>
            <w:tcBorders>
              <w:top w:val="single" w:sz="8" w:color="auto"/>
            </w:tcBorders>
          </w:tcPr>
          <w:p>
            <w:pPr>
              <w:ind w:left="80"/>
              <w:spacing w:after="0" w:line="150" w:lineRule="exact"/>
              <w:rPr>
                <w:sz w:val="20"/>
                <w:szCs w:val="20"/>
                <w:color w:val="auto"/>
              </w:rPr>
            </w:pPr>
            <w:r>
              <w:rPr>
                <w:rFonts w:ascii="Arial" w:cs="Arial" w:eastAsia="Arial" w:hAnsi="Arial"/>
                <w:sz w:val="15"/>
                <w:szCs w:val="15"/>
                <w:color w:val="auto"/>
              </w:rPr>
              <w:t>CA</w:t>
            </w:r>
          </w:p>
        </w:tc>
        <w:tc>
          <w:tcPr>
            <w:tcW w:w="18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2,207,603</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12/12/1995</w:t>
            </w:r>
          </w:p>
        </w:tc>
        <w:tc>
          <w:tcPr>
            <w:tcW w:w="1060" w:type="dxa"/>
            <w:vAlign w:val="bottom"/>
            <w:tcBorders>
              <w:top w:val="single" w:sz="8" w:color="auto"/>
              <w:right w:val="single" w:sz="8" w:color="auto"/>
            </w:tcBorders>
          </w:tcPr>
          <w:p>
            <w:pPr>
              <w:jc w:val="right"/>
              <w:ind w:right="327"/>
              <w:spacing w:after="0" w:line="150" w:lineRule="exact"/>
              <w:rPr>
                <w:sz w:val="20"/>
                <w:szCs w:val="20"/>
                <w:color w:val="auto"/>
              </w:rPr>
            </w:pPr>
            <w:r>
              <w:rPr>
                <w:rFonts w:ascii="Arial" w:cs="Arial" w:eastAsia="Arial" w:hAnsi="Arial"/>
                <w:sz w:val="15"/>
                <w:szCs w:val="15"/>
                <w:color w:val="auto"/>
                <w:w w:val="95"/>
              </w:rPr>
              <w:t>2,207,603</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2/2/2010</w:t>
            </w:r>
          </w:p>
        </w:tc>
        <w:tc>
          <w:tcPr>
            <w:tcW w:w="1120" w:type="dxa"/>
            <w:vAlign w:val="bottom"/>
            <w:tcBorders>
              <w:top w:val="single" w:sz="8" w:color="auto"/>
              <w:right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EXPIRED</w:t>
            </w:r>
          </w:p>
        </w:tc>
        <w:tc>
          <w:tcPr>
            <w:tcW w:w="54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w w:val="91"/>
              </w:rPr>
              <w:t>12/12/2</w:t>
            </w:r>
          </w:p>
        </w:tc>
        <w:tc>
          <w:tcPr>
            <w:tcW w:w="0" w:type="dxa"/>
            <w:vAlign w:val="bottom"/>
          </w:tcPr>
          <w:p>
            <w:pPr>
              <w:spacing w:after="0"/>
              <w:rPr>
                <w:sz w:val="1"/>
                <w:szCs w:val="1"/>
                <w:color w:val="auto"/>
              </w:rPr>
            </w:pPr>
          </w:p>
        </w:tc>
      </w:tr>
      <w:tr>
        <w:trPr>
          <w:trHeight w:val="131"/>
        </w:trPr>
        <w:tc>
          <w:tcPr>
            <w:tcW w:w="1320" w:type="dxa"/>
            <w:vAlign w:val="bottom"/>
            <w:tcBorders>
              <w:left w:val="single" w:sz="8" w:color="auto"/>
              <w:right w:val="single" w:sz="8" w:color="auto"/>
            </w:tcBorders>
            <w:vMerge w:val="continue"/>
          </w:tcPr>
          <w:p>
            <w:pPr>
              <w:spacing w:after="0"/>
              <w:rPr>
                <w:sz w:val="11"/>
                <w:szCs w:val="11"/>
                <w:color w:val="auto"/>
              </w:rPr>
            </w:pPr>
          </w:p>
        </w:tc>
        <w:tc>
          <w:tcPr>
            <w:tcW w:w="2500" w:type="dxa"/>
            <w:vAlign w:val="bottom"/>
            <w:tcBorders>
              <w:right w:val="single" w:sz="8" w:color="auto"/>
            </w:tcBorders>
            <w:gridSpan w:val="9"/>
            <w:vMerge w:val="restart"/>
          </w:tcPr>
          <w:p>
            <w:pPr>
              <w:ind w:left="60"/>
              <w:spacing w:after="0"/>
              <w:rPr>
                <w:sz w:val="20"/>
                <w:szCs w:val="20"/>
                <w:color w:val="auto"/>
              </w:rPr>
            </w:pPr>
            <w:r>
              <w:rPr>
                <w:rFonts w:ascii="Arial" w:cs="Arial" w:eastAsia="Arial" w:hAnsi="Arial"/>
                <w:sz w:val="15"/>
                <w:szCs w:val="15"/>
                <w:color w:val="auto"/>
              </w:rPr>
              <w:t>OPERATED VENDING MACHINE</w:t>
            </w:r>
          </w:p>
        </w:tc>
        <w:tc>
          <w:tcPr>
            <w:tcW w:w="4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gridSpan w:val="9"/>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100"/>
              <w:spacing w:after="0" w:line="140" w:lineRule="exact"/>
              <w:rPr>
                <w:sz w:val="20"/>
                <w:szCs w:val="20"/>
                <w:color w:val="auto"/>
              </w:rPr>
            </w:pPr>
            <w:r>
              <w:rPr>
                <w:rFonts w:ascii="Arial" w:cs="Arial" w:eastAsia="Arial" w:hAnsi="Arial"/>
                <w:sz w:val="15"/>
                <w:szCs w:val="15"/>
                <w:color w:val="auto"/>
              </w:rPr>
              <w:t>USE-F391US1</w:t>
            </w:r>
          </w:p>
        </w:tc>
        <w:tc>
          <w:tcPr>
            <w:tcW w:w="800" w:type="dxa"/>
            <w:vAlign w:val="bottom"/>
            <w:gridSpan w:val="2"/>
          </w:tcPr>
          <w:p>
            <w:pPr>
              <w:ind w:left="60"/>
              <w:spacing w:after="0" w:line="140" w:lineRule="exact"/>
              <w:rPr>
                <w:sz w:val="20"/>
                <w:szCs w:val="20"/>
                <w:color w:val="auto"/>
              </w:rPr>
            </w:pPr>
            <w:r>
              <w:rPr>
                <w:rFonts w:ascii="Arial" w:cs="Arial" w:eastAsia="Arial" w:hAnsi="Arial"/>
                <w:sz w:val="15"/>
                <w:szCs w:val="15"/>
                <w:color w:val="auto"/>
              </w:rPr>
              <w:t>SYSTEM</w:t>
            </w:r>
          </w:p>
        </w:tc>
        <w:tc>
          <w:tcPr>
            <w:tcW w:w="380" w:type="dxa"/>
            <w:vAlign w:val="bottom"/>
            <w:gridSpan w:val="2"/>
          </w:tcPr>
          <w:p>
            <w:pPr>
              <w:jc w:val="center"/>
              <w:spacing w:after="0" w:line="140" w:lineRule="exact"/>
              <w:rPr>
                <w:sz w:val="20"/>
                <w:szCs w:val="20"/>
                <w:color w:val="auto"/>
              </w:rPr>
            </w:pPr>
            <w:r>
              <w:rPr>
                <w:rFonts w:ascii="Arial" w:cs="Arial" w:eastAsia="Arial" w:hAnsi="Arial"/>
                <w:sz w:val="15"/>
                <w:szCs w:val="15"/>
                <w:color w:val="auto"/>
              </w:rPr>
              <w:t>AND</w:t>
            </w:r>
          </w:p>
        </w:tc>
        <w:tc>
          <w:tcPr>
            <w:tcW w:w="780" w:type="dxa"/>
            <w:vAlign w:val="bottom"/>
            <w:gridSpan w:val="2"/>
          </w:tcPr>
          <w:p>
            <w:pPr>
              <w:jc w:val="center"/>
              <w:ind w:left="47"/>
              <w:spacing w:after="0" w:line="140" w:lineRule="exact"/>
              <w:rPr>
                <w:sz w:val="20"/>
                <w:szCs w:val="20"/>
                <w:color w:val="auto"/>
              </w:rPr>
            </w:pPr>
            <w:r>
              <w:rPr>
                <w:rFonts w:ascii="Arial" w:cs="Arial" w:eastAsia="Arial" w:hAnsi="Arial"/>
                <w:sz w:val="15"/>
                <w:szCs w:val="15"/>
                <w:color w:val="auto"/>
                <w:w w:val="95"/>
              </w:rPr>
              <w:t>METHOD</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7"/>
              <w:spacing w:after="0" w:line="140" w:lineRule="exact"/>
              <w:rPr>
                <w:sz w:val="20"/>
                <w:szCs w:val="20"/>
                <w:color w:val="auto"/>
              </w:rPr>
            </w:pPr>
            <w:r>
              <w:rPr>
                <w:rFonts w:ascii="Arial" w:cs="Arial" w:eastAsia="Arial" w:hAnsi="Arial"/>
                <w:sz w:val="15"/>
                <w:szCs w:val="15"/>
                <w:color w:val="auto"/>
              </w:rPr>
              <w:t>FOR</w:t>
            </w:r>
          </w:p>
        </w:tc>
        <w:tc>
          <w:tcPr>
            <w:tcW w:w="400" w:type="dxa"/>
            <w:vAlign w:val="bottom"/>
          </w:tcPr>
          <w:p>
            <w:pPr>
              <w:ind w:left="80"/>
              <w:spacing w:after="0" w:line="14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ind w:left="60"/>
              <w:spacing w:after="0" w:line="140" w:lineRule="exact"/>
              <w:rPr>
                <w:sz w:val="20"/>
                <w:szCs w:val="20"/>
                <w:color w:val="auto"/>
              </w:rPr>
            </w:pPr>
            <w:r>
              <w:rPr>
                <w:rFonts w:ascii="Arial" w:cs="Arial" w:eastAsia="Arial" w:hAnsi="Arial"/>
                <w:sz w:val="15"/>
                <w:szCs w:val="15"/>
                <w:color w:val="auto"/>
              </w:rPr>
              <w:t>09/550,865</w:t>
            </w:r>
          </w:p>
        </w:tc>
        <w:tc>
          <w:tcPr>
            <w:tcW w:w="940" w:type="dxa"/>
            <w:vAlign w:val="bottom"/>
            <w:tcBorders>
              <w:right w:val="single" w:sz="8" w:color="auto"/>
            </w:tcBorders>
          </w:tcPr>
          <w:p>
            <w:pPr>
              <w:ind w:left="60"/>
              <w:spacing w:after="0" w:line="140" w:lineRule="exact"/>
              <w:rPr>
                <w:sz w:val="20"/>
                <w:szCs w:val="20"/>
                <w:color w:val="auto"/>
              </w:rPr>
            </w:pPr>
            <w:r>
              <w:rPr>
                <w:rFonts w:ascii="Arial" w:cs="Arial" w:eastAsia="Arial" w:hAnsi="Arial"/>
                <w:sz w:val="15"/>
                <w:szCs w:val="15"/>
                <w:color w:val="auto"/>
              </w:rPr>
              <w:t>4/17/2000</w:t>
            </w:r>
          </w:p>
        </w:tc>
        <w:tc>
          <w:tcPr>
            <w:tcW w:w="1060" w:type="dxa"/>
            <w:vAlign w:val="bottom"/>
            <w:tcBorders>
              <w:right w:val="single" w:sz="8" w:color="auto"/>
            </w:tcBorders>
          </w:tcPr>
          <w:p>
            <w:pPr>
              <w:jc w:val="right"/>
              <w:ind w:right="327"/>
              <w:spacing w:after="0" w:line="140" w:lineRule="exact"/>
              <w:rPr>
                <w:sz w:val="20"/>
                <w:szCs w:val="20"/>
                <w:color w:val="auto"/>
              </w:rPr>
            </w:pPr>
            <w:r>
              <w:rPr>
                <w:rFonts w:ascii="Arial" w:cs="Arial" w:eastAsia="Arial" w:hAnsi="Arial"/>
                <w:sz w:val="15"/>
                <w:szCs w:val="15"/>
                <w:color w:val="auto"/>
                <w:w w:val="95"/>
              </w:rPr>
              <w:t>6,321,985</w:t>
            </w:r>
          </w:p>
        </w:tc>
        <w:tc>
          <w:tcPr>
            <w:tcW w:w="940" w:type="dxa"/>
            <w:vAlign w:val="bottom"/>
            <w:tcBorders>
              <w:right w:val="single" w:sz="8" w:color="auto"/>
            </w:tcBorders>
          </w:tcPr>
          <w:p>
            <w:pPr>
              <w:ind w:left="60"/>
              <w:spacing w:after="0" w:line="140" w:lineRule="exact"/>
              <w:rPr>
                <w:sz w:val="20"/>
                <w:szCs w:val="20"/>
                <w:color w:val="auto"/>
              </w:rPr>
            </w:pPr>
            <w:r>
              <w:rPr>
                <w:rFonts w:ascii="Arial" w:cs="Arial" w:eastAsia="Arial" w:hAnsi="Arial"/>
                <w:sz w:val="15"/>
                <w:szCs w:val="15"/>
                <w:color w:val="auto"/>
              </w:rPr>
              <w:t>11/27/2001</w:t>
            </w:r>
          </w:p>
        </w:tc>
        <w:tc>
          <w:tcPr>
            <w:tcW w:w="1120" w:type="dxa"/>
            <w:vAlign w:val="bottom"/>
            <w:tcBorders>
              <w:right w:val="single" w:sz="8" w:color="auto"/>
            </w:tcBorders>
            <w:gridSpan w:val="2"/>
          </w:tcPr>
          <w:p>
            <w:pPr>
              <w:ind w:left="60"/>
              <w:spacing w:after="0" w:line="140" w:lineRule="exact"/>
              <w:rPr>
                <w:sz w:val="20"/>
                <w:szCs w:val="20"/>
                <w:color w:val="auto"/>
              </w:rPr>
            </w:pPr>
            <w:r>
              <w:rPr>
                <w:rFonts w:ascii="Arial" w:cs="Arial" w:eastAsia="Arial" w:hAnsi="Arial"/>
                <w:sz w:val="15"/>
                <w:szCs w:val="15"/>
                <w:color w:val="auto"/>
              </w:rPr>
              <w:t>EXPIRED</w:t>
            </w:r>
          </w:p>
        </w:tc>
        <w:tc>
          <w:tcPr>
            <w:tcW w:w="540" w:type="dxa"/>
            <w:vAlign w:val="bottom"/>
          </w:tcPr>
          <w:p>
            <w:pPr>
              <w:ind w:left="60"/>
              <w:spacing w:after="0" w:line="140" w:lineRule="exact"/>
              <w:rPr>
                <w:sz w:val="20"/>
                <w:szCs w:val="20"/>
                <w:color w:val="auto"/>
              </w:rPr>
            </w:pPr>
            <w:r>
              <w:rPr>
                <w:rFonts w:ascii="Arial" w:cs="Arial" w:eastAsia="Arial" w:hAnsi="Arial"/>
                <w:sz w:val="15"/>
                <w:szCs w:val="15"/>
                <w:color w:val="auto"/>
                <w:w w:val="91"/>
              </w:rPr>
              <w:t>8/28/20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NETWORKING</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AND</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CONTROLLING</w:t>
            </w: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VENDING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MACHINES</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USE-F5431US</w:t>
            </w:r>
          </w:p>
        </w:tc>
        <w:tc>
          <w:tcPr>
            <w:tcW w:w="8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6"/>
              </w:rPr>
              <w:t>DELIVERY</w:t>
            </w:r>
          </w:p>
        </w:tc>
        <w:tc>
          <w:tcPr>
            <w:tcW w:w="180" w:type="dxa"/>
            <w:vAlign w:val="bottom"/>
          </w:tcPr>
          <w:p>
            <w:pPr>
              <w:spacing w:after="0"/>
              <w:rPr>
                <w:sz w:val="11"/>
                <w:szCs w:val="11"/>
                <w:color w:val="auto"/>
              </w:rPr>
            </w:pPr>
          </w:p>
        </w:tc>
        <w:tc>
          <w:tcPr>
            <w:tcW w:w="200" w:type="dxa"/>
            <w:vAlign w:val="bottom"/>
          </w:tcPr>
          <w:p>
            <w:pPr>
              <w:ind w:left="20"/>
              <w:spacing w:after="0" w:line="130" w:lineRule="exact"/>
              <w:rPr>
                <w:sz w:val="20"/>
                <w:szCs w:val="20"/>
                <w:color w:val="auto"/>
              </w:rPr>
            </w:pPr>
            <w:r>
              <w:rPr>
                <w:rFonts w:ascii="Arial" w:cs="Arial" w:eastAsia="Arial" w:hAnsi="Arial"/>
                <w:sz w:val="15"/>
                <w:szCs w:val="15"/>
                <w:color w:val="auto"/>
                <w:w w:val="76"/>
              </w:rPr>
              <w:t>OF</w:t>
            </w:r>
          </w:p>
        </w:tc>
        <w:tc>
          <w:tcPr>
            <w:tcW w:w="780" w:type="dxa"/>
            <w:vAlign w:val="bottom"/>
            <w:gridSpan w:val="2"/>
          </w:tcPr>
          <w:p>
            <w:pPr>
              <w:jc w:val="center"/>
              <w:ind w:left="47"/>
              <w:spacing w:after="0" w:line="130" w:lineRule="exact"/>
              <w:rPr>
                <w:sz w:val="20"/>
                <w:szCs w:val="20"/>
                <w:color w:val="auto"/>
              </w:rPr>
            </w:pPr>
            <w:r>
              <w:rPr>
                <w:rFonts w:ascii="Arial" w:cs="Arial" w:eastAsia="Arial" w:hAnsi="Arial"/>
                <w:sz w:val="15"/>
                <w:szCs w:val="15"/>
                <w:color w:val="auto"/>
                <w:w w:val="89"/>
              </w:rPr>
              <w:t>GOODS</w:t>
            </w:r>
          </w:p>
        </w:tc>
        <w:tc>
          <w:tcPr>
            <w:tcW w:w="10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AND</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09/334,817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6/17/1999</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6,601,038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7/29/2003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8"/>
              </w:rPr>
              <w:t>SERVICES RESULTANT FROM AN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w w:val="94"/>
              </w:rPr>
              <w:t>COMMERCE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TRANSACTION  BY  WAY  OF  A</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PACK AND SHIP TYPE COMPANY</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USE-F5431US1</w:t>
            </w:r>
          </w:p>
        </w:tc>
        <w:tc>
          <w:tcPr>
            <w:tcW w:w="118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TRANSACTION</w:t>
            </w:r>
          </w:p>
        </w:tc>
        <w:tc>
          <w:tcPr>
            <w:tcW w:w="1320" w:type="dxa"/>
            <w:vAlign w:val="bottom"/>
            <w:tcBorders>
              <w:right w:val="single" w:sz="8" w:color="auto"/>
            </w:tcBorders>
            <w:gridSpan w:val="5"/>
          </w:tcPr>
          <w:p>
            <w:pPr>
              <w:jc w:val="right"/>
              <w:ind w:right="27"/>
              <w:spacing w:after="0" w:line="130" w:lineRule="exact"/>
              <w:rPr>
                <w:sz w:val="20"/>
                <w:szCs w:val="20"/>
                <w:color w:val="auto"/>
              </w:rPr>
            </w:pPr>
            <w:r>
              <w:rPr>
                <w:rFonts w:ascii="Arial" w:cs="Arial" w:eastAsia="Arial" w:hAnsi="Arial"/>
                <w:sz w:val="15"/>
                <w:szCs w:val="15"/>
                <w:color w:val="auto"/>
              </w:rPr>
              <w:t>PROCESSING</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09/599,166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6/22/2000</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6,629,080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9/30/2003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78"/>
              </w:rPr>
              <w:t>8/11/201</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METHOD</w:t>
            </w:r>
          </w:p>
        </w:tc>
        <w:tc>
          <w:tcPr>
            <w:tcW w:w="380" w:type="dxa"/>
            <w:vAlign w:val="bottom"/>
            <w:gridSpan w:val="2"/>
          </w:tcPr>
          <w:p>
            <w:pPr>
              <w:ind w:left="40"/>
              <w:spacing w:after="0" w:line="155" w:lineRule="exact"/>
              <w:rPr>
                <w:sz w:val="20"/>
                <w:szCs w:val="20"/>
                <w:color w:val="auto"/>
              </w:rPr>
            </w:pPr>
            <w:r>
              <w:rPr>
                <w:rFonts w:ascii="Arial" w:cs="Arial" w:eastAsia="Arial" w:hAnsi="Arial"/>
                <w:sz w:val="15"/>
                <w:szCs w:val="15"/>
                <w:color w:val="auto"/>
              </w:rPr>
              <w:t>OF</w:t>
            </w:r>
          </w:p>
        </w:tc>
        <w:tc>
          <w:tcPr>
            <w:tcW w:w="88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8"/>
              </w:rPr>
              <w:t>FULFILLING</w:t>
            </w: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w w:val="94"/>
              </w:rPr>
              <w:t>COMMERCE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TRANSACTION</w:t>
            </w:r>
          </w:p>
        </w:tc>
        <w:tc>
          <w:tcPr>
            <w:tcW w:w="360" w:type="dxa"/>
            <w:vAlign w:val="bottom"/>
          </w:tcPr>
          <w:p>
            <w:pPr>
              <w:spacing w:after="0"/>
              <w:rPr>
                <w:sz w:val="13"/>
                <w:szCs w:val="13"/>
                <w:color w:val="auto"/>
              </w:rPr>
            </w:pPr>
          </w:p>
        </w:tc>
        <w:tc>
          <w:tcPr>
            <w:tcW w:w="420" w:type="dxa"/>
            <w:vAlign w:val="bottom"/>
          </w:tcPr>
          <w:p>
            <w:pPr>
              <w:jc w:val="center"/>
              <w:ind w:right="147"/>
              <w:spacing w:after="0" w:line="155" w:lineRule="exact"/>
              <w:rPr>
                <w:sz w:val="20"/>
                <w:szCs w:val="20"/>
                <w:color w:val="auto"/>
              </w:rPr>
            </w:pPr>
            <w:r>
              <w:rPr>
                <w:rFonts w:ascii="Arial" w:cs="Arial" w:eastAsia="Arial" w:hAnsi="Arial"/>
                <w:sz w:val="15"/>
                <w:szCs w:val="15"/>
                <w:color w:val="auto"/>
                <w:w w:val="99"/>
              </w:rPr>
              <w:t>BY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w w:val="94"/>
              </w:rPr>
              <w:t>COMMERCE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54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rPr>
              <w:t>TERMINAL SYSTEM</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USE-F5432US</w:t>
            </w:r>
          </w:p>
        </w:tc>
        <w:tc>
          <w:tcPr>
            <w:tcW w:w="8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SYSTEM</w:t>
            </w:r>
          </w:p>
        </w:tc>
        <w:tc>
          <w:tcPr>
            <w:tcW w:w="3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4"/>
              </w:rPr>
              <w:t>AND</w:t>
            </w:r>
          </w:p>
        </w:tc>
        <w:tc>
          <w:tcPr>
            <w:tcW w:w="880" w:type="dxa"/>
            <w:vAlign w:val="bottom"/>
            <w:gridSpan w:val="3"/>
          </w:tcPr>
          <w:p>
            <w:pPr>
              <w:ind w:left="200"/>
              <w:spacing w:after="0" w:line="130" w:lineRule="exact"/>
              <w:rPr>
                <w:sz w:val="20"/>
                <w:szCs w:val="20"/>
                <w:color w:val="auto"/>
              </w:rPr>
            </w:pPr>
            <w:r>
              <w:rPr>
                <w:rFonts w:ascii="Arial" w:cs="Arial" w:eastAsia="Arial" w:hAnsi="Arial"/>
                <w:sz w:val="15"/>
                <w:szCs w:val="15"/>
                <w:color w:val="auto"/>
              </w:rPr>
              <w:t>METHOD</w:t>
            </w:r>
          </w:p>
        </w:tc>
        <w:tc>
          <w:tcPr>
            <w:tcW w:w="100" w:type="dxa"/>
            <w:vAlign w:val="bottom"/>
          </w:tcPr>
          <w:p>
            <w:pPr>
              <w:spacing w:after="0"/>
              <w:rPr>
                <w:sz w:val="11"/>
                <w:szCs w:val="11"/>
                <w:color w:val="auto"/>
              </w:rPr>
            </w:pPr>
          </w:p>
        </w:tc>
        <w:tc>
          <w:tcPr>
            <w:tcW w:w="34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OF</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09/334,815</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6/17/1999</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6,601,037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7/29/2003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8"/>
              </w:rPr>
              <w:t>PROCESSING  CREDIT  CARD,  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COMMERCE,  AND  E-BUSINESS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3"/>
              </w:rPr>
              <w:t>TRANSACTIONS</w:t>
            </w:r>
          </w:p>
        </w:tc>
        <w:tc>
          <w:tcPr>
            <w:tcW w:w="88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9"/>
              </w:rPr>
              <w:t>WITHOUT</w:t>
            </w:r>
          </w:p>
        </w:tc>
        <w:tc>
          <w:tcPr>
            <w:tcW w:w="4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THE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MERCHANT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w w:val="98"/>
              </w:rPr>
              <w:t>INCURRING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4"/>
              </w:rPr>
              <w:t>TRANSACTION PROCESSING FEES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96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w w:val="93"/>
              </w:rPr>
              <w:t>OR CHARGES WORLDWIDE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USE-F5433US</w:t>
            </w:r>
          </w:p>
        </w:tc>
        <w:tc>
          <w:tcPr>
            <w:tcW w:w="8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STORE</w:t>
            </w:r>
          </w:p>
        </w:tc>
        <w:tc>
          <w:tcPr>
            <w:tcW w:w="740" w:type="dxa"/>
            <w:vAlign w:val="bottom"/>
            <w:gridSpan w:val="3"/>
          </w:tcPr>
          <w:p>
            <w:pPr>
              <w:ind w:left="40"/>
              <w:spacing w:after="0" w:line="130" w:lineRule="exact"/>
              <w:rPr>
                <w:sz w:val="20"/>
                <w:szCs w:val="20"/>
                <w:color w:val="auto"/>
              </w:rPr>
            </w:pPr>
            <w:r>
              <w:rPr>
                <w:rFonts w:ascii="Arial" w:cs="Arial" w:eastAsia="Arial" w:hAnsi="Arial"/>
                <w:sz w:val="15"/>
                <w:szCs w:val="15"/>
                <w:color w:val="auto"/>
              </w:rPr>
              <w:t>DISPLAY</w:t>
            </w:r>
          </w:p>
        </w:tc>
        <w:tc>
          <w:tcPr>
            <w:tcW w:w="96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WINDOW</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09/335,460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6/17/1999</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6,611,810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8/26/2003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7"/>
              </w:rPr>
              <w:t>CONNECTED TO AN ELECTRONIC</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COMMERCE</w:t>
            </w:r>
          </w:p>
        </w:tc>
        <w:tc>
          <w:tcPr>
            <w:tcW w:w="980" w:type="dxa"/>
            <w:vAlign w:val="bottom"/>
            <w:gridSpan w:val="3"/>
          </w:tcPr>
          <w:p>
            <w:pPr>
              <w:jc w:val="center"/>
              <w:ind w:left="67"/>
              <w:spacing w:after="0" w:line="155" w:lineRule="exact"/>
              <w:rPr>
                <w:sz w:val="20"/>
                <w:szCs w:val="20"/>
                <w:color w:val="auto"/>
              </w:rPr>
            </w:pPr>
            <w:r>
              <w:rPr>
                <w:rFonts w:ascii="Arial" w:cs="Arial" w:eastAsia="Arial" w:hAnsi="Arial"/>
                <w:sz w:val="15"/>
                <w:szCs w:val="15"/>
                <w:color w:val="auto"/>
              </w:rPr>
              <w:t>TERMINAL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w w:val="87"/>
              </w:rPr>
              <w:t>(AS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rPr>
              <w:t>AMENDED)</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USE-F5434US</w:t>
            </w:r>
          </w:p>
        </w:tc>
        <w:tc>
          <w:tcPr>
            <w:tcW w:w="980" w:type="dxa"/>
            <w:vAlign w:val="bottom"/>
            <w:gridSpan w:val="3"/>
          </w:tcPr>
          <w:p>
            <w:pPr>
              <w:ind w:left="60"/>
              <w:spacing w:after="0" w:line="130"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w w:val="94"/>
              </w:rPr>
              <w:t>COMMERCE</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09/335,327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6/17/1999</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6,604,086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8/5/2003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960" w:type="dxa"/>
            <w:vAlign w:val="bottom"/>
            <w:gridSpan w:val="6"/>
          </w:tcPr>
          <w:p>
            <w:pPr>
              <w:ind w:left="60"/>
              <w:spacing w:after="0" w:line="155" w:lineRule="exact"/>
              <w:rPr>
                <w:sz w:val="20"/>
                <w:szCs w:val="20"/>
                <w:color w:val="auto"/>
              </w:rPr>
            </w:pPr>
            <w:r>
              <w:rPr>
                <w:rFonts w:ascii="Arial" w:cs="Arial" w:eastAsia="Arial" w:hAnsi="Arial"/>
                <w:sz w:val="15"/>
                <w:szCs w:val="15"/>
                <w:color w:val="auto"/>
              </w:rPr>
              <w:t>TERMINAL  CONNECTED</w:t>
            </w:r>
          </w:p>
        </w:tc>
        <w:tc>
          <w:tcPr>
            <w:tcW w:w="20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76"/>
              </w:rPr>
              <w:t>TO</w:t>
            </w: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VENDING</w:t>
            </w:r>
          </w:p>
        </w:tc>
        <w:tc>
          <w:tcPr>
            <w:tcW w:w="74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5"/>
              </w:rPr>
              <w:t>MACHINE</w:t>
            </w: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OPERABLE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w w:val="98"/>
              </w:rPr>
              <w:t>AS A TELEPHONE (AS AMENDED)</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USE-F5434US2</w:t>
            </w:r>
          </w:p>
        </w:tc>
        <w:tc>
          <w:tcPr>
            <w:tcW w:w="8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METHOD</w:t>
            </w:r>
          </w:p>
        </w:tc>
        <w:tc>
          <w:tcPr>
            <w:tcW w:w="38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4"/>
              </w:rPr>
              <w:t>FOR</w:t>
            </w:r>
          </w:p>
        </w:tc>
        <w:tc>
          <w:tcPr>
            <w:tcW w:w="980" w:type="dxa"/>
            <w:vAlign w:val="bottom"/>
            <w:gridSpan w:val="4"/>
          </w:tcPr>
          <w:p>
            <w:pPr>
              <w:ind w:left="120"/>
              <w:spacing w:after="0" w:line="130" w:lineRule="exact"/>
              <w:rPr>
                <w:sz w:val="20"/>
                <w:szCs w:val="20"/>
                <w:color w:val="auto"/>
              </w:rPr>
            </w:pPr>
            <w:r>
              <w:rPr>
                <w:rFonts w:ascii="Arial" w:cs="Arial" w:eastAsia="Arial" w:hAnsi="Arial"/>
                <w:sz w:val="15"/>
                <w:szCs w:val="15"/>
                <w:color w:val="auto"/>
                <w:w w:val="96"/>
              </w:rPr>
              <w:t>REVALUING</w:t>
            </w:r>
          </w:p>
        </w:tc>
        <w:tc>
          <w:tcPr>
            <w:tcW w:w="34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A</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09/599,078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6/22/2000</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7,089,209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8/8/2006</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1/27/20</w:t>
            </w: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PHONE CARD</w:t>
            </w: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USE-F5435US</w:t>
            </w:r>
          </w:p>
        </w:tc>
        <w:tc>
          <w:tcPr>
            <w:tcW w:w="420" w:type="dxa"/>
            <w:vAlign w:val="bottom"/>
          </w:tcPr>
          <w:p>
            <w:pPr>
              <w:ind w:left="60"/>
              <w:spacing w:after="0" w:line="130" w:lineRule="exact"/>
              <w:rPr>
                <w:sz w:val="20"/>
                <w:szCs w:val="20"/>
                <w:color w:val="auto"/>
              </w:rPr>
            </w:pPr>
            <w:r>
              <w:rPr>
                <w:rFonts w:ascii="Arial" w:cs="Arial" w:eastAsia="Arial" w:hAnsi="Arial"/>
                <w:sz w:val="15"/>
                <w:szCs w:val="15"/>
                <w:color w:val="auto"/>
              </w:rPr>
              <w:t>GAS</w:t>
            </w:r>
          </w:p>
        </w:tc>
        <w:tc>
          <w:tcPr>
            <w:tcW w:w="56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PUMP</w:t>
            </w:r>
          </w:p>
        </w:tc>
        <w:tc>
          <w:tcPr>
            <w:tcW w:w="1520" w:type="dxa"/>
            <w:vAlign w:val="bottom"/>
            <w:tcBorders>
              <w:right w:val="single" w:sz="8" w:color="auto"/>
            </w:tcBorders>
            <w:gridSpan w:val="6"/>
          </w:tcPr>
          <w:p>
            <w:pPr>
              <w:jc w:val="right"/>
              <w:ind w:right="27"/>
              <w:spacing w:after="0" w:line="130" w:lineRule="exact"/>
              <w:rPr>
                <w:sz w:val="20"/>
                <w:szCs w:val="20"/>
                <w:color w:val="auto"/>
              </w:rPr>
            </w:pPr>
            <w:r>
              <w:rPr>
                <w:rFonts w:ascii="Arial" w:cs="Arial" w:eastAsia="Arial" w:hAnsi="Arial"/>
                <w:sz w:val="15"/>
                <w:szCs w:val="15"/>
                <w:color w:val="auto"/>
                <w:w w:val="97"/>
              </w:rPr>
              <w:t>CONTROL  SYSTEM</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09/334,888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6/17/1999</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6,601,039</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7/29/2003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HAVING</w:t>
            </w:r>
          </w:p>
        </w:tc>
        <w:tc>
          <w:tcPr>
            <w:tcW w:w="740" w:type="dxa"/>
            <w:vAlign w:val="bottom"/>
            <w:gridSpan w:val="3"/>
          </w:tcPr>
          <w:p>
            <w:pPr>
              <w:ind w:left="80"/>
              <w:spacing w:after="0" w:line="155" w:lineRule="exact"/>
              <w:rPr>
                <w:sz w:val="20"/>
                <w:szCs w:val="20"/>
                <w:color w:val="auto"/>
              </w:rPr>
            </w:pPr>
            <w:r>
              <w:rPr>
                <w:rFonts w:ascii="Arial" w:cs="Arial" w:eastAsia="Arial" w:hAnsi="Arial"/>
                <w:sz w:val="15"/>
                <w:szCs w:val="15"/>
                <w:color w:val="auto"/>
              </w:rPr>
              <w:t>ACCESS</w:t>
            </w:r>
          </w:p>
        </w:tc>
        <w:tc>
          <w:tcPr>
            <w:tcW w:w="420" w:type="dxa"/>
            <w:vAlign w:val="bottom"/>
          </w:tcPr>
          <w:p>
            <w:pPr>
              <w:ind w:left="140"/>
              <w:spacing w:after="0" w:line="155" w:lineRule="exact"/>
              <w:rPr>
                <w:sz w:val="20"/>
                <w:szCs w:val="20"/>
                <w:color w:val="auto"/>
              </w:rPr>
            </w:pPr>
            <w:r>
              <w:rPr>
                <w:rFonts w:ascii="Arial" w:cs="Arial" w:eastAsia="Arial" w:hAnsi="Arial"/>
                <w:sz w:val="15"/>
                <w:szCs w:val="15"/>
                <w:color w:val="auto"/>
              </w:rPr>
              <w:t>TO</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THE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3"/>
              </w:rPr>
              <w:t>INTERNET FOR THE PURPOSES OF</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TRANSACTING</w:t>
            </w:r>
          </w:p>
        </w:tc>
        <w:tc>
          <w:tcPr>
            <w:tcW w:w="780" w:type="dxa"/>
            <w:vAlign w:val="bottom"/>
            <w:gridSpan w:val="2"/>
          </w:tcPr>
          <w:p>
            <w:pPr>
              <w:ind w:left="220"/>
              <w:spacing w:after="0" w:line="155" w:lineRule="exact"/>
              <w:rPr>
                <w:sz w:val="20"/>
                <w:szCs w:val="20"/>
                <w:color w:val="auto"/>
              </w:rPr>
            </w:pPr>
            <w:r>
              <w:rPr>
                <w:rFonts w:ascii="Arial" w:cs="Arial" w:eastAsia="Arial" w:hAnsi="Arial"/>
                <w:sz w:val="15"/>
                <w:szCs w:val="15"/>
                <w:color w:val="auto"/>
                <w:w w:val="99"/>
              </w:rPr>
              <w:t>E-MAIL,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COMMERCE,  AND  E-BUSINESS,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7"/>
              </w:rPr>
              <w:t>AND FOR CONDUCTING VENDING</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w w:val="93"/>
              </w:rPr>
              <w:t>TRANSACTIONS</w:t>
            </w: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USE-F5435US1</w:t>
            </w:r>
          </w:p>
        </w:tc>
        <w:tc>
          <w:tcPr>
            <w:tcW w:w="980" w:type="dxa"/>
            <w:vAlign w:val="bottom"/>
            <w:gridSpan w:val="3"/>
          </w:tcPr>
          <w:p>
            <w:pPr>
              <w:ind w:left="60"/>
              <w:spacing w:after="0" w:line="130" w:lineRule="exact"/>
              <w:rPr>
                <w:sz w:val="20"/>
                <w:szCs w:val="20"/>
                <w:color w:val="auto"/>
              </w:rPr>
            </w:pPr>
            <w:r>
              <w:rPr>
                <w:rFonts w:ascii="Arial" w:cs="Arial" w:eastAsia="Arial" w:hAnsi="Arial"/>
                <w:sz w:val="15"/>
                <w:szCs w:val="15"/>
                <w:color w:val="auto"/>
                <w:w w:val="99"/>
              </w:rPr>
              <w:t>METHOD OF</w:t>
            </w:r>
          </w:p>
        </w:tc>
        <w:tc>
          <w:tcPr>
            <w:tcW w:w="1180" w:type="dxa"/>
            <w:vAlign w:val="bottom"/>
            <w:gridSpan w:val="5"/>
          </w:tcPr>
          <w:p>
            <w:pPr>
              <w:jc w:val="center"/>
              <w:spacing w:after="0" w:line="130" w:lineRule="exact"/>
              <w:rPr>
                <w:sz w:val="20"/>
                <w:szCs w:val="20"/>
                <w:color w:val="auto"/>
              </w:rPr>
            </w:pPr>
            <w:r>
              <w:rPr>
                <w:rFonts w:ascii="Arial" w:cs="Arial" w:eastAsia="Arial" w:hAnsi="Arial"/>
                <w:sz w:val="15"/>
                <w:szCs w:val="15"/>
                <w:color w:val="auto"/>
                <w:w w:val="96"/>
              </w:rPr>
              <w:t>TRANSACTING</w:t>
            </w:r>
          </w:p>
        </w:tc>
        <w:tc>
          <w:tcPr>
            <w:tcW w:w="34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AN</w:t>
            </w:r>
          </w:p>
        </w:tc>
        <w:tc>
          <w:tcPr>
            <w:tcW w:w="40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09/603,518</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6/23/2000</w:t>
            </w:r>
          </w:p>
        </w:tc>
        <w:tc>
          <w:tcPr>
            <w:tcW w:w="106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5"/>
              </w:rPr>
              <w:t>6,643,623</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11/4/2003</w:t>
            </w:r>
          </w:p>
        </w:tc>
        <w:tc>
          <w:tcPr>
            <w:tcW w:w="112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ind w:left="60"/>
              <w:spacing w:after="0" w:line="130" w:lineRule="exact"/>
              <w:rPr>
                <w:sz w:val="20"/>
                <w:szCs w:val="20"/>
                <w:color w:val="auto"/>
              </w:rPr>
            </w:pPr>
            <w:r>
              <w:rPr>
                <w:rFonts w:ascii="Arial" w:cs="Arial" w:eastAsia="Arial" w:hAnsi="Arial"/>
                <w:sz w:val="15"/>
                <w:szCs w:val="15"/>
                <w:color w:val="auto"/>
                <w:w w:val="91"/>
              </w:rPr>
              <w:t>9/7/201</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3"/>
                <w:szCs w:val="13"/>
                <w:color w:val="auto"/>
              </w:rPr>
            </w:pPr>
          </w:p>
        </w:tc>
        <w:tc>
          <w:tcPr>
            <w:tcW w:w="780" w:type="dxa"/>
            <w:vAlign w:val="bottom"/>
            <w:gridSpan w:val="2"/>
          </w:tcPr>
          <w:p>
            <w:pPr>
              <w:ind w:left="200"/>
              <w:spacing w:after="0" w:line="155" w:lineRule="exact"/>
              <w:rPr>
                <w:sz w:val="20"/>
                <w:szCs w:val="20"/>
                <w:color w:val="auto"/>
              </w:rPr>
            </w:pPr>
            <w:r>
              <w:rPr>
                <w:rFonts w:ascii="Arial" w:cs="Arial" w:eastAsia="Arial" w:hAnsi="Arial"/>
                <w:sz w:val="15"/>
                <w:szCs w:val="15"/>
                <w:color w:val="auto"/>
              </w:rPr>
              <w:t>MAIL,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980" w:type="dxa"/>
            <w:vAlign w:val="bottom"/>
            <w:gridSpan w:val="3"/>
          </w:tcPr>
          <w:p>
            <w:pPr>
              <w:jc w:val="center"/>
              <w:ind w:left="47"/>
              <w:spacing w:after="0" w:line="155" w:lineRule="exact"/>
              <w:rPr>
                <w:sz w:val="20"/>
                <w:szCs w:val="20"/>
                <w:color w:val="auto"/>
              </w:rPr>
            </w:pPr>
            <w:r>
              <w:rPr>
                <w:rFonts w:ascii="Arial" w:cs="Arial" w:eastAsia="Arial" w:hAnsi="Arial"/>
                <w:sz w:val="15"/>
                <w:szCs w:val="15"/>
                <w:color w:val="auto"/>
                <w:w w:val="92"/>
              </w:rPr>
              <w:t>COMMERCE,</w:t>
            </w:r>
          </w:p>
        </w:tc>
        <w:tc>
          <w:tcPr>
            <w:tcW w:w="10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rPr>
              <w:t>AND</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420" w:type="dxa"/>
            <w:vAlign w:val="bottom"/>
          </w:tcPr>
          <w:p>
            <w:pPr>
              <w:ind w:left="60"/>
              <w:spacing w:after="0" w:line="155" w:lineRule="exact"/>
              <w:rPr>
                <w:sz w:val="20"/>
                <w:szCs w:val="20"/>
                <w:color w:val="auto"/>
              </w:rPr>
            </w:pPr>
            <w:r>
              <w:rPr>
                <w:rFonts w:ascii="Arial" w:cs="Arial" w:eastAsia="Arial" w:hAnsi="Arial"/>
                <w:sz w:val="15"/>
                <w:szCs w:val="15"/>
                <w:color w:val="auto"/>
              </w:rPr>
              <w:t>AN</w:t>
            </w:r>
          </w:p>
        </w:tc>
        <w:tc>
          <w:tcPr>
            <w:tcW w:w="112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5"/>
              </w:rPr>
              <w:t>ELECTRONIC</w:t>
            </w: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BUSINESS</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8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TRANSACTION</w:t>
            </w:r>
          </w:p>
        </w:tc>
        <w:tc>
          <w:tcPr>
            <w:tcW w:w="360" w:type="dxa"/>
            <w:vAlign w:val="bottom"/>
          </w:tcPr>
          <w:p>
            <w:pPr>
              <w:spacing w:after="0"/>
              <w:rPr>
                <w:sz w:val="13"/>
                <w:szCs w:val="13"/>
                <w:color w:val="auto"/>
              </w:rPr>
            </w:pPr>
          </w:p>
        </w:tc>
        <w:tc>
          <w:tcPr>
            <w:tcW w:w="420" w:type="dxa"/>
            <w:vAlign w:val="bottom"/>
          </w:tcPr>
          <w:p>
            <w:pPr>
              <w:jc w:val="center"/>
              <w:ind w:right="147"/>
              <w:spacing w:after="0" w:line="155" w:lineRule="exact"/>
              <w:rPr>
                <w:sz w:val="20"/>
                <w:szCs w:val="20"/>
                <w:color w:val="auto"/>
              </w:rPr>
            </w:pPr>
            <w:r>
              <w:rPr>
                <w:rFonts w:ascii="Arial" w:cs="Arial" w:eastAsia="Arial" w:hAnsi="Arial"/>
                <w:sz w:val="15"/>
                <w:szCs w:val="15"/>
                <w:color w:val="auto"/>
                <w:w w:val="99"/>
              </w:rPr>
              <w:t>BY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ELECTRONIC</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w w:val="94"/>
              </w:rPr>
              <w:t>COMMERCE</w:t>
            </w: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TERMINAL USING A GAS PUMP</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2"/>
          </w:tcPr>
          <w:p>
            <w:pPr>
              <w:jc w:val="right"/>
              <w:ind w:right="1067"/>
              <w:spacing w:after="0"/>
              <w:rPr>
                <w:sz w:val="20"/>
                <w:szCs w:val="20"/>
                <w:color w:val="auto"/>
              </w:rPr>
            </w:pPr>
            <w:r>
              <w:rPr>
                <w:rFonts w:ascii="Arial" w:cs="Arial" w:eastAsia="Arial" w:hAnsi="Arial"/>
                <w:sz w:val="13"/>
                <w:szCs w:val="13"/>
                <w:color w:val="auto"/>
              </w:rPr>
              <w:t>14</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8" w:right="139" w:bottom="1440" w:gutter="0" w:footer="0" w:header="0"/>
        </w:sectPr>
      </w:pPr>
    </w:p>
    <w:bookmarkStart w:id="193" w:name="page194"/>
    <w:bookmarkEnd w:id="193"/>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32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USE-F5436US</w:t>
            </w:r>
          </w:p>
        </w:tc>
        <w:tc>
          <w:tcPr>
            <w:tcW w:w="1700" w:type="dxa"/>
            <w:vAlign w:val="bottom"/>
            <w:tcBorders>
              <w:top w:val="single" w:sz="8" w:color="auto"/>
            </w:tcBorders>
            <w:gridSpan w:val="6"/>
          </w:tcPr>
          <w:p>
            <w:pPr>
              <w:ind w:left="60"/>
              <w:spacing w:after="0" w:line="150" w:lineRule="exact"/>
              <w:rPr>
                <w:sz w:val="20"/>
                <w:szCs w:val="20"/>
                <w:color w:val="auto"/>
              </w:rPr>
            </w:pPr>
            <w:r>
              <w:rPr>
                <w:rFonts w:ascii="Arial" w:cs="Arial" w:eastAsia="Arial" w:hAnsi="Arial"/>
                <w:sz w:val="15"/>
                <w:szCs w:val="15"/>
                <w:color w:val="auto"/>
              </w:rPr>
              <w:t>A VENDING MACHINE</w:t>
            </w:r>
          </w:p>
        </w:tc>
        <w:tc>
          <w:tcPr>
            <w:tcW w:w="860" w:type="dxa"/>
            <w:vAlign w:val="bottom"/>
            <w:tcBorders>
              <w:top w:val="single" w:sz="8" w:color="auto"/>
              <w:right w:val="single" w:sz="8" w:color="auto"/>
            </w:tcBorders>
            <w:gridSpan w:val="3"/>
          </w:tcPr>
          <w:p>
            <w:pPr>
              <w:jc w:val="right"/>
              <w:ind w:right="7"/>
              <w:spacing w:after="0" w:line="150" w:lineRule="exact"/>
              <w:rPr>
                <w:sz w:val="20"/>
                <w:szCs w:val="20"/>
                <w:color w:val="auto"/>
              </w:rPr>
            </w:pPr>
            <w:r>
              <w:rPr>
                <w:rFonts w:ascii="Arial" w:cs="Arial" w:eastAsia="Arial" w:hAnsi="Arial"/>
                <w:sz w:val="15"/>
                <w:szCs w:val="15"/>
                <w:color w:val="auto"/>
              </w:rPr>
              <w:t>CONTROL</w:t>
            </w:r>
          </w:p>
        </w:tc>
        <w:tc>
          <w:tcPr>
            <w:tcW w:w="360" w:type="dxa"/>
            <w:vAlign w:val="bottom"/>
            <w:tcBorders>
              <w:top w:val="single" w:sz="8" w:color="auto"/>
            </w:tcBorders>
          </w:tcPr>
          <w:p>
            <w:pPr>
              <w:ind w:left="80"/>
              <w:spacing w:after="0" w:line="150" w:lineRule="exact"/>
              <w:rPr>
                <w:sz w:val="20"/>
                <w:szCs w:val="20"/>
                <w:color w:val="auto"/>
              </w:rPr>
            </w:pPr>
            <w:r>
              <w:rPr>
                <w:rFonts w:ascii="Arial" w:cs="Arial" w:eastAsia="Arial" w:hAnsi="Arial"/>
                <w:sz w:val="15"/>
                <w:szCs w:val="15"/>
                <w:color w:val="auto"/>
              </w:rPr>
              <w:t>US</w:t>
            </w:r>
          </w:p>
        </w:tc>
        <w:tc>
          <w:tcPr>
            <w:tcW w:w="220" w:type="dxa"/>
            <w:vAlign w:val="bottom"/>
            <w:tcBorders>
              <w:top w:val="single" w:sz="8" w:color="auto"/>
              <w:right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jc w:val="right"/>
              <w:ind w:right="387"/>
              <w:spacing w:after="0" w:line="150" w:lineRule="exact"/>
              <w:rPr>
                <w:sz w:val="20"/>
                <w:szCs w:val="20"/>
                <w:color w:val="auto"/>
              </w:rPr>
            </w:pPr>
            <w:r>
              <w:rPr>
                <w:rFonts w:ascii="Arial" w:cs="Arial" w:eastAsia="Arial" w:hAnsi="Arial"/>
                <w:sz w:val="15"/>
                <w:szCs w:val="15"/>
                <w:color w:val="auto"/>
                <w:w w:val="93"/>
              </w:rPr>
              <w:t>09/335,458</w:t>
            </w:r>
          </w:p>
        </w:tc>
        <w:tc>
          <w:tcPr>
            <w:tcW w:w="940" w:type="dxa"/>
            <w:vAlign w:val="bottom"/>
            <w:tcBorders>
              <w:top w:val="single" w:sz="8" w:color="auto"/>
              <w:right w:val="single" w:sz="8" w:color="auto"/>
            </w:tcBorders>
          </w:tcPr>
          <w:p>
            <w:pPr>
              <w:jc w:val="right"/>
              <w:ind w:right="187"/>
              <w:spacing w:after="0" w:line="150" w:lineRule="exact"/>
              <w:rPr>
                <w:sz w:val="20"/>
                <w:szCs w:val="20"/>
                <w:color w:val="auto"/>
              </w:rPr>
            </w:pPr>
            <w:r>
              <w:rPr>
                <w:rFonts w:ascii="Arial" w:cs="Arial" w:eastAsia="Arial" w:hAnsi="Arial"/>
                <w:sz w:val="15"/>
                <w:szCs w:val="15"/>
                <w:color w:val="auto"/>
                <w:w w:val="98"/>
              </w:rPr>
              <w:t>6/17/1999</w:t>
            </w:r>
          </w:p>
        </w:tc>
        <w:tc>
          <w:tcPr>
            <w:tcW w:w="1040" w:type="dxa"/>
            <w:vAlign w:val="bottom"/>
            <w:tcBorders>
              <w:top w:val="single" w:sz="8" w:color="auto"/>
              <w:right w:val="single" w:sz="8" w:color="auto"/>
            </w:tcBorders>
          </w:tcPr>
          <w:p>
            <w:pPr>
              <w:jc w:val="right"/>
              <w:ind w:right="327"/>
              <w:spacing w:after="0" w:line="150" w:lineRule="exact"/>
              <w:rPr>
                <w:sz w:val="20"/>
                <w:szCs w:val="20"/>
                <w:color w:val="auto"/>
              </w:rPr>
            </w:pPr>
            <w:r>
              <w:rPr>
                <w:rFonts w:ascii="Arial" w:cs="Arial" w:eastAsia="Arial" w:hAnsi="Arial"/>
                <w:sz w:val="15"/>
                <w:szCs w:val="15"/>
                <w:color w:val="auto"/>
                <w:w w:val="92"/>
              </w:rPr>
              <w:t>6,606,602</w:t>
            </w:r>
          </w:p>
        </w:tc>
        <w:tc>
          <w:tcPr>
            <w:tcW w:w="94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8/12/2003</w:t>
            </w:r>
          </w:p>
        </w:tc>
        <w:tc>
          <w:tcPr>
            <w:tcW w:w="1100" w:type="dxa"/>
            <w:vAlign w:val="bottom"/>
            <w:tcBorders>
              <w:top w:val="single" w:sz="8" w:color="auto"/>
              <w:right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rPr>
              <w:t>ISSUED</w:t>
            </w:r>
          </w:p>
        </w:tc>
        <w:tc>
          <w:tcPr>
            <w:tcW w:w="5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vMerge w:val="continue"/>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9"/>
              </w:rPr>
              <w:t>SYSTEM HAVING ACCESS TO THE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5"/>
              </w:rPr>
              <w:t>INTERNET FOR THE PURPOSES OF</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4"/>
              </w:rPr>
              <w:t>TRANSACTING</w:t>
            </w:r>
          </w:p>
        </w:tc>
        <w:tc>
          <w:tcPr>
            <w:tcW w:w="300" w:type="dxa"/>
            <w:vAlign w:val="bottom"/>
          </w:tcPr>
          <w:p>
            <w:pPr>
              <w:spacing w:after="0"/>
              <w:rPr>
                <w:sz w:val="13"/>
                <w:szCs w:val="13"/>
                <w:color w:val="auto"/>
              </w:rPr>
            </w:pPr>
          </w:p>
        </w:tc>
        <w:tc>
          <w:tcPr>
            <w:tcW w:w="740" w:type="dxa"/>
            <w:vAlign w:val="bottom"/>
            <w:gridSpan w:val="2"/>
          </w:tcPr>
          <w:p>
            <w:pPr>
              <w:ind w:left="40"/>
              <w:spacing w:after="0" w:line="155" w:lineRule="exact"/>
              <w:rPr>
                <w:sz w:val="20"/>
                <w:szCs w:val="20"/>
                <w:color w:val="auto"/>
              </w:rPr>
            </w:pPr>
            <w:r>
              <w:rPr>
                <w:rFonts w:ascii="Arial" w:cs="Arial" w:eastAsia="Arial" w:hAnsi="Arial"/>
                <w:sz w:val="15"/>
                <w:szCs w:val="15"/>
                <w:color w:val="auto"/>
              </w:rPr>
              <w:t>E-MAIL,</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COMMERCE,   AND   E-BUSINESS,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AND FOR CONDUCTING VENDING</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rPr>
              <w:t>TRANSACTIONS</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USE-F5436US2</w:t>
            </w:r>
          </w:p>
        </w:tc>
        <w:tc>
          <w:tcPr>
            <w:tcW w:w="7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METHOD</w:t>
            </w:r>
          </w:p>
        </w:tc>
        <w:tc>
          <w:tcPr>
            <w:tcW w:w="80" w:type="dxa"/>
            <w:vAlign w:val="bottom"/>
          </w:tcPr>
          <w:p>
            <w:pPr>
              <w:spacing w:after="0"/>
              <w:rPr>
                <w:sz w:val="11"/>
                <w:szCs w:val="11"/>
                <w:color w:val="auto"/>
              </w:rPr>
            </w:pPr>
          </w:p>
        </w:tc>
        <w:tc>
          <w:tcPr>
            <w:tcW w:w="1360" w:type="dxa"/>
            <w:vAlign w:val="bottom"/>
            <w:gridSpan w:val="5"/>
          </w:tcPr>
          <w:p>
            <w:pPr>
              <w:jc w:val="right"/>
              <w:spacing w:after="0" w:line="130" w:lineRule="exact"/>
              <w:rPr>
                <w:sz w:val="20"/>
                <w:szCs w:val="20"/>
                <w:color w:val="auto"/>
              </w:rPr>
            </w:pPr>
            <w:r>
              <w:rPr>
                <w:rFonts w:ascii="Arial" w:cs="Arial" w:eastAsia="Arial" w:hAnsi="Arial"/>
                <w:sz w:val="15"/>
                <w:szCs w:val="15"/>
                <w:color w:val="auto"/>
              </w:rPr>
              <w:t>FOR   REVALUING</w:t>
            </w:r>
          </w:p>
        </w:tc>
        <w:tc>
          <w:tcPr>
            <w:tcW w:w="3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A</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09/602,557</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6/23/2000</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6,684,197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1/27/2004</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6/9/202</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PRIVATE LABEL CARD USING AN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3"/>
                <w:szCs w:val="13"/>
                <w:color w:val="auto"/>
              </w:rPr>
            </w:pP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COMMERCE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14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rPr>
              <w:t>TERMINAL (AS AMENDED)</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USE-F5437US</w:t>
            </w:r>
          </w:p>
        </w:tc>
        <w:tc>
          <w:tcPr>
            <w:tcW w:w="7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METHOD</w:t>
            </w:r>
          </w:p>
        </w:tc>
        <w:tc>
          <w:tcPr>
            <w:tcW w:w="80" w:type="dxa"/>
            <w:vAlign w:val="bottom"/>
          </w:tcPr>
          <w:p>
            <w:pPr>
              <w:spacing w:after="0"/>
              <w:rPr>
                <w:sz w:val="11"/>
                <w:szCs w:val="11"/>
                <w:color w:val="auto"/>
              </w:rPr>
            </w:pPr>
          </w:p>
        </w:tc>
        <w:tc>
          <w:tcPr>
            <w:tcW w:w="280" w:type="dxa"/>
            <w:vAlign w:val="bottom"/>
          </w:tcPr>
          <w:p>
            <w:pPr>
              <w:ind w:left="20"/>
              <w:spacing w:after="0" w:line="130" w:lineRule="exact"/>
              <w:rPr>
                <w:sz w:val="20"/>
                <w:szCs w:val="20"/>
                <w:color w:val="auto"/>
              </w:rPr>
            </w:pPr>
            <w:r>
              <w:rPr>
                <w:rFonts w:ascii="Arial" w:cs="Arial" w:eastAsia="Arial" w:hAnsi="Arial"/>
                <w:sz w:val="15"/>
                <w:szCs w:val="15"/>
                <w:color w:val="auto"/>
              </w:rPr>
              <w:t>OF</w:t>
            </w:r>
          </w:p>
        </w:tc>
        <w:tc>
          <w:tcPr>
            <w:tcW w:w="1080" w:type="dxa"/>
            <w:vAlign w:val="bottom"/>
            <w:gridSpan w:val="4"/>
          </w:tcPr>
          <w:p>
            <w:pPr>
              <w:jc w:val="right"/>
              <w:spacing w:after="0" w:line="130" w:lineRule="exact"/>
              <w:rPr>
                <w:sz w:val="20"/>
                <w:szCs w:val="20"/>
                <w:color w:val="auto"/>
              </w:rPr>
            </w:pPr>
            <w:r>
              <w:rPr>
                <w:rFonts w:ascii="Arial" w:cs="Arial" w:eastAsia="Arial" w:hAnsi="Arial"/>
                <w:sz w:val="15"/>
                <w:szCs w:val="15"/>
                <w:color w:val="auto"/>
                <w:w w:val="98"/>
              </w:rPr>
              <w:t>TRANSACTING</w:t>
            </w:r>
          </w:p>
        </w:tc>
        <w:tc>
          <w:tcPr>
            <w:tcW w:w="3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E-</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09/352,023</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7/14/1999</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6,615,183</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9/2/2003</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COMMERCE   AND   E-BUSINESS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74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FROM</w:t>
            </w:r>
          </w:p>
        </w:tc>
        <w:tc>
          <w:tcPr>
            <w:tcW w:w="36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w:t>
            </w:r>
          </w:p>
        </w:tc>
        <w:tc>
          <w:tcPr>
            <w:tcW w:w="6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PUBLIC</w:t>
            </w:r>
          </w:p>
        </w:tc>
        <w:tc>
          <w:tcPr>
            <w:tcW w:w="8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rPr>
              <w:t>ACCESS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PERVASIVE COMPUTING DEVICE</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USE-F5437US5</w:t>
            </w:r>
          </w:p>
        </w:tc>
        <w:tc>
          <w:tcPr>
            <w:tcW w:w="2560" w:type="dxa"/>
            <w:vAlign w:val="bottom"/>
            <w:tcBorders>
              <w:right w:val="single" w:sz="8" w:color="auto"/>
            </w:tcBorders>
            <w:gridSpan w:val="9"/>
          </w:tcPr>
          <w:p>
            <w:pPr>
              <w:ind w:left="60"/>
              <w:spacing w:after="0" w:line="130" w:lineRule="exact"/>
              <w:rPr>
                <w:sz w:val="20"/>
                <w:szCs w:val="20"/>
                <w:color w:val="auto"/>
              </w:rPr>
            </w:pPr>
            <w:r>
              <w:rPr>
                <w:rFonts w:ascii="Arial" w:cs="Arial" w:eastAsia="Arial" w:hAnsi="Arial"/>
                <w:sz w:val="15"/>
                <w:szCs w:val="15"/>
                <w:color w:val="auto"/>
              </w:rPr>
              <w:t>METHOD OF SOLICITING A USER</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09/602,838</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6/23/2000</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6,807,532</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10/19/2004</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10/17/2</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TO INPUT SURVEY DATA AT AN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3"/>
                <w:szCs w:val="13"/>
                <w:color w:val="auto"/>
              </w:rPr>
            </w:pP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COMMERCE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14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rPr>
              <w:t>TERMINAL (AS AMENDED)</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USE-F5438US</w:t>
            </w:r>
          </w:p>
        </w:tc>
        <w:tc>
          <w:tcPr>
            <w:tcW w:w="74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6"/>
              </w:rPr>
              <w:t>VENDING</w:t>
            </w:r>
          </w:p>
        </w:tc>
        <w:tc>
          <w:tcPr>
            <w:tcW w:w="80" w:type="dxa"/>
            <w:vAlign w:val="bottom"/>
          </w:tcPr>
          <w:p>
            <w:pPr>
              <w:spacing w:after="0"/>
              <w:rPr>
                <w:sz w:val="11"/>
                <w:szCs w:val="11"/>
                <w:color w:val="auto"/>
              </w:rPr>
            </w:pPr>
          </w:p>
        </w:tc>
        <w:tc>
          <w:tcPr>
            <w:tcW w:w="880" w:type="dxa"/>
            <w:vAlign w:val="bottom"/>
            <w:gridSpan w:val="3"/>
          </w:tcPr>
          <w:p>
            <w:pPr>
              <w:jc w:val="center"/>
              <w:spacing w:after="0" w:line="130" w:lineRule="exact"/>
              <w:rPr>
                <w:sz w:val="20"/>
                <w:szCs w:val="20"/>
                <w:color w:val="auto"/>
              </w:rPr>
            </w:pPr>
            <w:r>
              <w:rPr>
                <w:rFonts w:ascii="Arial" w:cs="Arial" w:eastAsia="Arial" w:hAnsi="Arial"/>
                <w:sz w:val="15"/>
                <w:szCs w:val="15"/>
                <w:color w:val="auto"/>
                <w:w w:val="90"/>
              </w:rPr>
              <w:t>ACCESS</w:t>
            </w:r>
          </w:p>
        </w:tc>
        <w:tc>
          <w:tcPr>
            <w:tcW w:w="440" w:type="dxa"/>
            <w:vAlign w:val="bottom"/>
          </w:tcPr>
          <w:p>
            <w:pPr>
              <w:ind w:left="60"/>
              <w:spacing w:after="0" w:line="130" w:lineRule="exact"/>
              <w:rPr>
                <w:sz w:val="20"/>
                <w:szCs w:val="20"/>
                <w:color w:val="auto"/>
              </w:rPr>
            </w:pPr>
            <w:r>
              <w:rPr>
                <w:rFonts w:ascii="Arial" w:cs="Arial" w:eastAsia="Arial" w:hAnsi="Arial"/>
                <w:sz w:val="15"/>
                <w:szCs w:val="15"/>
                <w:color w:val="auto"/>
              </w:rPr>
              <w:t>TO</w:t>
            </w:r>
          </w:p>
        </w:tc>
        <w:tc>
          <w:tcPr>
            <w:tcW w:w="40" w:type="dxa"/>
            <w:vAlign w:val="bottom"/>
          </w:tcPr>
          <w:p>
            <w:pPr>
              <w:spacing w:after="0"/>
              <w:rPr>
                <w:sz w:val="11"/>
                <w:szCs w:val="11"/>
                <w:color w:val="auto"/>
              </w:rPr>
            </w:pPr>
          </w:p>
        </w:tc>
        <w:tc>
          <w:tcPr>
            <w:tcW w:w="3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w w:val="86"/>
              </w:rPr>
              <w:t>THE</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09/352,989</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7/14/1999</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6,604,087</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8/5/2003</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2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3"/>
              </w:rPr>
              <w:t>INTERNET,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right w:val="single" w:sz="8" w:color="auto"/>
            </w:tcBorders>
            <w:gridSpan w:val="3"/>
          </w:tcPr>
          <w:p>
            <w:pPr>
              <w:jc w:val="right"/>
              <w:ind w:right="7"/>
              <w:spacing w:after="0" w:line="155" w:lineRule="exact"/>
              <w:rPr>
                <w:sz w:val="20"/>
                <w:szCs w:val="20"/>
                <w:color w:val="auto"/>
              </w:rPr>
            </w:pPr>
            <w:r>
              <w:rPr>
                <w:rFonts w:ascii="Arial" w:cs="Arial" w:eastAsia="Arial" w:hAnsi="Arial"/>
                <w:sz w:val="15"/>
                <w:szCs w:val="15"/>
                <w:color w:val="auto"/>
              </w:rPr>
              <w:t>BUSINESS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APPLICATION</w:t>
            </w:r>
          </w:p>
        </w:tc>
        <w:tc>
          <w:tcPr>
            <w:tcW w:w="1040" w:type="dxa"/>
            <w:vAlign w:val="bottom"/>
            <w:gridSpan w:val="3"/>
          </w:tcPr>
          <w:p>
            <w:pPr>
              <w:ind w:left="160"/>
              <w:spacing w:after="0" w:line="155" w:lineRule="exact"/>
              <w:rPr>
                <w:sz w:val="20"/>
                <w:szCs w:val="20"/>
                <w:color w:val="auto"/>
              </w:rPr>
            </w:pPr>
            <w:r>
              <w:rPr>
                <w:rFonts w:ascii="Arial" w:cs="Arial" w:eastAsia="Arial" w:hAnsi="Arial"/>
                <w:sz w:val="15"/>
                <w:szCs w:val="15"/>
                <w:color w:val="auto"/>
                <w:w w:val="96"/>
              </w:rPr>
              <w:t>SOFTWARE,</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COMMERCE, AND E-BUSINESS IN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rPr>
              <w:t>A HOTEL ROOM</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USE-F5439US</w:t>
            </w:r>
          </w:p>
        </w:tc>
        <w:tc>
          <w:tcPr>
            <w:tcW w:w="110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1"/>
                <w:szCs w:val="11"/>
                <w:color w:val="auto"/>
              </w:rPr>
            </w:pPr>
          </w:p>
        </w:tc>
        <w:tc>
          <w:tcPr>
            <w:tcW w:w="116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COMMERCE</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09/354,803</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7/16/1999</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6,601,040</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7/29/2003</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2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7"/>
              </w:rPr>
              <w:t>TERMINAL</w:t>
            </w:r>
          </w:p>
        </w:tc>
        <w:tc>
          <w:tcPr>
            <w:tcW w:w="580" w:type="dxa"/>
            <w:vAlign w:val="bottom"/>
            <w:gridSpan w:val="2"/>
          </w:tcPr>
          <w:p>
            <w:pPr>
              <w:ind w:left="240"/>
              <w:spacing w:after="0" w:line="155" w:lineRule="exact"/>
              <w:rPr>
                <w:sz w:val="20"/>
                <w:szCs w:val="20"/>
                <w:color w:val="auto"/>
              </w:rPr>
            </w:pPr>
            <w:r>
              <w:rPr>
                <w:rFonts w:ascii="Arial" w:cs="Arial" w:eastAsia="Arial" w:hAnsi="Arial"/>
                <w:sz w:val="15"/>
                <w:szCs w:val="15"/>
                <w:color w:val="auto"/>
              </w:rPr>
              <w:t>FOR</w:t>
            </w: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WIRELESSLY</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400" w:type="dxa"/>
            <w:vAlign w:val="bottom"/>
            <w:gridSpan w:val="5"/>
          </w:tcPr>
          <w:p>
            <w:pPr>
              <w:ind w:left="60"/>
              <w:spacing w:after="0" w:line="155" w:lineRule="exact"/>
              <w:rPr>
                <w:sz w:val="20"/>
                <w:szCs w:val="20"/>
                <w:color w:val="auto"/>
              </w:rPr>
            </w:pPr>
            <w:r>
              <w:rPr>
                <w:rFonts w:ascii="Arial" w:cs="Arial" w:eastAsia="Arial" w:hAnsi="Arial"/>
                <w:sz w:val="15"/>
                <w:szCs w:val="15"/>
                <w:color w:val="auto"/>
              </w:rPr>
              <w:t>COMMUNICATING</w:t>
            </w:r>
          </w:p>
        </w:tc>
        <w:tc>
          <w:tcPr>
            <w:tcW w:w="300" w:type="dxa"/>
            <w:vAlign w:val="bottom"/>
          </w:tcPr>
          <w:p>
            <w:pPr>
              <w:spacing w:after="0"/>
              <w:rPr>
                <w:sz w:val="13"/>
                <w:szCs w:val="13"/>
                <w:color w:val="auto"/>
              </w:rPr>
            </w:pPr>
          </w:p>
        </w:tc>
        <w:tc>
          <w:tcPr>
            <w:tcW w:w="440" w:type="dxa"/>
            <w:vAlign w:val="bottom"/>
          </w:tcPr>
          <w:p>
            <w:pPr>
              <w:ind w:left="40"/>
              <w:spacing w:after="0" w:line="155" w:lineRule="exact"/>
              <w:rPr>
                <w:sz w:val="20"/>
                <w:szCs w:val="20"/>
                <w:color w:val="auto"/>
              </w:rPr>
            </w:pPr>
            <w:r>
              <w:rPr>
                <w:rFonts w:ascii="Arial" w:cs="Arial" w:eastAsia="Arial" w:hAnsi="Arial"/>
                <w:sz w:val="15"/>
                <w:szCs w:val="15"/>
                <w:color w:val="auto"/>
              </w:rPr>
              <w:t>TO</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PLURALITY OF COMMUNICATION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214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rPr>
              <w:t>DEVICES (AS AMENDED)</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USE-F5439US1</w:t>
            </w:r>
          </w:p>
        </w:tc>
        <w:tc>
          <w:tcPr>
            <w:tcW w:w="74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METHOD</w:t>
            </w:r>
          </w:p>
        </w:tc>
        <w:tc>
          <w:tcPr>
            <w:tcW w:w="36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OF</w:t>
            </w:r>
          </w:p>
        </w:tc>
        <w:tc>
          <w:tcPr>
            <w:tcW w:w="1040" w:type="dxa"/>
            <w:vAlign w:val="bottom"/>
            <w:gridSpan w:val="3"/>
          </w:tcPr>
          <w:p>
            <w:pPr>
              <w:spacing w:after="0" w:line="130" w:lineRule="exact"/>
              <w:rPr>
                <w:sz w:val="20"/>
                <w:szCs w:val="20"/>
                <w:color w:val="auto"/>
              </w:rPr>
            </w:pPr>
            <w:r>
              <w:rPr>
                <w:rFonts w:ascii="Arial" w:cs="Arial" w:eastAsia="Arial" w:hAnsi="Arial"/>
                <w:sz w:val="15"/>
                <w:szCs w:val="15"/>
                <w:color w:val="auto"/>
                <w:w w:val="94"/>
              </w:rPr>
              <w:t>TRANSACTING</w:t>
            </w:r>
          </w:p>
        </w:tc>
        <w:tc>
          <w:tcPr>
            <w:tcW w:w="40" w:type="dxa"/>
            <w:vAlign w:val="bottom"/>
          </w:tcPr>
          <w:p>
            <w:pPr>
              <w:spacing w:after="0"/>
              <w:rPr>
                <w:sz w:val="11"/>
                <w:szCs w:val="11"/>
                <w:color w:val="auto"/>
              </w:rPr>
            </w:pPr>
          </w:p>
        </w:tc>
        <w:tc>
          <w:tcPr>
            <w:tcW w:w="380" w:type="dxa"/>
            <w:vAlign w:val="bottom"/>
            <w:tcBorders>
              <w:right w:val="single" w:sz="8" w:color="auto"/>
            </w:tcBorders>
          </w:tcPr>
          <w:p>
            <w:pPr>
              <w:jc w:val="right"/>
              <w:ind w:right="27"/>
              <w:spacing w:after="0" w:line="130" w:lineRule="exact"/>
              <w:rPr>
                <w:sz w:val="20"/>
                <w:szCs w:val="20"/>
                <w:color w:val="auto"/>
              </w:rPr>
            </w:pPr>
            <w:r>
              <w:rPr>
                <w:rFonts w:ascii="Arial" w:cs="Arial" w:eastAsia="Arial" w:hAnsi="Arial"/>
                <w:sz w:val="15"/>
                <w:szCs w:val="15"/>
                <w:color w:val="auto"/>
              </w:rPr>
              <w:t>AN</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09/602,842</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6/23/2000</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6,763,336</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7/13/2004</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10/6/20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3"/>
                <w:szCs w:val="13"/>
                <w:color w:val="auto"/>
              </w:rPr>
            </w:pPr>
          </w:p>
        </w:tc>
        <w:tc>
          <w:tcPr>
            <w:tcW w:w="740" w:type="dxa"/>
            <w:vAlign w:val="bottom"/>
            <w:gridSpan w:val="2"/>
          </w:tcPr>
          <w:p>
            <w:pPr>
              <w:jc w:val="center"/>
              <w:ind w:right="227"/>
              <w:spacing w:after="0" w:line="155" w:lineRule="exact"/>
              <w:rPr>
                <w:sz w:val="20"/>
                <w:szCs w:val="20"/>
                <w:color w:val="auto"/>
              </w:rPr>
            </w:pPr>
            <w:r>
              <w:rPr>
                <w:rFonts w:ascii="Arial" w:cs="Arial" w:eastAsia="Arial" w:hAnsi="Arial"/>
                <w:sz w:val="15"/>
                <w:szCs w:val="15"/>
                <w:color w:val="auto"/>
              </w:rPr>
              <w:t>MAIL,</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AN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1040" w:type="dxa"/>
            <w:vAlign w:val="bottom"/>
            <w:gridSpan w:val="3"/>
          </w:tcPr>
          <w:p>
            <w:pPr>
              <w:ind w:left="20"/>
              <w:spacing w:after="0" w:line="155" w:lineRule="exact"/>
              <w:rPr>
                <w:sz w:val="20"/>
                <w:szCs w:val="20"/>
                <w:color w:val="auto"/>
              </w:rPr>
            </w:pPr>
            <w:r>
              <w:rPr>
                <w:rFonts w:ascii="Arial" w:cs="Arial" w:eastAsia="Arial" w:hAnsi="Arial"/>
                <w:sz w:val="15"/>
                <w:szCs w:val="15"/>
                <w:color w:val="auto"/>
              </w:rPr>
              <w:t>COMMERCE,</w:t>
            </w:r>
          </w:p>
        </w:tc>
        <w:tc>
          <w:tcPr>
            <w:tcW w:w="4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4"/>
              </w:rPr>
              <w:t>AND</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340" w:type="dxa"/>
            <w:vAlign w:val="bottom"/>
          </w:tcPr>
          <w:p>
            <w:pPr>
              <w:ind w:left="60"/>
              <w:spacing w:after="0" w:line="155" w:lineRule="exact"/>
              <w:rPr>
                <w:sz w:val="20"/>
                <w:szCs w:val="20"/>
                <w:color w:val="auto"/>
              </w:rPr>
            </w:pPr>
            <w:r>
              <w:rPr>
                <w:rFonts w:ascii="Arial" w:cs="Arial" w:eastAsia="Arial" w:hAnsi="Arial"/>
                <w:sz w:val="15"/>
                <w:szCs w:val="15"/>
                <w:color w:val="auto"/>
              </w:rPr>
              <w:t>AN</w:t>
            </w:r>
          </w:p>
        </w:tc>
        <w:tc>
          <w:tcPr>
            <w:tcW w:w="1360" w:type="dxa"/>
            <w:vAlign w:val="bottom"/>
            <w:gridSpan w:val="5"/>
          </w:tcPr>
          <w:p>
            <w:pPr>
              <w:jc w:val="center"/>
              <w:spacing w:after="0" w:line="155" w:lineRule="exact"/>
              <w:rPr>
                <w:sz w:val="20"/>
                <w:szCs w:val="20"/>
                <w:color w:val="auto"/>
              </w:rPr>
            </w:pPr>
            <w:r>
              <w:rPr>
                <w:rFonts w:ascii="Arial" w:cs="Arial" w:eastAsia="Arial" w:hAnsi="Arial"/>
                <w:sz w:val="15"/>
                <w:szCs w:val="15"/>
                <w:color w:val="auto"/>
                <w:w w:val="93"/>
              </w:rPr>
              <w:t>ELECTRONIC</w:t>
            </w:r>
          </w:p>
        </w:tc>
        <w:tc>
          <w:tcPr>
            <w:tcW w:w="8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97"/>
              </w:rPr>
              <w:t>BUSINESS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4"/>
              </w:rPr>
              <w:t>TRANSACTION</w:t>
            </w:r>
          </w:p>
        </w:tc>
        <w:tc>
          <w:tcPr>
            <w:tcW w:w="300" w:type="dxa"/>
            <w:vAlign w:val="bottom"/>
          </w:tcPr>
          <w:p>
            <w:pPr>
              <w:spacing w:after="0"/>
              <w:rPr>
                <w:sz w:val="13"/>
                <w:szCs w:val="13"/>
                <w:color w:val="auto"/>
              </w:rPr>
            </w:pPr>
          </w:p>
        </w:tc>
        <w:tc>
          <w:tcPr>
            <w:tcW w:w="74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BY</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3"/>
                <w:szCs w:val="13"/>
                <w:color w:val="auto"/>
              </w:rPr>
            </w:pP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COMMERCE</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TERMINAL USING A WIRELESSLY</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NETWORKED</w:t>
            </w:r>
          </w:p>
        </w:tc>
        <w:tc>
          <w:tcPr>
            <w:tcW w:w="104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7"/>
              </w:rPr>
              <w:t>PLURALITY</w:t>
            </w:r>
          </w:p>
        </w:tc>
        <w:tc>
          <w:tcPr>
            <w:tcW w:w="40" w:type="dxa"/>
            <w:vAlign w:val="bottom"/>
          </w:tcPr>
          <w:p>
            <w:pPr>
              <w:spacing w:after="0"/>
              <w:rPr>
                <w:sz w:val="13"/>
                <w:szCs w:val="13"/>
                <w:color w:val="auto"/>
              </w:rPr>
            </w:pPr>
          </w:p>
        </w:tc>
        <w:tc>
          <w:tcPr>
            <w:tcW w:w="380" w:type="dxa"/>
            <w:vAlign w:val="bottom"/>
            <w:tcBorders>
              <w:right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OF</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PORTABLE DIGITAL..</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USE-F543US</w:t>
            </w:r>
          </w:p>
        </w:tc>
        <w:tc>
          <w:tcPr>
            <w:tcW w:w="110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UNIVERSAL</w:t>
            </w:r>
          </w:p>
        </w:tc>
        <w:tc>
          <w:tcPr>
            <w:tcW w:w="300" w:type="dxa"/>
            <w:vAlign w:val="bottom"/>
          </w:tcPr>
          <w:p>
            <w:pPr>
              <w:spacing w:after="0"/>
              <w:rPr>
                <w:sz w:val="11"/>
                <w:szCs w:val="11"/>
                <w:color w:val="auto"/>
              </w:rPr>
            </w:pPr>
          </w:p>
        </w:tc>
        <w:tc>
          <w:tcPr>
            <w:tcW w:w="116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INTERACTIVE</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09/293,129</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4/16/1999</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6,609,102</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8/19/2003</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ADVERTISING</w:t>
            </w:r>
          </w:p>
        </w:tc>
        <w:tc>
          <w:tcPr>
            <w:tcW w:w="600" w:type="dxa"/>
            <w:vAlign w:val="bottom"/>
            <w:gridSpan w:val="2"/>
          </w:tcPr>
          <w:p>
            <w:pPr>
              <w:ind w:left="160"/>
              <w:spacing w:after="0" w:line="155" w:lineRule="exact"/>
              <w:rPr>
                <w:sz w:val="20"/>
                <w:szCs w:val="20"/>
                <w:color w:val="auto"/>
              </w:rPr>
            </w:pPr>
            <w:r>
              <w:rPr>
                <w:rFonts w:ascii="Arial" w:cs="Arial" w:eastAsia="Arial" w:hAnsi="Arial"/>
                <w:sz w:val="15"/>
                <w:szCs w:val="15"/>
                <w:color w:val="auto"/>
              </w:rPr>
              <w:t>AND</w:t>
            </w:r>
          </w:p>
        </w:tc>
        <w:tc>
          <w:tcPr>
            <w:tcW w:w="860" w:type="dxa"/>
            <w:vAlign w:val="bottom"/>
            <w:tcBorders>
              <w:right w:val="single" w:sz="8" w:color="auto"/>
            </w:tcBorders>
            <w:gridSpan w:val="3"/>
          </w:tcPr>
          <w:p>
            <w:pPr>
              <w:jc w:val="right"/>
              <w:ind w:right="7"/>
              <w:spacing w:after="0" w:line="155" w:lineRule="exact"/>
              <w:rPr>
                <w:sz w:val="20"/>
                <w:szCs w:val="20"/>
                <w:color w:val="auto"/>
              </w:rPr>
            </w:pPr>
            <w:r>
              <w:rPr>
                <w:rFonts w:ascii="Arial" w:cs="Arial" w:eastAsia="Arial" w:hAnsi="Arial"/>
                <w:sz w:val="15"/>
                <w:szCs w:val="15"/>
                <w:color w:val="auto"/>
              </w:rPr>
              <w:t>PAYMENT</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74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SYSTEM</w:t>
            </w:r>
          </w:p>
        </w:tc>
        <w:tc>
          <w:tcPr>
            <w:tcW w:w="360" w:type="dxa"/>
            <w:vAlign w:val="bottom"/>
            <w:gridSpan w:val="2"/>
          </w:tcPr>
          <w:p>
            <w:pPr>
              <w:ind w:left="60"/>
              <w:spacing w:after="0" w:line="155" w:lineRule="exact"/>
              <w:rPr>
                <w:sz w:val="20"/>
                <w:szCs w:val="20"/>
                <w:color w:val="auto"/>
              </w:rPr>
            </w:pPr>
            <w:r>
              <w:rPr>
                <w:rFonts w:ascii="Arial" w:cs="Arial" w:eastAsia="Arial" w:hAnsi="Arial"/>
                <w:sz w:val="15"/>
                <w:szCs w:val="15"/>
                <w:color w:val="auto"/>
                <w:w w:val="88"/>
              </w:rPr>
              <w:t>FOR</w:t>
            </w:r>
          </w:p>
        </w:tc>
        <w:tc>
          <w:tcPr>
            <w:tcW w:w="1460" w:type="dxa"/>
            <w:vAlign w:val="bottom"/>
            <w:tcBorders>
              <w:right w:val="single" w:sz="8" w:color="auto"/>
            </w:tcBorders>
            <w:gridSpan w:val="5"/>
          </w:tcPr>
          <w:p>
            <w:pPr>
              <w:ind w:left="140"/>
              <w:spacing w:after="0" w:line="155" w:lineRule="exact"/>
              <w:rPr>
                <w:sz w:val="20"/>
                <w:szCs w:val="20"/>
                <w:color w:val="auto"/>
              </w:rPr>
            </w:pPr>
            <w:r>
              <w:rPr>
                <w:rFonts w:ascii="Arial" w:cs="Arial" w:eastAsia="Arial" w:hAnsi="Arial"/>
                <w:sz w:val="15"/>
                <w:szCs w:val="15"/>
                <w:color w:val="auto"/>
              </w:rPr>
              <w:t>PUBLIC  ACCESS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100" w:type="dxa"/>
            <w:vAlign w:val="bottom"/>
            <w:gridSpan w:val="4"/>
          </w:tcPr>
          <w:p>
            <w:pPr>
              <w:ind w:left="60"/>
              <w:spacing w:after="0" w:line="155" w:lineRule="exact"/>
              <w:rPr>
                <w:sz w:val="20"/>
                <w:szCs w:val="20"/>
                <w:color w:val="auto"/>
              </w:rPr>
            </w:pPr>
            <w:r>
              <w:rPr>
                <w:rFonts w:ascii="Arial" w:cs="Arial" w:eastAsia="Arial" w:hAnsi="Arial"/>
                <w:sz w:val="15"/>
                <w:szCs w:val="15"/>
                <w:color w:val="auto"/>
              </w:rPr>
              <w:t>ELECTRONIC</w:t>
            </w:r>
          </w:p>
        </w:tc>
        <w:tc>
          <w:tcPr>
            <w:tcW w:w="1040" w:type="dxa"/>
            <w:vAlign w:val="bottom"/>
            <w:gridSpan w:val="3"/>
          </w:tcPr>
          <w:p>
            <w:pPr>
              <w:ind w:left="40"/>
              <w:spacing w:after="0" w:line="155" w:lineRule="exact"/>
              <w:rPr>
                <w:sz w:val="20"/>
                <w:szCs w:val="20"/>
                <w:color w:val="auto"/>
              </w:rPr>
            </w:pPr>
            <w:r>
              <w:rPr>
                <w:rFonts w:ascii="Arial" w:cs="Arial" w:eastAsia="Arial" w:hAnsi="Arial"/>
                <w:sz w:val="15"/>
                <w:szCs w:val="15"/>
                <w:color w:val="auto"/>
              </w:rPr>
              <w:t>COMMERCE</w:t>
            </w:r>
          </w:p>
        </w:tc>
        <w:tc>
          <w:tcPr>
            <w:tcW w:w="420" w:type="dxa"/>
            <w:vAlign w:val="bottom"/>
            <w:tcBorders>
              <w:right w:val="single" w:sz="8" w:color="auto"/>
            </w:tcBorders>
            <w:gridSpan w:val="2"/>
          </w:tcPr>
          <w:p>
            <w:pPr>
              <w:jc w:val="right"/>
              <w:ind w:right="27"/>
              <w:spacing w:after="0" w:line="155" w:lineRule="exact"/>
              <w:rPr>
                <w:sz w:val="20"/>
                <w:szCs w:val="20"/>
                <w:color w:val="auto"/>
              </w:rPr>
            </w:pPr>
            <w:r>
              <w:rPr>
                <w:rFonts w:ascii="Arial" w:cs="Arial" w:eastAsia="Arial" w:hAnsi="Arial"/>
                <w:sz w:val="15"/>
                <w:szCs w:val="15"/>
                <w:color w:val="auto"/>
                <w:w w:val="94"/>
              </w:rPr>
              <w:t>AND</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2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7"/>
              </w:rPr>
              <w:t>BUSINESS</w:t>
            </w:r>
          </w:p>
        </w:tc>
        <w:tc>
          <w:tcPr>
            <w:tcW w:w="88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5"/>
              </w:rPr>
              <w:t>RELATED</w:t>
            </w:r>
          </w:p>
        </w:tc>
        <w:tc>
          <w:tcPr>
            <w:tcW w:w="8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87"/>
              </w:rPr>
              <w:t>PRODUCTS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w w:val="91"/>
              </w:rPr>
              <w:t>AND SERVICES</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Borders>
              <w:left w:val="single" w:sz="8" w:color="auto"/>
              <w:righ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USE-F5440US</w:t>
            </w:r>
          </w:p>
        </w:tc>
        <w:tc>
          <w:tcPr>
            <w:tcW w:w="1100" w:type="dxa"/>
            <w:vAlign w:val="bottom"/>
            <w:gridSpan w:val="4"/>
          </w:tcPr>
          <w:p>
            <w:pPr>
              <w:ind w:left="60"/>
              <w:spacing w:after="0" w:line="130" w:lineRule="exact"/>
              <w:rPr>
                <w:sz w:val="20"/>
                <w:szCs w:val="20"/>
                <w:color w:val="auto"/>
              </w:rPr>
            </w:pPr>
            <w:r>
              <w:rPr>
                <w:rFonts w:ascii="Arial" w:cs="Arial" w:eastAsia="Arial" w:hAnsi="Arial"/>
                <w:sz w:val="15"/>
                <w:szCs w:val="15"/>
                <w:color w:val="auto"/>
              </w:rPr>
              <w:t>ELECTRONIC</w:t>
            </w:r>
          </w:p>
        </w:tc>
        <w:tc>
          <w:tcPr>
            <w:tcW w:w="300" w:type="dxa"/>
            <w:vAlign w:val="bottom"/>
          </w:tcPr>
          <w:p>
            <w:pPr>
              <w:spacing w:after="0"/>
              <w:rPr>
                <w:sz w:val="11"/>
                <w:szCs w:val="11"/>
                <w:color w:val="auto"/>
              </w:rPr>
            </w:pPr>
          </w:p>
        </w:tc>
        <w:tc>
          <w:tcPr>
            <w:tcW w:w="1160" w:type="dxa"/>
            <w:vAlign w:val="bottom"/>
            <w:tcBorders>
              <w:right w:val="single" w:sz="8" w:color="auto"/>
            </w:tcBorders>
            <w:gridSpan w:val="4"/>
          </w:tcPr>
          <w:p>
            <w:pPr>
              <w:jc w:val="right"/>
              <w:ind w:right="27"/>
              <w:spacing w:after="0" w:line="130" w:lineRule="exact"/>
              <w:rPr>
                <w:sz w:val="20"/>
                <w:szCs w:val="20"/>
                <w:color w:val="auto"/>
              </w:rPr>
            </w:pPr>
            <w:r>
              <w:rPr>
                <w:rFonts w:ascii="Arial" w:cs="Arial" w:eastAsia="Arial" w:hAnsi="Arial"/>
                <w:sz w:val="15"/>
                <w:szCs w:val="15"/>
                <w:color w:val="auto"/>
              </w:rPr>
              <w:t>COMMERCE</w:t>
            </w:r>
          </w:p>
        </w:tc>
        <w:tc>
          <w:tcPr>
            <w:tcW w:w="360" w:type="dxa"/>
            <w:vAlign w:val="bottom"/>
          </w:tcPr>
          <w:p>
            <w:pPr>
              <w:ind w:left="80"/>
              <w:spacing w:after="0" w:line="130" w:lineRule="exact"/>
              <w:rPr>
                <w:sz w:val="20"/>
                <w:szCs w:val="20"/>
                <w:color w:val="auto"/>
              </w:rPr>
            </w:pPr>
            <w:r>
              <w:rPr>
                <w:rFonts w:ascii="Arial" w:cs="Arial" w:eastAsia="Arial" w:hAnsi="Arial"/>
                <w:sz w:val="15"/>
                <w:szCs w:val="15"/>
                <w:color w:val="auto"/>
              </w:rPr>
              <w:t>US</w:t>
            </w:r>
          </w:p>
        </w:tc>
        <w:tc>
          <w:tcPr>
            <w:tcW w:w="2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right"/>
              <w:ind w:right="387"/>
              <w:spacing w:after="0" w:line="130" w:lineRule="exact"/>
              <w:rPr>
                <w:sz w:val="20"/>
                <w:szCs w:val="20"/>
                <w:color w:val="auto"/>
              </w:rPr>
            </w:pPr>
            <w:r>
              <w:rPr>
                <w:rFonts w:ascii="Arial" w:cs="Arial" w:eastAsia="Arial" w:hAnsi="Arial"/>
                <w:sz w:val="15"/>
                <w:szCs w:val="15"/>
                <w:color w:val="auto"/>
                <w:w w:val="93"/>
              </w:rPr>
              <w:t>09/354,596</w:t>
            </w:r>
          </w:p>
        </w:tc>
        <w:tc>
          <w:tcPr>
            <w:tcW w:w="940" w:type="dxa"/>
            <w:vAlign w:val="bottom"/>
            <w:tcBorders>
              <w:right w:val="single" w:sz="8" w:color="auto"/>
            </w:tcBorders>
          </w:tcPr>
          <w:p>
            <w:pPr>
              <w:jc w:val="right"/>
              <w:ind w:right="187"/>
              <w:spacing w:after="0" w:line="130" w:lineRule="exact"/>
              <w:rPr>
                <w:sz w:val="20"/>
                <w:szCs w:val="20"/>
                <w:color w:val="auto"/>
              </w:rPr>
            </w:pPr>
            <w:r>
              <w:rPr>
                <w:rFonts w:ascii="Arial" w:cs="Arial" w:eastAsia="Arial" w:hAnsi="Arial"/>
                <w:sz w:val="15"/>
                <w:szCs w:val="15"/>
                <w:color w:val="auto"/>
                <w:w w:val="98"/>
              </w:rPr>
              <w:t>7/16/1999</w:t>
            </w:r>
          </w:p>
        </w:tc>
        <w:tc>
          <w:tcPr>
            <w:tcW w:w="1040" w:type="dxa"/>
            <w:vAlign w:val="bottom"/>
            <w:tcBorders>
              <w:right w:val="single" w:sz="8" w:color="auto"/>
            </w:tcBorders>
          </w:tcPr>
          <w:p>
            <w:pPr>
              <w:jc w:val="right"/>
              <w:ind w:right="327"/>
              <w:spacing w:after="0" w:line="130" w:lineRule="exact"/>
              <w:rPr>
                <w:sz w:val="20"/>
                <w:szCs w:val="20"/>
                <w:color w:val="auto"/>
              </w:rPr>
            </w:pPr>
            <w:r>
              <w:rPr>
                <w:rFonts w:ascii="Arial" w:cs="Arial" w:eastAsia="Arial" w:hAnsi="Arial"/>
                <w:sz w:val="15"/>
                <w:szCs w:val="15"/>
                <w:color w:val="auto"/>
                <w:w w:val="92"/>
              </w:rPr>
              <w:t>6,609,103</w:t>
            </w:r>
          </w:p>
        </w:tc>
        <w:tc>
          <w:tcPr>
            <w:tcW w:w="94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8/19/2003</w:t>
            </w:r>
          </w:p>
        </w:tc>
        <w:tc>
          <w:tcPr>
            <w:tcW w:w="110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5"/>
              </w:rPr>
              <w:t>4/16/20</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82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7"/>
              </w:rPr>
              <w:t>TERMINAL</w:t>
            </w:r>
          </w:p>
        </w:tc>
        <w:tc>
          <w:tcPr>
            <w:tcW w:w="580" w:type="dxa"/>
            <w:vAlign w:val="bottom"/>
            <w:gridSpan w:val="2"/>
          </w:tcPr>
          <w:p>
            <w:pPr>
              <w:ind w:left="200"/>
              <w:spacing w:after="0" w:line="155" w:lineRule="exact"/>
              <w:rPr>
                <w:sz w:val="20"/>
                <w:szCs w:val="20"/>
                <w:color w:val="auto"/>
              </w:rPr>
            </w:pPr>
            <w:r>
              <w:rPr>
                <w:rFonts w:ascii="Arial" w:cs="Arial" w:eastAsia="Arial" w:hAnsi="Arial"/>
                <w:sz w:val="15"/>
                <w:szCs w:val="15"/>
                <w:color w:val="auto"/>
              </w:rPr>
              <w:t>FOR</w:t>
            </w:r>
          </w:p>
        </w:tc>
        <w:tc>
          <w:tcPr>
            <w:tcW w:w="1160" w:type="dxa"/>
            <w:vAlign w:val="bottom"/>
            <w:tcBorders>
              <w:right w:val="single" w:sz="8" w:color="auto"/>
            </w:tcBorders>
            <w:gridSpan w:val="4"/>
          </w:tcPr>
          <w:p>
            <w:pPr>
              <w:jc w:val="right"/>
              <w:ind w:right="7"/>
              <w:spacing w:after="0" w:line="155" w:lineRule="exact"/>
              <w:rPr>
                <w:sz w:val="20"/>
                <w:szCs w:val="20"/>
                <w:color w:val="auto"/>
              </w:rPr>
            </w:pPr>
            <w:r>
              <w:rPr>
                <w:rFonts w:ascii="Arial" w:cs="Arial" w:eastAsia="Arial" w:hAnsi="Arial"/>
                <w:sz w:val="15"/>
                <w:szCs w:val="15"/>
                <w:color w:val="auto"/>
              </w:rPr>
              <w:t>FACILITATING</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1400" w:type="dxa"/>
            <w:vAlign w:val="bottom"/>
            <w:gridSpan w:val="5"/>
          </w:tcPr>
          <w:p>
            <w:pPr>
              <w:ind w:left="60"/>
              <w:spacing w:after="0" w:line="155" w:lineRule="exact"/>
              <w:rPr>
                <w:sz w:val="20"/>
                <w:szCs w:val="20"/>
                <w:color w:val="auto"/>
              </w:rPr>
            </w:pPr>
            <w:r>
              <w:rPr>
                <w:rFonts w:ascii="Arial" w:cs="Arial" w:eastAsia="Arial" w:hAnsi="Arial"/>
                <w:sz w:val="15"/>
                <w:szCs w:val="15"/>
                <w:color w:val="auto"/>
                <w:w w:val="97"/>
              </w:rPr>
              <w:t>INCENTIVE-BASED</w:t>
            </w:r>
          </w:p>
        </w:tc>
        <w:tc>
          <w:tcPr>
            <w:tcW w:w="11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PURCHASING</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right w:val="single" w:sz="8" w:color="auto"/>
            </w:tcBorders>
          </w:tcPr>
          <w:p>
            <w:pPr>
              <w:spacing w:after="0"/>
              <w:rPr>
                <w:sz w:val="13"/>
                <w:szCs w:val="13"/>
                <w:color w:val="auto"/>
              </w:rPr>
            </w:pPr>
          </w:p>
        </w:tc>
        <w:tc>
          <w:tcPr>
            <w:tcW w:w="340" w:type="dxa"/>
            <w:vAlign w:val="bottom"/>
          </w:tcPr>
          <w:p>
            <w:pPr>
              <w:ind w:left="60"/>
              <w:spacing w:after="0" w:line="155" w:lineRule="exact"/>
              <w:rPr>
                <w:sz w:val="20"/>
                <w:szCs w:val="20"/>
                <w:color w:val="auto"/>
              </w:rPr>
            </w:pPr>
            <w:r>
              <w:rPr>
                <w:rFonts w:ascii="Arial" w:cs="Arial" w:eastAsia="Arial" w:hAnsi="Arial"/>
                <w:sz w:val="15"/>
                <w:szCs w:val="15"/>
                <w:color w:val="auto"/>
              </w:rPr>
              <w:t>ON</w:t>
            </w:r>
          </w:p>
        </w:tc>
        <w:tc>
          <w:tcPr>
            <w:tcW w:w="1360" w:type="dxa"/>
            <w:vAlign w:val="bottom"/>
            <w:gridSpan w:val="5"/>
          </w:tcPr>
          <w:p>
            <w:pPr>
              <w:jc w:val="center"/>
              <w:spacing w:after="0" w:line="155" w:lineRule="exact"/>
              <w:rPr>
                <w:sz w:val="20"/>
                <w:szCs w:val="20"/>
                <w:color w:val="auto"/>
              </w:rPr>
            </w:pPr>
            <w:r>
              <w:rPr>
                <w:rFonts w:ascii="Arial" w:cs="Arial" w:eastAsia="Arial" w:hAnsi="Arial"/>
                <w:sz w:val="15"/>
                <w:szCs w:val="15"/>
                <w:color w:val="auto"/>
                <w:w w:val="92"/>
              </w:rPr>
              <w:t>TRANSPORTATION</w:t>
            </w:r>
          </w:p>
        </w:tc>
        <w:tc>
          <w:tcPr>
            <w:tcW w:w="860" w:type="dxa"/>
            <w:vAlign w:val="bottom"/>
            <w:tcBorders>
              <w:right w:val="single" w:sz="8" w:color="auto"/>
            </w:tcBorders>
            <w:gridSpan w:val="3"/>
          </w:tcPr>
          <w:p>
            <w:pPr>
              <w:jc w:val="right"/>
              <w:ind w:right="7"/>
              <w:spacing w:after="0" w:line="155" w:lineRule="exact"/>
              <w:rPr>
                <w:sz w:val="20"/>
                <w:szCs w:val="20"/>
                <w:color w:val="auto"/>
              </w:rPr>
            </w:pPr>
            <w:r>
              <w:rPr>
                <w:rFonts w:ascii="Arial" w:cs="Arial" w:eastAsia="Arial" w:hAnsi="Arial"/>
                <w:sz w:val="15"/>
                <w:szCs w:val="15"/>
                <w:color w:val="auto"/>
              </w:rPr>
              <w:t>VEHICLES</w:t>
            </w:r>
          </w:p>
        </w:tc>
        <w:tc>
          <w:tcPr>
            <w:tcW w:w="3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tcBorders>
            <w:gridSpan w:val="5"/>
          </w:tcPr>
          <w:p>
            <w:pPr>
              <w:ind w:left="60"/>
              <w:spacing w:after="0" w:line="169" w:lineRule="exact"/>
              <w:rPr>
                <w:sz w:val="20"/>
                <w:szCs w:val="20"/>
                <w:color w:val="auto"/>
              </w:rPr>
            </w:pPr>
            <w:r>
              <w:rPr>
                <w:rFonts w:ascii="Arial" w:cs="Arial" w:eastAsia="Arial" w:hAnsi="Arial"/>
                <w:sz w:val="15"/>
                <w:szCs w:val="15"/>
                <w:color w:val="auto"/>
              </w:rPr>
              <w:t>(AS AMENDED)</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1107"/>
              <w:spacing w:after="0"/>
              <w:rPr>
                <w:sz w:val="20"/>
                <w:szCs w:val="20"/>
                <w:color w:val="auto"/>
              </w:rPr>
            </w:pPr>
            <w:r>
              <w:rPr>
                <w:rFonts w:ascii="Arial" w:cs="Arial" w:eastAsia="Arial" w:hAnsi="Arial"/>
                <w:sz w:val="13"/>
                <w:szCs w:val="13"/>
                <w:color w:val="auto"/>
              </w:rPr>
              <w:t>15</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94" w:name="page195"/>
    <w:bookmarkEnd w:id="194"/>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50"/>
        </w:trPr>
        <w:tc>
          <w:tcPr>
            <w:tcW w:w="1080" w:type="dxa"/>
            <w:vAlign w:val="bottom"/>
            <w:tcBorders>
              <w:top w:val="single" w:sz="8" w:color="auto"/>
              <w:left w:val="single" w:sz="8" w:color="auto"/>
            </w:tcBorders>
            <w:vMerge w:val="restart"/>
          </w:tcPr>
          <w:p>
            <w:pPr>
              <w:ind w:left="100"/>
              <w:spacing w:after="0"/>
              <w:rPr>
                <w:sz w:val="20"/>
                <w:szCs w:val="20"/>
                <w:color w:val="auto"/>
              </w:rPr>
            </w:pPr>
            <w:r>
              <w:rPr>
                <w:rFonts w:ascii="Arial" w:cs="Arial" w:eastAsia="Arial" w:hAnsi="Arial"/>
                <w:sz w:val="15"/>
                <w:szCs w:val="15"/>
                <w:color w:val="auto"/>
                <w:w w:val="87"/>
              </w:rPr>
              <w:t>USE-F5440US1</w:t>
            </w:r>
          </w:p>
        </w:tc>
        <w:tc>
          <w:tcPr>
            <w:tcW w:w="24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tcBorders>
          </w:tcPr>
          <w:p>
            <w:pPr>
              <w:ind w:left="60"/>
              <w:spacing w:after="0" w:line="150" w:lineRule="exact"/>
              <w:rPr>
                <w:sz w:val="20"/>
                <w:szCs w:val="20"/>
                <w:color w:val="auto"/>
              </w:rPr>
            </w:pPr>
            <w:r>
              <w:rPr>
                <w:rFonts w:ascii="Arial" w:cs="Arial" w:eastAsia="Arial" w:hAnsi="Arial"/>
                <w:sz w:val="15"/>
                <w:szCs w:val="15"/>
                <w:color w:val="auto"/>
                <w:w w:val="98"/>
              </w:rPr>
              <w:t>METHOD</w:t>
            </w:r>
          </w:p>
        </w:tc>
        <w:tc>
          <w:tcPr>
            <w:tcW w:w="380" w:type="dxa"/>
            <w:vAlign w:val="bottom"/>
            <w:tcBorders>
              <w:top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rPr>
              <w:t>OF</w:t>
            </w:r>
          </w:p>
        </w:tc>
        <w:tc>
          <w:tcPr>
            <w:tcW w:w="1020" w:type="dxa"/>
            <w:vAlign w:val="bottom"/>
            <w:tcBorders>
              <w:top w:val="single" w:sz="8" w:color="auto"/>
            </w:tcBorders>
            <w:gridSpan w:val="4"/>
          </w:tcPr>
          <w:p>
            <w:pPr>
              <w:spacing w:after="0" w:line="150" w:lineRule="exact"/>
              <w:rPr>
                <w:sz w:val="20"/>
                <w:szCs w:val="20"/>
                <w:color w:val="auto"/>
              </w:rPr>
            </w:pPr>
            <w:r>
              <w:rPr>
                <w:rFonts w:ascii="Arial" w:cs="Arial" w:eastAsia="Arial" w:hAnsi="Arial"/>
                <w:sz w:val="15"/>
                <w:szCs w:val="15"/>
                <w:color w:val="auto"/>
                <w:w w:val="92"/>
              </w:rPr>
              <w:t>TRANSACTING</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right w:val="single" w:sz="8" w:color="auto"/>
            </w:tcBorders>
          </w:tcPr>
          <w:p>
            <w:pPr>
              <w:jc w:val="right"/>
              <w:ind w:right="47"/>
              <w:spacing w:after="0" w:line="150" w:lineRule="exact"/>
              <w:rPr>
                <w:sz w:val="20"/>
                <w:szCs w:val="20"/>
                <w:color w:val="auto"/>
              </w:rPr>
            </w:pPr>
            <w:r>
              <w:rPr>
                <w:rFonts w:ascii="Arial" w:cs="Arial" w:eastAsia="Arial" w:hAnsi="Arial"/>
                <w:sz w:val="15"/>
                <w:szCs w:val="15"/>
                <w:color w:val="auto"/>
                <w:w w:val="95"/>
              </w:rPr>
              <w:t>AN</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ind w:left="20"/>
              <w:spacing w:after="0" w:line="150" w:lineRule="exact"/>
              <w:rPr>
                <w:sz w:val="20"/>
                <w:szCs w:val="20"/>
                <w:color w:val="auto"/>
              </w:rPr>
            </w:pPr>
            <w:r>
              <w:rPr>
                <w:rFonts w:ascii="Arial" w:cs="Arial" w:eastAsia="Arial" w:hAnsi="Arial"/>
                <w:sz w:val="15"/>
                <w:szCs w:val="15"/>
                <w:color w:val="auto"/>
                <w:w w:val="95"/>
              </w:rPr>
              <w:t>US</w:t>
            </w:r>
          </w:p>
        </w:tc>
        <w:tc>
          <w:tcPr>
            <w:tcW w:w="2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w w:val="90"/>
              </w:rPr>
              <w:t>09/602,706</w:t>
            </w:r>
          </w:p>
        </w:tc>
        <w:tc>
          <w:tcPr>
            <w:tcW w:w="420" w:type="dxa"/>
            <w:vAlign w:val="bottom"/>
            <w:tcBorders>
              <w:top w:val="single" w:sz="8" w:color="auto"/>
              <w:right w:val="single" w:sz="8" w:color="auto"/>
            </w:tcBorders>
          </w:tcPr>
          <w:p>
            <w:pPr>
              <w:spacing w:after="0"/>
              <w:rPr>
                <w:sz w:val="13"/>
                <w:szCs w:val="13"/>
                <w:color w:val="auto"/>
              </w:rPr>
            </w:pPr>
          </w:p>
        </w:tc>
        <w:tc>
          <w:tcPr>
            <w:tcW w:w="940" w:type="dxa"/>
            <w:vAlign w:val="bottom"/>
            <w:tcBorders>
              <w:top w:val="single" w:sz="8" w:color="auto"/>
              <w:right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6/23/2000</w:t>
            </w:r>
          </w:p>
        </w:tc>
        <w:tc>
          <w:tcPr>
            <w:tcW w:w="900" w:type="dxa"/>
            <w:vAlign w:val="bottom"/>
            <w:tcBorders>
              <w:top w:val="single" w:sz="8" w:color="auto"/>
            </w:tcBorders>
            <w:gridSpan w:val="2"/>
          </w:tcPr>
          <w:p>
            <w:pPr>
              <w:ind w:left="60"/>
              <w:spacing w:after="0" w:line="150" w:lineRule="exact"/>
              <w:rPr>
                <w:sz w:val="20"/>
                <w:szCs w:val="20"/>
                <w:color w:val="auto"/>
              </w:rPr>
            </w:pPr>
            <w:r>
              <w:rPr>
                <w:rFonts w:ascii="Arial" w:cs="Arial" w:eastAsia="Arial" w:hAnsi="Arial"/>
                <w:sz w:val="15"/>
                <w:szCs w:val="15"/>
                <w:color w:val="auto"/>
              </w:rPr>
              <w:t>6,622,124</w:t>
            </w:r>
          </w:p>
        </w:tc>
        <w:tc>
          <w:tcPr>
            <w:tcW w:w="14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ind w:left="60"/>
              <w:spacing w:after="0" w:line="150" w:lineRule="exact"/>
              <w:rPr>
                <w:sz w:val="20"/>
                <w:szCs w:val="20"/>
                <w:color w:val="auto"/>
              </w:rPr>
            </w:pPr>
            <w:r>
              <w:rPr>
                <w:rFonts w:ascii="Arial" w:cs="Arial" w:eastAsia="Arial" w:hAnsi="Arial"/>
                <w:sz w:val="15"/>
                <w:szCs w:val="15"/>
                <w:color w:val="auto"/>
              </w:rPr>
              <w:t>9/16/2003</w:t>
            </w:r>
          </w:p>
        </w:tc>
        <w:tc>
          <w:tcPr>
            <w:tcW w:w="1120" w:type="dxa"/>
            <w:vAlign w:val="bottom"/>
            <w:tcBorders>
              <w:top w:val="single" w:sz="8" w:color="auto"/>
              <w:right w:val="single" w:sz="8" w:color="auto"/>
            </w:tcBorders>
            <w:gridSpan w:val="2"/>
          </w:tcPr>
          <w:p>
            <w:pPr>
              <w:ind w:left="80"/>
              <w:spacing w:after="0" w:line="150" w:lineRule="exact"/>
              <w:rPr>
                <w:sz w:val="20"/>
                <w:szCs w:val="20"/>
                <w:color w:val="auto"/>
              </w:rPr>
            </w:pPr>
            <w:r>
              <w:rPr>
                <w:rFonts w:ascii="Arial" w:cs="Arial" w:eastAsia="Arial" w:hAnsi="Arial"/>
                <w:sz w:val="15"/>
                <w:szCs w:val="15"/>
                <w:color w:val="auto"/>
              </w:rPr>
              <w:t>ISSUED</w:t>
            </w:r>
          </w:p>
        </w:tc>
        <w:tc>
          <w:tcPr>
            <w:tcW w:w="5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w w:val="99"/>
              </w:rPr>
              <w:t>9/4/201</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ELECTRONIC</w:t>
            </w:r>
          </w:p>
        </w:tc>
        <w:tc>
          <w:tcPr>
            <w:tcW w:w="800" w:type="dxa"/>
            <w:vAlign w:val="bottom"/>
            <w:gridSpan w:val="3"/>
          </w:tcPr>
          <w:p>
            <w:pPr>
              <w:ind w:left="300"/>
              <w:spacing w:after="0" w:line="155" w:lineRule="exact"/>
              <w:rPr>
                <w:sz w:val="20"/>
                <w:szCs w:val="20"/>
                <w:color w:val="auto"/>
              </w:rPr>
            </w:pPr>
            <w:r>
              <w:rPr>
                <w:rFonts w:ascii="Arial" w:cs="Arial" w:eastAsia="Arial" w:hAnsi="Arial"/>
                <w:sz w:val="15"/>
                <w:szCs w:val="15"/>
                <w:color w:val="auto"/>
              </w:rPr>
              <w:t>MAIL,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AN</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ELECTRONIC</w:t>
            </w:r>
          </w:p>
        </w:tc>
        <w:tc>
          <w:tcPr>
            <w:tcW w:w="1020" w:type="dxa"/>
            <w:vAlign w:val="bottom"/>
            <w:gridSpan w:val="4"/>
          </w:tcPr>
          <w:p>
            <w:pPr>
              <w:ind w:left="20"/>
              <w:spacing w:after="0" w:line="155" w:lineRule="exact"/>
              <w:rPr>
                <w:sz w:val="20"/>
                <w:szCs w:val="20"/>
                <w:color w:val="auto"/>
              </w:rPr>
            </w:pPr>
            <w:r>
              <w:rPr>
                <w:rFonts w:ascii="Arial" w:cs="Arial" w:eastAsia="Arial" w:hAnsi="Arial"/>
                <w:sz w:val="15"/>
                <w:szCs w:val="15"/>
                <w:color w:val="auto"/>
              </w:rPr>
              <w:t>COMMERCE,</w:t>
            </w:r>
          </w:p>
        </w:tc>
        <w:tc>
          <w:tcPr>
            <w:tcW w:w="44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w w:val="94"/>
              </w:rPr>
              <w:t>AND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560" w:type="dxa"/>
            <w:vAlign w:val="bottom"/>
            <w:gridSpan w:val="4"/>
          </w:tcPr>
          <w:p>
            <w:pPr>
              <w:ind w:left="60"/>
              <w:spacing w:after="0" w:line="155" w:lineRule="exact"/>
              <w:rPr>
                <w:sz w:val="20"/>
                <w:szCs w:val="20"/>
                <w:color w:val="auto"/>
              </w:rPr>
            </w:pPr>
            <w:r>
              <w:rPr>
                <w:rFonts w:ascii="Arial" w:cs="Arial" w:eastAsia="Arial" w:hAnsi="Arial"/>
                <w:sz w:val="15"/>
                <w:szCs w:val="15"/>
                <w:color w:val="auto"/>
                <w:w w:val="95"/>
              </w:rPr>
              <w:t>ANELECTRONIC</w:t>
            </w:r>
          </w:p>
        </w:tc>
        <w:tc>
          <w:tcPr>
            <w:tcW w:w="140" w:type="dxa"/>
            <w:vAlign w:val="bottom"/>
          </w:tcPr>
          <w:p>
            <w:pPr>
              <w:spacing w:after="0"/>
              <w:rPr>
                <w:sz w:val="13"/>
                <w:szCs w:val="13"/>
                <w:color w:val="auto"/>
              </w:rPr>
            </w:pPr>
          </w:p>
        </w:tc>
        <w:tc>
          <w:tcPr>
            <w:tcW w:w="860" w:type="dxa"/>
            <w:vAlign w:val="bottom"/>
            <w:tcBorders>
              <w:right w:val="single" w:sz="8" w:color="auto"/>
            </w:tcBorders>
            <w:gridSpan w:val="4"/>
          </w:tcPr>
          <w:p>
            <w:pPr>
              <w:jc w:val="right"/>
              <w:ind w:right="47"/>
              <w:spacing w:after="0" w:line="155" w:lineRule="exact"/>
              <w:rPr>
                <w:sz w:val="20"/>
                <w:szCs w:val="20"/>
                <w:color w:val="auto"/>
              </w:rPr>
            </w:pPr>
            <w:r>
              <w:rPr>
                <w:rFonts w:ascii="Arial" w:cs="Arial" w:eastAsia="Arial" w:hAnsi="Arial"/>
                <w:sz w:val="15"/>
                <w:szCs w:val="15"/>
                <w:color w:val="auto"/>
                <w:w w:val="94"/>
              </w:rPr>
              <w:t>BUSINESS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w w:val="94"/>
              </w:rPr>
              <w:t>TRANSACTION</w:t>
            </w:r>
          </w:p>
        </w:tc>
        <w:tc>
          <w:tcPr>
            <w:tcW w:w="460" w:type="dxa"/>
            <w:vAlign w:val="bottom"/>
          </w:tcPr>
          <w:p>
            <w:pPr>
              <w:spacing w:after="0"/>
              <w:rPr>
                <w:sz w:val="13"/>
                <w:szCs w:val="13"/>
                <w:color w:val="auto"/>
              </w:rPr>
            </w:pPr>
          </w:p>
        </w:tc>
        <w:tc>
          <w:tcPr>
            <w:tcW w:w="340" w:type="dxa"/>
            <w:vAlign w:val="bottom"/>
            <w:gridSpan w:val="2"/>
          </w:tcPr>
          <w:p>
            <w:pPr>
              <w:spacing w:after="0" w:line="155" w:lineRule="exact"/>
              <w:rPr>
                <w:sz w:val="20"/>
                <w:szCs w:val="20"/>
                <w:color w:val="auto"/>
              </w:rPr>
            </w:pPr>
            <w:r>
              <w:rPr>
                <w:rFonts w:ascii="Arial" w:cs="Arial" w:eastAsia="Arial" w:hAnsi="Arial"/>
                <w:sz w:val="15"/>
                <w:szCs w:val="15"/>
                <w:color w:val="auto"/>
              </w:rPr>
              <w:t>BY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w w:val="95"/>
              </w:rPr>
              <w:t>AN</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ELECTRONIC</w:t>
            </w:r>
          </w:p>
        </w:tc>
        <w:tc>
          <w:tcPr>
            <w:tcW w:w="460" w:type="dxa"/>
            <w:vAlign w:val="bottom"/>
          </w:tcPr>
          <w:p>
            <w:pPr>
              <w:spacing w:after="0"/>
              <w:rPr>
                <w:sz w:val="13"/>
                <w:szCs w:val="13"/>
                <w:color w:val="auto"/>
              </w:rPr>
            </w:pPr>
          </w:p>
        </w:tc>
        <w:tc>
          <w:tcPr>
            <w:tcW w:w="1000" w:type="dxa"/>
            <w:vAlign w:val="bottom"/>
            <w:tcBorders>
              <w:right w:val="single" w:sz="8" w:color="auto"/>
            </w:tcBorders>
            <w:gridSpan w:val="5"/>
          </w:tcPr>
          <w:p>
            <w:pPr>
              <w:jc w:val="right"/>
              <w:ind w:right="47"/>
              <w:spacing w:after="0" w:line="155" w:lineRule="exact"/>
              <w:rPr>
                <w:sz w:val="20"/>
                <w:szCs w:val="20"/>
                <w:color w:val="auto"/>
              </w:rPr>
            </w:pPr>
            <w:r>
              <w:rPr>
                <w:rFonts w:ascii="Arial" w:cs="Arial" w:eastAsia="Arial" w:hAnsi="Arial"/>
                <w:sz w:val="15"/>
                <w:szCs w:val="15"/>
                <w:color w:val="auto"/>
                <w:w w:val="96"/>
              </w:rPr>
              <w:t>COMMERCE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TERMINAL</w:t>
            </w:r>
          </w:p>
        </w:tc>
        <w:tc>
          <w:tcPr>
            <w:tcW w:w="100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2"/>
              </w:rPr>
              <w:t>OPERATED</w:t>
            </w:r>
          </w:p>
        </w:tc>
        <w:tc>
          <w:tcPr>
            <w:tcW w:w="320" w:type="dxa"/>
            <w:vAlign w:val="bottom"/>
            <w:gridSpan w:val="2"/>
          </w:tcPr>
          <w:p>
            <w:pPr>
              <w:jc w:val="right"/>
              <w:spacing w:after="0" w:line="155" w:lineRule="exact"/>
              <w:rPr>
                <w:sz w:val="20"/>
                <w:szCs w:val="20"/>
                <w:color w:val="auto"/>
              </w:rPr>
            </w:pPr>
            <w:r>
              <w:rPr>
                <w:rFonts w:ascii="Arial" w:cs="Arial" w:eastAsia="Arial" w:hAnsi="Arial"/>
                <w:sz w:val="15"/>
                <w:szCs w:val="15"/>
                <w:color w:val="auto"/>
              </w:rPr>
              <w:t>ON</w:t>
            </w:r>
          </w:p>
        </w:tc>
        <w:tc>
          <w:tcPr>
            <w:tcW w:w="340" w:type="dxa"/>
            <w:vAlign w:val="bottom"/>
            <w:tcBorders>
              <w:right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5"/>
                <w:szCs w:val="15"/>
                <w:color w:val="auto"/>
                <w:w w:val="98"/>
              </w:rPr>
              <w:t>TRANSPORTATION VEHICLE</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4"/>
              </w:rPr>
              <w:t>USE-F5441US</w:t>
            </w:r>
          </w:p>
        </w:tc>
        <w:tc>
          <w:tcPr>
            <w:tcW w:w="240" w:type="dxa"/>
            <w:vAlign w:val="bottom"/>
            <w:tcBorders>
              <w:right w:val="single" w:sz="8" w:color="auto"/>
            </w:tcBorders>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5"/>
                <w:szCs w:val="15"/>
                <w:color w:val="auto"/>
              </w:rPr>
              <w:t>ELECTRONIC</w:t>
            </w:r>
          </w:p>
        </w:tc>
        <w:tc>
          <w:tcPr>
            <w:tcW w:w="460" w:type="dxa"/>
            <w:vAlign w:val="bottom"/>
          </w:tcPr>
          <w:p>
            <w:pPr>
              <w:spacing w:after="0"/>
              <w:rPr>
                <w:sz w:val="11"/>
                <w:szCs w:val="11"/>
                <w:color w:val="auto"/>
              </w:rPr>
            </w:pPr>
          </w:p>
        </w:tc>
        <w:tc>
          <w:tcPr>
            <w:tcW w:w="1000" w:type="dxa"/>
            <w:vAlign w:val="bottom"/>
            <w:tcBorders>
              <w:right w:val="single" w:sz="8" w:color="auto"/>
            </w:tcBorders>
            <w:gridSpan w:val="5"/>
          </w:tcPr>
          <w:p>
            <w:pPr>
              <w:jc w:val="right"/>
              <w:ind w:right="47"/>
              <w:spacing w:after="0" w:line="130" w:lineRule="exact"/>
              <w:rPr>
                <w:sz w:val="20"/>
                <w:szCs w:val="20"/>
                <w:color w:val="auto"/>
              </w:rPr>
            </w:pPr>
            <w:r>
              <w:rPr>
                <w:rFonts w:ascii="Arial" w:cs="Arial" w:eastAsia="Arial" w:hAnsi="Arial"/>
                <w:sz w:val="15"/>
                <w:szCs w:val="15"/>
                <w:color w:val="auto"/>
                <w:w w:val="96"/>
              </w:rPr>
              <w:t>COMMERCE</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US</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w w:val="90"/>
              </w:rPr>
              <w:t>29/110,710</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9/10/1999</w:t>
            </w:r>
          </w:p>
        </w:tc>
        <w:tc>
          <w:tcPr>
            <w:tcW w:w="1040" w:type="dxa"/>
            <w:vAlign w:val="bottom"/>
            <w:tcBorders>
              <w:right w:val="single" w:sz="8" w:color="auto"/>
            </w:tcBorders>
            <w:gridSpan w:val="3"/>
          </w:tcPr>
          <w:p>
            <w:pPr>
              <w:ind w:left="60"/>
              <w:spacing w:after="0" w:line="130" w:lineRule="exact"/>
              <w:rPr>
                <w:sz w:val="20"/>
                <w:szCs w:val="20"/>
                <w:color w:val="auto"/>
              </w:rPr>
            </w:pPr>
            <w:r>
              <w:rPr>
                <w:rFonts w:ascii="Arial" w:cs="Arial" w:eastAsia="Arial" w:hAnsi="Arial"/>
                <w:sz w:val="15"/>
                <w:szCs w:val="15"/>
                <w:color w:val="auto"/>
              </w:rPr>
              <w:t>D428,047</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7/11/2000</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7/11/20</w:t>
            </w: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rPr>
              <w:t>TERMINAL ENCLOSURE</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4"/>
              </w:rPr>
              <w:t>USE-F5442US</w:t>
            </w:r>
          </w:p>
        </w:tc>
        <w:tc>
          <w:tcPr>
            <w:tcW w:w="240" w:type="dxa"/>
            <w:vAlign w:val="bottom"/>
            <w:tcBorders>
              <w:right w:val="single" w:sz="8" w:color="auto"/>
            </w:tcBorders>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5"/>
                <w:szCs w:val="15"/>
                <w:color w:val="auto"/>
              </w:rPr>
              <w:t>ELECTRONIC</w:t>
            </w:r>
          </w:p>
        </w:tc>
        <w:tc>
          <w:tcPr>
            <w:tcW w:w="460" w:type="dxa"/>
            <w:vAlign w:val="bottom"/>
          </w:tcPr>
          <w:p>
            <w:pPr>
              <w:spacing w:after="0"/>
              <w:rPr>
                <w:sz w:val="11"/>
                <w:szCs w:val="11"/>
                <w:color w:val="auto"/>
              </w:rPr>
            </w:pPr>
          </w:p>
        </w:tc>
        <w:tc>
          <w:tcPr>
            <w:tcW w:w="1000" w:type="dxa"/>
            <w:vAlign w:val="bottom"/>
            <w:tcBorders>
              <w:right w:val="single" w:sz="8" w:color="auto"/>
            </w:tcBorders>
            <w:gridSpan w:val="5"/>
          </w:tcPr>
          <w:p>
            <w:pPr>
              <w:jc w:val="right"/>
              <w:ind w:right="47"/>
              <w:spacing w:after="0" w:line="130" w:lineRule="exact"/>
              <w:rPr>
                <w:sz w:val="20"/>
                <w:szCs w:val="20"/>
                <w:color w:val="auto"/>
              </w:rPr>
            </w:pPr>
            <w:r>
              <w:rPr>
                <w:rFonts w:ascii="Arial" w:cs="Arial" w:eastAsia="Arial" w:hAnsi="Arial"/>
                <w:sz w:val="15"/>
                <w:szCs w:val="15"/>
                <w:color w:val="auto"/>
                <w:w w:val="96"/>
              </w:rPr>
              <w:t>COMMERCE</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US</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w w:val="90"/>
              </w:rPr>
              <w:t>29/112,981</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10/27/1999</w:t>
            </w:r>
          </w:p>
        </w:tc>
        <w:tc>
          <w:tcPr>
            <w:tcW w:w="1040" w:type="dxa"/>
            <w:vAlign w:val="bottom"/>
            <w:tcBorders>
              <w:right w:val="single" w:sz="8" w:color="auto"/>
            </w:tcBorders>
            <w:gridSpan w:val="3"/>
          </w:tcPr>
          <w:p>
            <w:pPr>
              <w:ind w:left="60"/>
              <w:spacing w:after="0" w:line="130" w:lineRule="exact"/>
              <w:rPr>
                <w:sz w:val="20"/>
                <w:szCs w:val="20"/>
                <w:color w:val="auto"/>
              </w:rPr>
            </w:pPr>
            <w:r>
              <w:rPr>
                <w:rFonts w:ascii="Arial" w:cs="Arial" w:eastAsia="Arial" w:hAnsi="Arial"/>
                <w:sz w:val="15"/>
                <w:szCs w:val="15"/>
                <w:color w:val="auto"/>
              </w:rPr>
              <w:t>D428,444</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7/18/2000</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7/18/20</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TERMINAL</w:t>
            </w:r>
          </w:p>
        </w:tc>
        <w:tc>
          <w:tcPr>
            <w:tcW w:w="100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2"/>
              </w:rPr>
              <w:t>ENCLOSURE</w:t>
            </w:r>
          </w:p>
        </w:tc>
        <w:tc>
          <w:tcPr>
            <w:tcW w:w="320" w:type="dxa"/>
            <w:vAlign w:val="bottom"/>
            <w:gridSpan w:val="2"/>
          </w:tcPr>
          <w:p>
            <w:pPr>
              <w:jc w:val="right"/>
              <w:spacing w:after="0" w:line="155" w:lineRule="exact"/>
              <w:rPr>
                <w:sz w:val="20"/>
                <w:szCs w:val="20"/>
                <w:color w:val="auto"/>
              </w:rPr>
            </w:pPr>
            <w:r>
              <w:rPr>
                <w:rFonts w:ascii="Arial" w:cs="Arial" w:eastAsia="Arial" w:hAnsi="Arial"/>
                <w:sz w:val="15"/>
                <w:szCs w:val="15"/>
                <w:color w:val="auto"/>
                <w:w w:val="94"/>
              </w:rPr>
              <w:t>FOR</w:t>
            </w: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VENDING MACHINE</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w w:val="94"/>
              </w:rPr>
              <w:t>USE-F5443US</w:t>
            </w:r>
          </w:p>
        </w:tc>
        <w:tc>
          <w:tcPr>
            <w:tcW w:w="240" w:type="dxa"/>
            <w:vAlign w:val="bottom"/>
            <w:tcBorders>
              <w:right w:val="single" w:sz="8" w:color="auto"/>
            </w:tcBorders>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5"/>
                <w:szCs w:val="15"/>
                <w:color w:val="auto"/>
              </w:rPr>
              <w:t>ELECTRONIC</w:t>
            </w:r>
          </w:p>
        </w:tc>
        <w:tc>
          <w:tcPr>
            <w:tcW w:w="460" w:type="dxa"/>
            <w:vAlign w:val="bottom"/>
          </w:tcPr>
          <w:p>
            <w:pPr>
              <w:spacing w:after="0"/>
              <w:rPr>
                <w:sz w:val="11"/>
                <w:szCs w:val="11"/>
                <w:color w:val="auto"/>
              </w:rPr>
            </w:pPr>
          </w:p>
        </w:tc>
        <w:tc>
          <w:tcPr>
            <w:tcW w:w="1000" w:type="dxa"/>
            <w:vAlign w:val="bottom"/>
            <w:tcBorders>
              <w:right w:val="single" w:sz="8" w:color="auto"/>
            </w:tcBorders>
            <w:gridSpan w:val="5"/>
          </w:tcPr>
          <w:p>
            <w:pPr>
              <w:jc w:val="right"/>
              <w:ind w:right="47"/>
              <w:spacing w:after="0" w:line="130" w:lineRule="exact"/>
              <w:rPr>
                <w:sz w:val="20"/>
                <w:szCs w:val="20"/>
                <w:color w:val="auto"/>
              </w:rPr>
            </w:pPr>
            <w:r>
              <w:rPr>
                <w:rFonts w:ascii="Arial" w:cs="Arial" w:eastAsia="Arial" w:hAnsi="Arial"/>
                <w:sz w:val="15"/>
                <w:szCs w:val="15"/>
                <w:color w:val="auto"/>
                <w:w w:val="96"/>
              </w:rPr>
              <w:t>COMMERCE</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US</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w w:val="90"/>
              </w:rPr>
              <w:t>29/112,982</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10/27/1999</w:t>
            </w:r>
          </w:p>
        </w:tc>
        <w:tc>
          <w:tcPr>
            <w:tcW w:w="1040" w:type="dxa"/>
            <w:vAlign w:val="bottom"/>
            <w:tcBorders>
              <w:right w:val="single" w:sz="8" w:color="auto"/>
            </w:tcBorders>
            <w:gridSpan w:val="3"/>
          </w:tcPr>
          <w:p>
            <w:pPr>
              <w:ind w:left="60"/>
              <w:spacing w:after="0" w:line="130" w:lineRule="exact"/>
              <w:rPr>
                <w:sz w:val="20"/>
                <w:szCs w:val="20"/>
                <w:color w:val="auto"/>
              </w:rPr>
            </w:pPr>
            <w:r>
              <w:rPr>
                <w:rFonts w:ascii="Arial" w:cs="Arial" w:eastAsia="Arial" w:hAnsi="Arial"/>
                <w:sz w:val="15"/>
                <w:szCs w:val="15"/>
                <w:color w:val="auto"/>
              </w:rPr>
              <w:t>D437,890</w:t>
            </w: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2/20/2001</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EXPIRED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2/20/20</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TERMINAL</w:t>
            </w:r>
          </w:p>
        </w:tc>
        <w:tc>
          <w:tcPr>
            <w:tcW w:w="100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2"/>
              </w:rPr>
              <w:t>ENCLOSURE</w:t>
            </w:r>
          </w:p>
        </w:tc>
        <w:tc>
          <w:tcPr>
            <w:tcW w:w="320" w:type="dxa"/>
            <w:vAlign w:val="bottom"/>
            <w:gridSpan w:val="2"/>
          </w:tcPr>
          <w:p>
            <w:pPr>
              <w:jc w:val="right"/>
              <w:spacing w:after="0" w:line="155" w:lineRule="exact"/>
              <w:rPr>
                <w:sz w:val="20"/>
                <w:szCs w:val="20"/>
                <w:color w:val="auto"/>
              </w:rPr>
            </w:pPr>
            <w:r>
              <w:rPr>
                <w:rFonts w:ascii="Arial" w:cs="Arial" w:eastAsia="Arial" w:hAnsi="Arial"/>
                <w:sz w:val="15"/>
                <w:szCs w:val="15"/>
                <w:color w:val="auto"/>
                <w:w w:val="94"/>
              </w:rPr>
              <w:t>FOR</w:t>
            </w:r>
          </w:p>
        </w:tc>
        <w:tc>
          <w:tcPr>
            <w:tcW w:w="340" w:type="dxa"/>
            <w:vAlign w:val="bottom"/>
            <w:tcBorders>
              <w:right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gridSpan w:val="4"/>
          </w:tcPr>
          <w:p>
            <w:pPr>
              <w:ind w:left="60"/>
              <w:spacing w:after="0" w:line="169" w:lineRule="exact"/>
              <w:rPr>
                <w:sz w:val="20"/>
                <w:szCs w:val="20"/>
                <w:color w:val="auto"/>
              </w:rPr>
            </w:pPr>
            <w:r>
              <w:rPr>
                <w:rFonts w:ascii="Arial" w:cs="Arial" w:eastAsia="Arial" w:hAnsi="Arial"/>
                <w:sz w:val="15"/>
                <w:szCs w:val="15"/>
                <w:color w:val="auto"/>
              </w:rPr>
              <w:t>VENDING MACHINE</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USE-F544US</w:t>
            </w:r>
          </w:p>
        </w:tc>
        <w:tc>
          <w:tcPr>
            <w:tcW w:w="240" w:type="dxa"/>
            <w:vAlign w:val="bottom"/>
            <w:tcBorders>
              <w:right w:val="single" w:sz="8" w:color="auto"/>
            </w:tcBorders>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6"/>
              </w:rPr>
              <w:t>UNIVERSAL</w:t>
            </w:r>
          </w:p>
        </w:tc>
        <w:tc>
          <w:tcPr>
            <w:tcW w:w="200" w:type="dxa"/>
            <w:vAlign w:val="bottom"/>
          </w:tcPr>
          <w:p>
            <w:pPr>
              <w:spacing w:after="0"/>
              <w:rPr>
                <w:sz w:val="11"/>
                <w:szCs w:val="11"/>
                <w:color w:val="auto"/>
              </w:rPr>
            </w:pPr>
          </w:p>
        </w:tc>
        <w:tc>
          <w:tcPr>
            <w:tcW w:w="1460" w:type="dxa"/>
            <w:vAlign w:val="bottom"/>
            <w:tcBorders>
              <w:right w:val="single" w:sz="8" w:color="auto"/>
            </w:tcBorders>
            <w:gridSpan w:val="6"/>
          </w:tcPr>
          <w:p>
            <w:pPr>
              <w:jc w:val="right"/>
              <w:ind w:right="27"/>
              <w:spacing w:after="0" w:line="130" w:lineRule="exact"/>
              <w:rPr>
                <w:sz w:val="20"/>
                <w:szCs w:val="20"/>
                <w:color w:val="auto"/>
              </w:rPr>
            </w:pPr>
            <w:r>
              <w:rPr>
                <w:rFonts w:ascii="Arial" w:cs="Arial" w:eastAsia="Arial" w:hAnsi="Arial"/>
                <w:sz w:val="15"/>
                <w:szCs w:val="15"/>
                <w:color w:val="auto"/>
              </w:rPr>
              <w:t>INTERACTIVE</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US</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w w:val="90"/>
              </w:rPr>
              <w:t>09/293,358</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4/16/1999</w:t>
            </w:r>
          </w:p>
        </w:tc>
        <w:tc>
          <w:tcPr>
            <w:tcW w:w="9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6,604,085</w:t>
            </w:r>
          </w:p>
        </w:tc>
        <w:tc>
          <w:tcPr>
            <w:tcW w:w="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8/5/2003</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4/16/20</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ADVERTISING</w:t>
            </w:r>
          </w:p>
        </w:tc>
        <w:tc>
          <w:tcPr>
            <w:tcW w:w="460" w:type="dxa"/>
            <w:vAlign w:val="bottom"/>
          </w:tcPr>
          <w:p>
            <w:pPr>
              <w:jc w:val="center"/>
              <w:ind w:left="67"/>
              <w:spacing w:after="0" w:line="155" w:lineRule="exact"/>
              <w:rPr>
                <w:sz w:val="20"/>
                <w:szCs w:val="20"/>
                <w:color w:val="auto"/>
              </w:rPr>
            </w:pPr>
            <w:r>
              <w:rPr>
                <w:rFonts w:ascii="Arial" w:cs="Arial" w:eastAsia="Arial" w:hAnsi="Arial"/>
                <w:sz w:val="15"/>
                <w:szCs w:val="15"/>
                <w:color w:val="auto"/>
              </w:rPr>
              <w:t>AND</w:t>
            </w:r>
          </w:p>
        </w:tc>
        <w:tc>
          <w:tcPr>
            <w:tcW w:w="140" w:type="dxa"/>
            <w:vAlign w:val="bottom"/>
          </w:tcPr>
          <w:p>
            <w:pPr>
              <w:spacing w:after="0"/>
              <w:rPr>
                <w:sz w:val="13"/>
                <w:szCs w:val="13"/>
                <w:color w:val="auto"/>
              </w:rPr>
            </w:pPr>
          </w:p>
        </w:tc>
        <w:tc>
          <w:tcPr>
            <w:tcW w:w="8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PAYMENT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rPr>
              <w:t>SYSTEM NETWORK FOR PUBLIC</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9"/>
          </w:tcPr>
          <w:p>
            <w:pPr>
              <w:ind w:left="60"/>
              <w:spacing w:after="0" w:line="155" w:lineRule="exact"/>
              <w:rPr>
                <w:sz w:val="20"/>
                <w:szCs w:val="20"/>
                <w:color w:val="auto"/>
              </w:rPr>
            </w:pPr>
            <w:r>
              <w:rPr>
                <w:rFonts w:ascii="Arial" w:cs="Arial" w:eastAsia="Arial" w:hAnsi="Arial"/>
                <w:sz w:val="15"/>
                <w:szCs w:val="15"/>
                <w:color w:val="auto"/>
                <w:w w:val="96"/>
              </w:rPr>
              <w:t>ACCESS ELECTRONIC COMMERCE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Pr>
          <w:p>
            <w:pPr>
              <w:ind w:left="60"/>
              <w:spacing w:after="0" w:line="155" w:lineRule="exact"/>
              <w:rPr>
                <w:sz w:val="20"/>
                <w:szCs w:val="20"/>
                <w:color w:val="auto"/>
              </w:rPr>
            </w:pPr>
            <w:r>
              <w:rPr>
                <w:rFonts w:ascii="Arial" w:cs="Arial" w:eastAsia="Arial" w:hAnsi="Arial"/>
                <w:sz w:val="15"/>
                <w:szCs w:val="15"/>
                <w:color w:val="auto"/>
              </w:rPr>
              <w:t>AND</w:t>
            </w:r>
          </w:p>
        </w:tc>
        <w:tc>
          <w:tcPr>
            <w:tcW w:w="840" w:type="dxa"/>
            <w:vAlign w:val="bottom"/>
            <w:gridSpan w:val="3"/>
          </w:tcPr>
          <w:p>
            <w:pPr>
              <w:ind w:left="20"/>
              <w:spacing w:after="0" w:line="155" w:lineRule="exact"/>
              <w:rPr>
                <w:sz w:val="20"/>
                <w:szCs w:val="20"/>
                <w:color w:val="auto"/>
              </w:rPr>
            </w:pPr>
            <w:r>
              <w:rPr>
                <w:rFonts w:ascii="Arial" w:cs="Arial" w:eastAsia="Arial" w:hAnsi="Arial"/>
                <w:sz w:val="15"/>
                <w:szCs w:val="15"/>
                <w:color w:val="auto"/>
              </w:rPr>
              <w:t>BUSINESS</w:t>
            </w:r>
          </w:p>
        </w:tc>
        <w:tc>
          <w:tcPr>
            <w:tcW w:w="140" w:type="dxa"/>
            <w:vAlign w:val="bottom"/>
          </w:tcPr>
          <w:p>
            <w:pPr>
              <w:spacing w:after="0"/>
              <w:rPr>
                <w:sz w:val="13"/>
                <w:szCs w:val="13"/>
                <w:color w:val="auto"/>
              </w:rPr>
            </w:pPr>
          </w:p>
        </w:tc>
        <w:tc>
          <w:tcPr>
            <w:tcW w:w="8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RELATED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5"/>
                <w:szCs w:val="15"/>
                <w:color w:val="auto"/>
                <w:w w:val="90"/>
              </w:rPr>
              <w:t>PRODUCTS AND SERVICES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USE-F549CA</w:t>
            </w:r>
          </w:p>
        </w:tc>
        <w:tc>
          <w:tcPr>
            <w:tcW w:w="240" w:type="dxa"/>
            <w:vAlign w:val="bottom"/>
            <w:tcBorders>
              <w:right w:val="single" w:sz="8" w:color="auto"/>
            </w:tcBorders>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5"/>
                <w:szCs w:val="15"/>
                <w:color w:val="auto"/>
                <w:w w:val="96"/>
              </w:rPr>
              <w:t>UNIVERSAL</w:t>
            </w:r>
          </w:p>
        </w:tc>
        <w:tc>
          <w:tcPr>
            <w:tcW w:w="200" w:type="dxa"/>
            <w:vAlign w:val="bottom"/>
          </w:tcPr>
          <w:p>
            <w:pPr>
              <w:spacing w:after="0"/>
              <w:rPr>
                <w:sz w:val="11"/>
                <w:szCs w:val="11"/>
                <w:color w:val="auto"/>
              </w:rPr>
            </w:pPr>
          </w:p>
        </w:tc>
        <w:tc>
          <w:tcPr>
            <w:tcW w:w="1460" w:type="dxa"/>
            <w:vAlign w:val="bottom"/>
            <w:tcBorders>
              <w:right w:val="single" w:sz="8" w:color="auto"/>
            </w:tcBorders>
            <w:gridSpan w:val="6"/>
          </w:tcPr>
          <w:p>
            <w:pPr>
              <w:jc w:val="right"/>
              <w:ind w:right="27"/>
              <w:spacing w:after="0" w:line="130" w:lineRule="exact"/>
              <w:rPr>
                <w:sz w:val="20"/>
                <w:szCs w:val="20"/>
                <w:color w:val="auto"/>
              </w:rPr>
            </w:pPr>
            <w:r>
              <w:rPr>
                <w:rFonts w:ascii="Arial" w:cs="Arial" w:eastAsia="Arial" w:hAnsi="Arial"/>
                <w:sz w:val="15"/>
                <w:szCs w:val="15"/>
                <w:color w:val="auto"/>
              </w:rPr>
              <w:t>INTERACTIVE</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CA</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rPr>
              <w:t>2,291,015</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4/19/1999</w:t>
            </w:r>
          </w:p>
        </w:tc>
        <w:tc>
          <w:tcPr>
            <w:tcW w:w="9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2,291,015</w:t>
            </w:r>
          </w:p>
        </w:tc>
        <w:tc>
          <w:tcPr>
            <w:tcW w:w="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3/22/2005</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4/19/20</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ADVERTISING</w:t>
            </w:r>
          </w:p>
        </w:tc>
        <w:tc>
          <w:tcPr>
            <w:tcW w:w="460" w:type="dxa"/>
            <w:vAlign w:val="bottom"/>
          </w:tcPr>
          <w:p>
            <w:pPr>
              <w:jc w:val="center"/>
              <w:ind w:left="67"/>
              <w:spacing w:after="0" w:line="155" w:lineRule="exact"/>
              <w:rPr>
                <w:sz w:val="20"/>
                <w:szCs w:val="20"/>
                <w:color w:val="auto"/>
              </w:rPr>
            </w:pPr>
            <w:r>
              <w:rPr>
                <w:rFonts w:ascii="Arial" w:cs="Arial" w:eastAsia="Arial" w:hAnsi="Arial"/>
                <w:sz w:val="15"/>
                <w:szCs w:val="15"/>
                <w:color w:val="auto"/>
              </w:rPr>
              <w:t>AND</w:t>
            </w:r>
          </w:p>
        </w:tc>
        <w:tc>
          <w:tcPr>
            <w:tcW w:w="140" w:type="dxa"/>
            <w:vAlign w:val="bottom"/>
          </w:tcPr>
          <w:p>
            <w:pPr>
              <w:spacing w:after="0"/>
              <w:rPr>
                <w:sz w:val="13"/>
                <w:szCs w:val="13"/>
                <w:color w:val="auto"/>
              </w:rPr>
            </w:pPr>
          </w:p>
        </w:tc>
        <w:tc>
          <w:tcPr>
            <w:tcW w:w="860" w:type="dxa"/>
            <w:vAlign w:val="bottom"/>
            <w:tcBorders>
              <w:right w:val="single" w:sz="8" w:color="auto"/>
            </w:tcBorders>
            <w:gridSpan w:val="4"/>
          </w:tcPr>
          <w:p>
            <w:pPr>
              <w:jc w:val="right"/>
              <w:ind w:right="27"/>
              <w:spacing w:after="0" w:line="155" w:lineRule="exact"/>
              <w:rPr>
                <w:sz w:val="20"/>
                <w:szCs w:val="20"/>
                <w:color w:val="auto"/>
              </w:rPr>
            </w:pPr>
            <w:r>
              <w:rPr>
                <w:rFonts w:ascii="Arial" w:cs="Arial" w:eastAsia="Arial" w:hAnsi="Arial"/>
                <w:sz w:val="15"/>
                <w:szCs w:val="15"/>
                <w:color w:val="auto"/>
              </w:rPr>
              <w:t>PAYMENT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Pr>
          <w:p>
            <w:pPr>
              <w:ind w:left="60"/>
              <w:spacing w:after="0" w:line="155" w:lineRule="exact"/>
              <w:rPr>
                <w:sz w:val="20"/>
                <w:szCs w:val="20"/>
                <w:color w:val="auto"/>
              </w:rPr>
            </w:pPr>
            <w:r>
              <w:rPr>
                <w:rFonts w:ascii="Arial" w:cs="Arial" w:eastAsia="Arial" w:hAnsi="Arial"/>
                <w:sz w:val="15"/>
                <w:szCs w:val="15"/>
                <w:color w:val="auto"/>
              </w:rPr>
              <w:t>SYSTEM</w:t>
            </w:r>
          </w:p>
        </w:tc>
        <w:tc>
          <w:tcPr>
            <w:tcW w:w="380" w:type="dxa"/>
            <w:vAlign w:val="bottom"/>
            <w:gridSpan w:val="2"/>
          </w:tcPr>
          <w:p>
            <w:pPr>
              <w:ind w:left="80"/>
              <w:spacing w:after="0" w:line="155" w:lineRule="exact"/>
              <w:rPr>
                <w:sz w:val="20"/>
                <w:szCs w:val="20"/>
                <w:color w:val="auto"/>
              </w:rPr>
            </w:pPr>
            <w:r>
              <w:rPr>
                <w:rFonts w:ascii="Arial" w:cs="Arial" w:eastAsia="Arial" w:hAnsi="Arial"/>
                <w:sz w:val="15"/>
                <w:szCs w:val="15"/>
                <w:color w:val="auto"/>
                <w:w w:val="88"/>
              </w:rPr>
              <w:t>FOR</w:t>
            </w:r>
          </w:p>
        </w:tc>
        <w:tc>
          <w:tcPr>
            <w:tcW w:w="800" w:type="dxa"/>
            <w:vAlign w:val="bottom"/>
            <w:gridSpan w:val="3"/>
          </w:tcPr>
          <w:p>
            <w:pPr>
              <w:ind w:left="140"/>
              <w:spacing w:after="0" w:line="155" w:lineRule="exact"/>
              <w:rPr>
                <w:sz w:val="20"/>
                <w:szCs w:val="20"/>
                <w:color w:val="auto"/>
              </w:rPr>
            </w:pPr>
            <w:r>
              <w:rPr>
                <w:rFonts w:ascii="Arial" w:cs="Arial" w:eastAsia="Arial" w:hAnsi="Arial"/>
                <w:sz w:val="15"/>
                <w:szCs w:val="15"/>
                <w:color w:val="auto"/>
              </w:rPr>
              <w:t>PUBLIC</w:t>
            </w:r>
          </w:p>
        </w:tc>
        <w:tc>
          <w:tcPr>
            <w:tcW w:w="660" w:type="dxa"/>
            <w:vAlign w:val="bottom"/>
            <w:tcBorders>
              <w:right w:val="single" w:sz="8" w:color="auto"/>
            </w:tcBorders>
            <w:gridSpan w:val="3"/>
          </w:tcPr>
          <w:p>
            <w:pPr>
              <w:jc w:val="right"/>
              <w:ind w:right="27"/>
              <w:spacing w:after="0" w:line="155" w:lineRule="exact"/>
              <w:rPr>
                <w:sz w:val="20"/>
                <w:szCs w:val="20"/>
                <w:color w:val="auto"/>
              </w:rPr>
            </w:pPr>
            <w:r>
              <w:rPr>
                <w:rFonts w:ascii="Arial" w:cs="Arial" w:eastAsia="Arial" w:hAnsi="Arial"/>
                <w:sz w:val="15"/>
                <w:szCs w:val="15"/>
                <w:color w:val="auto"/>
                <w:w w:val="87"/>
              </w:rPr>
              <w:t>ACCESS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5"/>
                <w:szCs w:val="15"/>
                <w:color w:val="auto"/>
              </w:rPr>
              <w:t>ELECTRONIC</w:t>
            </w:r>
          </w:p>
        </w:tc>
        <w:tc>
          <w:tcPr>
            <w:tcW w:w="1020" w:type="dxa"/>
            <w:vAlign w:val="bottom"/>
            <w:gridSpan w:val="4"/>
          </w:tcPr>
          <w:p>
            <w:pPr>
              <w:ind w:left="40"/>
              <w:spacing w:after="0" w:line="155" w:lineRule="exact"/>
              <w:rPr>
                <w:sz w:val="20"/>
                <w:szCs w:val="20"/>
                <w:color w:val="auto"/>
              </w:rPr>
            </w:pPr>
            <w:r>
              <w:rPr>
                <w:rFonts w:ascii="Arial" w:cs="Arial" w:eastAsia="Arial" w:hAnsi="Arial"/>
                <w:sz w:val="15"/>
                <w:szCs w:val="15"/>
                <w:color w:val="auto"/>
              </w:rPr>
              <w:t>COMMERCE</w:t>
            </w:r>
          </w:p>
        </w:tc>
        <w:tc>
          <w:tcPr>
            <w:tcW w:w="44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w w:val="94"/>
              </w:rPr>
              <w:t>AND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BUSINESS</w:t>
            </w:r>
          </w:p>
        </w:tc>
        <w:tc>
          <w:tcPr>
            <w:tcW w:w="660" w:type="dxa"/>
            <w:vAlign w:val="bottom"/>
            <w:gridSpan w:val="2"/>
          </w:tcPr>
          <w:p>
            <w:pPr>
              <w:spacing w:after="0" w:line="155" w:lineRule="exact"/>
              <w:rPr>
                <w:sz w:val="20"/>
                <w:szCs w:val="20"/>
                <w:color w:val="auto"/>
              </w:rPr>
            </w:pPr>
            <w:r>
              <w:rPr>
                <w:rFonts w:ascii="Arial" w:cs="Arial" w:eastAsia="Arial" w:hAnsi="Arial"/>
                <w:sz w:val="15"/>
                <w:szCs w:val="15"/>
                <w:color w:val="auto"/>
                <w:w w:val="92"/>
              </w:rPr>
              <w:t>RELATED</w:t>
            </w:r>
          </w:p>
        </w:tc>
        <w:tc>
          <w:tcPr>
            <w:tcW w:w="140" w:type="dxa"/>
            <w:vAlign w:val="bottom"/>
          </w:tcPr>
          <w:p>
            <w:pPr>
              <w:spacing w:after="0"/>
              <w:rPr>
                <w:sz w:val="13"/>
                <w:szCs w:val="13"/>
                <w:color w:val="auto"/>
              </w:rPr>
            </w:pPr>
          </w:p>
        </w:tc>
        <w:tc>
          <w:tcPr>
            <w:tcW w:w="860" w:type="dxa"/>
            <w:vAlign w:val="bottom"/>
            <w:tcBorders>
              <w:right w:val="single" w:sz="8" w:color="auto"/>
            </w:tcBorders>
            <w:gridSpan w:val="4"/>
          </w:tcPr>
          <w:p>
            <w:pPr>
              <w:jc w:val="right"/>
              <w:ind w:right="47"/>
              <w:spacing w:after="0" w:line="155" w:lineRule="exact"/>
              <w:rPr>
                <w:sz w:val="20"/>
                <w:szCs w:val="20"/>
                <w:color w:val="auto"/>
              </w:rPr>
            </w:pPr>
            <w:r>
              <w:rPr>
                <w:rFonts w:ascii="Arial" w:cs="Arial" w:eastAsia="Arial" w:hAnsi="Arial"/>
                <w:sz w:val="15"/>
                <w:szCs w:val="15"/>
                <w:color w:val="auto"/>
                <w:w w:val="85"/>
              </w:rPr>
              <w:t>PRODUCTS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color w:val="auto"/>
                <w:w w:val="91"/>
              </w:rPr>
              <w:t>AND SERVICES</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USE-F550US</w:t>
            </w:r>
          </w:p>
        </w:tc>
        <w:tc>
          <w:tcPr>
            <w:tcW w:w="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w w:val="98"/>
              </w:rPr>
              <w:t>SIGN HOLDER</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US</w:t>
            </w:r>
          </w:p>
        </w:tc>
        <w:tc>
          <w:tcPr>
            <w:tcW w:w="2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w w:val="90"/>
              </w:rPr>
              <w:t>29/095,587</w:t>
            </w:r>
          </w:p>
        </w:tc>
        <w:tc>
          <w:tcPr>
            <w:tcW w:w="4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10/27/1998</w:t>
            </w:r>
          </w:p>
        </w:tc>
        <w:tc>
          <w:tcPr>
            <w:tcW w:w="1040" w:type="dxa"/>
            <w:vAlign w:val="bottom"/>
            <w:tcBorders>
              <w:bottom w:val="single" w:sz="8" w:color="auto"/>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D418,878</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1/11/2000</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EXPIRED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1/11/20</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USE-F553CA</w:t>
            </w:r>
          </w:p>
        </w:tc>
        <w:tc>
          <w:tcPr>
            <w:tcW w:w="2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w w:val="98"/>
              </w:rPr>
              <w:t>SIGN HOLDER</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CA</w:t>
            </w:r>
          </w:p>
        </w:tc>
        <w:tc>
          <w:tcPr>
            <w:tcW w:w="2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w w:val="94"/>
              </w:rPr>
              <w:t>1999-1014</w:t>
            </w:r>
          </w:p>
        </w:tc>
        <w:tc>
          <w:tcPr>
            <w:tcW w:w="4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4/27/1999</w:t>
            </w:r>
          </w:p>
        </w:tc>
        <w:tc>
          <w:tcPr>
            <w:tcW w:w="1040" w:type="dxa"/>
            <w:vAlign w:val="bottom"/>
            <w:tcBorders>
              <w:bottom w:val="single" w:sz="8" w:color="auto"/>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D87998</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10/29/1999</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EXPIRED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10/29/2</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USE-F560US</w:t>
            </w:r>
          </w:p>
        </w:tc>
        <w:tc>
          <w:tcPr>
            <w:tcW w:w="24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9"/>
          </w:tcPr>
          <w:p>
            <w:pPr>
              <w:ind w:left="60"/>
              <w:spacing w:after="0" w:line="162" w:lineRule="exact"/>
              <w:rPr>
                <w:sz w:val="20"/>
                <w:szCs w:val="20"/>
                <w:color w:val="auto"/>
              </w:rPr>
            </w:pPr>
            <w:r>
              <w:rPr>
                <w:rFonts w:ascii="Arial" w:cs="Arial" w:eastAsia="Arial" w:hAnsi="Arial"/>
                <w:sz w:val="15"/>
                <w:szCs w:val="15"/>
                <w:color w:val="auto"/>
                <w:w w:val="99"/>
              </w:rPr>
              <w:t>LAPTOP DATA PORT ENCLOSURE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US</w:t>
            </w:r>
          </w:p>
        </w:tc>
        <w:tc>
          <w:tcPr>
            <w:tcW w:w="2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w w:val="90"/>
              </w:rPr>
              <w:t>29/095,583</w:t>
            </w:r>
          </w:p>
        </w:tc>
        <w:tc>
          <w:tcPr>
            <w:tcW w:w="4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10/27/1998</w:t>
            </w:r>
          </w:p>
        </w:tc>
        <w:tc>
          <w:tcPr>
            <w:tcW w:w="1040" w:type="dxa"/>
            <w:vAlign w:val="bottom"/>
            <w:tcBorders>
              <w:bottom w:val="single" w:sz="8" w:color="auto"/>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D415,742</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10/26/1999</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EXPIRED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10/26/2</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USE-F563CA</w:t>
            </w:r>
          </w:p>
        </w:tc>
        <w:tc>
          <w:tcPr>
            <w:tcW w:w="24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gridSpan w:val="9"/>
          </w:tcPr>
          <w:p>
            <w:pPr>
              <w:ind w:left="60"/>
              <w:spacing w:after="0" w:line="162" w:lineRule="exact"/>
              <w:rPr>
                <w:sz w:val="20"/>
                <w:szCs w:val="20"/>
                <w:color w:val="auto"/>
              </w:rPr>
            </w:pPr>
            <w:r>
              <w:rPr>
                <w:rFonts w:ascii="Arial" w:cs="Arial" w:eastAsia="Arial" w:hAnsi="Arial"/>
                <w:sz w:val="15"/>
                <w:szCs w:val="15"/>
                <w:color w:val="auto"/>
                <w:w w:val="99"/>
              </w:rPr>
              <w:t>LAPTOP DATA PORT ENCLOSURE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CA</w:t>
            </w:r>
          </w:p>
        </w:tc>
        <w:tc>
          <w:tcPr>
            <w:tcW w:w="2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w w:val="94"/>
              </w:rPr>
              <w:t>1999-1038</w:t>
            </w:r>
          </w:p>
        </w:tc>
        <w:tc>
          <w:tcPr>
            <w:tcW w:w="4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4/27/1999</w:t>
            </w:r>
          </w:p>
        </w:tc>
        <w:tc>
          <w:tcPr>
            <w:tcW w:w="1040" w:type="dxa"/>
            <w:vAlign w:val="bottom"/>
            <w:tcBorders>
              <w:bottom w:val="single" w:sz="8" w:color="auto"/>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D91645</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2/28/2001</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EXPIRED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2/28/20</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USE-F630US</w:t>
            </w:r>
          </w:p>
        </w:tc>
        <w:tc>
          <w:tcPr>
            <w:tcW w:w="2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DATAPORT</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US</w:t>
            </w:r>
          </w:p>
        </w:tc>
        <w:tc>
          <w:tcPr>
            <w:tcW w:w="2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w w:val="90"/>
              </w:rPr>
              <w:t>29/103,596</w:t>
            </w:r>
          </w:p>
        </w:tc>
        <w:tc>
          <w:tcPr>
            <w:tcW w:w="4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gridSpan w:val="2"/>
          </w:tcPr>
          <w:p>
            <w:pPr>
              <w:ind w:left="60"/>
              <w:spacing w:after="0" w:line="162" w:lineRule="exact"/>
              <w:rPr>
                <w:sz w:val="20"/>
                <w:szCs w:val="20"/>
                <w:color w:val="auto"/>
              </w:rPr>
            </w:pPr>
            <w:r>
              <w:rPr>
                <w:rFonts w:ascii="Arial" w:cs="Arial" w:eastAsia="Arial" w:hAnsi="Arial"/>
                <w:sz w:val="15"/>
                <w:szCs w:val="15"/>
                <w:color w:val="auto"/>
              </w:rPr>
              <w:t>4/16/1999</w:t>
            </w:r>
          </w:p>
        </w:tc>
        <w:tc>
          <w:tcPr>
            <w:tcW w:w="1040" w:type="dxa"/>
            <w:vAlign w:val="bottom"/>
            <w:tcBorders>
              <w:bottom w:val="single" w:sz="8" w:color="auto"/>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D423,474</w:t>
            </w:r>
          </w:p>
        </w:tc>
        <w:tc>
          <w:tcPr>
            <w:tcW w:w="92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4/25/2000</w:t>
            </w:r>
          </w:p>
        </w:tc>
        <w:tc>
          <w:tcPr>
            <w:tcW w:w="1120" w:type="dxa"/>
            <w:vAlign w:val="bottom"/>
            <w:tcBorders>
              <w:bottom w:val="single" w:sz="8" w:color="auto"/>
              <w:right w:val="single" w:sz="8" w:color="auto"/>
            </w:tcBorders>
            <w:gridSpan w:val="2"/>
          </w:tcPr>
          <w:p>
            <w:pPr>
              <w:ind w:left="80"/>
              <w:spacing w:after="0" w:line="162" w:lineRule="exact"/>
              <w:rPr>
                <w:sz w:val="20"/>
                <w:szCs w:val="20"/>
                <w:color w:val="auto"/>
              </w:rPr>
            </w:pPr>
            <w:r>
              <w:rPr>
                <w:rFonts w:ascii="Arial" w:cs="Arial" w:eastAsia="Arial" w:hAnsi="Arial"/>
                <w:sz w:val="15"/>
                <w:szCs w:val="15"/>
                <w:color w:val="auto"/>
              </w:rPr>
              <w:t>EXPIRED</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4/25/20</w:t>
            </w: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tcBorders>
          </w:tcPr>
          <w:p>
            <w:pPr>
              <w:ind w:left="100"/>
              <w:spacing w:after="0" w:line="130" w:lineRule="exact"/>
              <w:rPr>
                <w:sz w:val="20"/>
                <w:szCs w:val="20"/>
                <w:color w:val="auto"/>
              </w:rPr>
            </w:pPr>
            <w:r>
              <w:rPr>
                <w:rFonts w:ascii="Arial" w:cs="Arial" w:eastAsia="Arial" w:hAnsi="Arial"/>
                <w:sz w:val="15"/>
                <w:szCs w:val="15"/>
                <w:color w:val="auto"/>
              </w:rPr>
              <w:t>USES-103US</w:t>
            </w: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5"/>
                <w:szCs w:val="15"/>
                <w:color w:val="auto"/>
                <w:w w:val="98"/>
              </w:rPr>
              <w:t>METHOD</w:t>
            </w:r>
          </w:p>
        </w:tc>
        <w:tc>
          <w:tcPr>
            <w:tcW w:w="1400" w:type="dxa"/>
            <w:vAlign w:val="bottom"/>
            <w:gridSpan w:val="6"/>
          </w:tcPr>
          <w:p>
            <w:pPr>
              <w:ind w:left="80"/>
              <w:spacing w:after="0" w:line="130" w:lineRule="exact"/>
              <w:rPr>
                <w:sz w:val="20"/>
                <w:szCs w:val="20"/>
                <w:color w:val="auto"/>
              </w:rPr>
            </w:pPr>
            <w:r>
              <w:rPr>
                <w:rFonts w:ascii="Arial" w:cs="Arial" w:eastAsia="Arial" w:hAnsi="Arial"/>
                <w:sz w:val="15"/>
                <w:szCs w:val="15"/>
                <w:color w:val="auto"/>
                <w:w w:val="99"/>
              </w:rPr>
              <w:t>AND  APPARATUS</w:t>
            </w:r>
          </w:p>
        </w:tc>
        <w:tc>
          <w:tcPr>
            <w:tcW w:w="440" w:type="dxa"/>
            <w:vAlign w:val="bottom"/>
            <w:tcBorders>
              <w:right w:val="single" w:sz="8" w:color="auto"/>
            </w:tcBorders>
            <w:gridSpan w:val="2"/>
          </w:tcPr>
          <w:p>
            <w:pPr>
              <w:jc w:val="right"/>
              <w:ind w:right="27"/>
              <w:spacing w:after="0" w:line="130" w:lineRule="exact"/>
              <w:rPr>
                <w:sz w:val="20"/>
                <w:szCs w:val="20"/>
                <w:color w:val="auto"/>
              </w:rPr>
            </w:pPr>
            <w:r>
              <w:rPr>
                <w:rFonts w:ascii="Arial" w:cs="Arial" w:eastAsia="Arial" w:hAnsi="Arial"/>
                <w:sz w:val="15"/>
                <w:szCs w:val="15"/>
                <w:color w:val="auto"/>
              </w:rPr>
              <w:t>FOR</w:t>
            </w:r>
          </w:p>
        </w:tc>
        <w:tc>
          <w:tcPr>
            <w:tcW w:w="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5"/>
                <w:szCs w:val="15"/>
                <w:color w:val="auto"/>
                <w:w w:val="95"/>
              </w:rPr>
              <w:t>US</w:t>
            </w:r>
          </w:p>
        </w:tc>
        <w:tc>
          <w:tcPr>
            <w:tcW w:w="280" w:type="dxa"/>
            <w:vAlign w:val="bottom"/>
            <w:tcBorders>
              <w:right w:val="single" w:sz="8" w:color="auto"/>
            </w:tcBorders>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5"/>
                <w:szCs w:val="15"/>
                <w:color w:val="auto"/>
                <w:w w:val="90"/>
              </w:rPr>
              <w:t>08/904,317</w:t>
            </w:r>
          </w:p>
        </w:tc>
        <w:tc>
          <w:tcPr>
            <w:tcW w:w="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gridSpan w:val="2"/>
          </w:tcPr>
          <w:p>
            <w:pPr>
              <w:ind w:left="60"/>
              <w:spacing w:after="0" w:line="130" w:lineRule="exact"/>
              <w:rPr>
                <w:sz w:val="20"/>
                <w:szCs w:val="20"/>
                <w:color w:val="auto"/>
              </w:rPr>
            </w:pPr>
            <w:r>
              <w:rPr>
                <w:rFonts w:ascii="Arial" w:cs="Arial" w:eastAsia="Arial" w:hAnsi="Arial"/>
                <w:sz w:val="15"/>
                <w:szCs w:val="15"/>
                <w:color w:val="auto"/>
              </w:rPr>
              <w:t>7/31/1997</w:t>
            </w:r>
          </w:p>
        </w:tc>
        <w:tc>
          <w:tcPr>
            <w:tcW w:w="900" w:type="dxa"/>
            <w:vAlign w:val="bottom"/>
            <w:gridSpan w:val="2"/>
          </w:tcPr>
          <w:p>
            <w:pPr>
              <w:ind w:left="60"/>
              <w:spacing w:after="0" w:line="130" w:lineRule="exact"/>
              <w:rPr>
                <w:sz w:val="20"/>
                <w:szCs w:val="20"/>
                <w:color w:val="auto"/>
              </w:rPr>
            </w:pPr>
            <w:r>
              <w:rPr>
                <w:rFonts w:ascii="Arial" w:cs="Arial" w:eastAsia="Arial" w:hAnsi="Arial"/>
                <w:sz w:val="15"/>
                <w:szCs w:val="15"/>
                <w:color w:val="auto"/>
              </w:rPr>
              <w:t>6,021,626</w:t>
            </w:r>
          </w:p>
        </w:tc>
        <w:tc>
          <w:tcPr>
            <w:tcW w:w="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5"/>
                <w:szCs w:val="15"/>
                <w:color w:val="auto"/>
              </w:rPr>
              <w:t>2/8/2000</w:t>
            </w:r>
          </w:p>
        </w:tc>
        <w:tc>
          <w:tcPr>
            <w:tcW w:w="1120" w:type="dxa"/>
            <w:vAlign w:val="bottom"/>
            <w:tcBorders>
              <w:right w:val="single" w:sz="8" w:color="auto"/>
            </w:tcBorders>
            <w:gridSpan w:val="2"/>
          </w:tcPr>
          <w:p>
            <w:pPr>
              <w:ind w:left="80"/>
              <w:spacing w:after="0" w:line="130" w:lineRule="exact"/>
              <w:rPr>
                <w:sz w:val="20"/>
                <w:szCs w:val="20"/>
                <w:color w:val="auto"/>
              </w:rPr>
            </w:pPr>
            <w:r>
              <w:rPr>
                <w:rFonts w:ascii="Arial" w:cs="Arial" w:eastAsia="Arial" w:hAnsi="Arial"/>
                <w:sz w:val="15"/>
                <w:szCs w:val="15"/>
                <w:color w:val="auto"/>
              </w:rPr>
              <w:t>ISSUED</w:t>
            </w:r>
          </w:p>
        </w:tc>
        <w:tc>
          <w:tcPr>
            <w:tcW w:w="540" w:type="dxa"/>
            <w:vAlign w:val="bottom"/>
          </w:tcPr>
          <w:p>
            <w:pPr>
              <w:jc w:val="right"/>
              <w:spacing w:after="0" w:line="130" w:lineRule="exact"/>
              <w:rPr>
                <w:sz w:val="20"/>
                <w:szCs w:val="20"/>
                <w:color w:val="auto"/>
              </w:rPr>
            </w:pPr>
            <w:r>
              <w:rPr>
                <w:rFonts w:ascii="Arial" w:cs="Arial" w:eastAsia="Arial" w:hAnsi="Arial"/>
                <w:sz w:val="15"/>
                <w:szCs w:val="15"/>
                <w:color w:val="auto"/>
                <w:w w:val="99"/>
              </w:rPr>
              <w:t>7/11/20</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FORMING,</w:t>
            </w:r>
          </w:p>
        </w:tc>
        <w:tc>
          <w:tcPr>
            <w:tcW w:w="1000" w:type="dxa"/>
            <w:vAlign w:val="bottom"/>
            <w:gridSpan w:val="4"/>
          </w:tcPr>
          <w:p>
            <w:pPr>
              <w:ind w:left="120"/>
              <w:spacing w:after="0" w:line="155" w:lineRule="exact"/>
              <w:rPr>
                <w:sz w:val="20"/>
                <w:szCs w:val="20"/>
                <w:color w:val="auto"/>
              </w:rPr>
            </w:pPr>
            <w:r>
              <w:rPr>
                <w:rFonts w:ascii="Arial" w:cs="Arial" w:eastAsia="Arial" w:hAnsi="Arial"/>
                <w:sz w:val="15"/>
                <w:szCs w:val="15"/>
                <w:color w:val="auto"/>
                <w:w w:val="92"/>
              </w:rPr>
              <w:t>PACKAGING,</w:t>
            </w:r>
          </w:p>
        </w:tc>
        <w:tc>
          <w:tcPr>
            <w:tcW w:w="22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47"/>
              <w:spacing w:after="0" w:line="155" w:lineRule="exact"/>
              <w:rPr>
                <w:sz w:val="20"/>
                <w:szCs w:val="20"/>
                <w:color w:val="auto"/>
              </w:rPr>
            </w:pPr>
            <w:r>
              <w:rPr>
                <w:rFonts w:ascii="Arial" w:cs="Arial" w:eastAsia="Arial" w:hAnsi="Arial"/>
                <w:sz w:val="15"/>
                <w:szCs w:val="15"/>
                <w:color w:val="auto"/>
                <w:w w:val="94"/>
              </w:rPr>
              <w:t>AND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80" w:type="dxa"/>
            <w:vAlign w:val="bottom"/>
            <w:tcBorders>
              <w:left w:val="single" w:sz="8" w:color="auto"/>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gridSpan w:val="9"/>
          </w:tcPr>
          <w:p>
            <w:pPr>
              <w:ind w:left="60"/>
              <w:spacing w:after="0" w:line="169" w:lineRule="exact"/>
              <w:rPr>
                <w:sz w:val="20"/>
                <w:szCs w:val="20"/>
                <w:color w:val="auto"/>
              </w:rPr>
            </w:pPr>
            <w:r>
              <w:rPr>
                <w:rFonts w:ascii="Arial" w:cs="Arial" w:eastAsia="Arial" w:hAnsi="Arial"/>
                <w:sz w:val="15"/>
                <w:szCs w:val="15"/>
                <w:color w:val="auto"/>
              </w:rPr>
              <w:t>VENDING CLOTHING ARTICLES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Reference #</w:t>
            </w:r>
          </w:p>
        </w:tc>
        <w:tc>
          <w:tcPr>
            <w:tcW w:w="240" w:type="dxa"/>
            <w:vAlign w:val="bottom"/>
          </w:tcPr>
          <w:p>
            <w:pPr>
              <w:spacing w:after="0"/>
              <w:rPr>
                <w:sz w:val="17"/>
                <w:szCs w:val="17"/>
                <w:color w:val="auto"/>
              </w:rPr>
            </w:pPr>
          </w:p>
        </w:tc>
        <w:tc>
          <w:tcPr>
            <w:tcW w:w="900" w:type="dxa"/>
            <w:vAlign w:val="bottom"/>
            <w:gridSpan w:val="2"/>
            <w:vMerge w:val="restart"/>
          </w:tcPr>
          <w:p>
            <w:pPr>
              <w:jc w:val="center"/>
              <w:ind w:left="449"/>
              <w:spacing w:after="0"/>
              <w:rPr>
                <w:sz w:val="20"/>
                <w:szCs w:val="20"/>
                <w:color w:val="auto"/>
              </w:rPr>
            </w:pPr>
            <w:r>
              <w:rPr>
                <w:rFonts w:ascii="Arial" w:cs="Arial" w:eastAsia="Arial" w:hAnsi="Arial"/>
                <w:sz w:val="13"/>
                <w:szCs w:val="13"/>
                <w:b w:val="1"/>
                <w:bCs w:val="1"/>
                <w:color w:val="auto"/>
                <w:w w:val="97"/>
              </w:rPr>
              <w:t>Title</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vMerge w:val="restart"/>
          </w:tcPr>
          <w:p>
            <w:pPr>
              <w:jc w:val="right"/>
              <w:ind w:right="107"/>
              <w:spacing w:after="0"/>
              <w:rPr>
                <w:sz w:val="20"/>
                <w:szCs w:val="20"/>
                <w:color w:val="auto"/>
              </w:rPr>
            </w:pPr>
            <w:r>
              <w:rPr>
                <w:rFonts w:ascii="Arial" w:cs="Arial" w:eastAsia="Arial" w:hAnsi="Arial"/>
                <w:sz w:val="13"/>
                <w:szCs w:val="13"/>
                <w:b w:val="1"/>
                <w:bCs w:val="1"/>
                <w:color w:val="auto"/>
              </w:rPr>
              <w:t>CNTRY</w:t>
            </w:r>
          </w:p>
        </w:tc>
        <w:tc>
          <w:tcPr>
            <w:tcW w:w="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auto"/>
            </w:tcBorders>
            <w:gridSpan w:val="2"/>
            <w:vMerge w:val="restart"/>
          </w:tcPr>
          <w:p>
            <w:pPr>
              <w:jc w:val="center"/>
              <w:ind w:right="207"/>
              <w:spacing w:after="0"/>
              <w:rPr>
                <w:sz w:val="20"/>
                <w:szCs w:val="20"/>
                <w:color w:val="auto"/>
              </w:rPr>
            </w:pPr>
            <w:r>
              <w:rPr>
                <w:rFonts w:ascii="Arial" w:cs="Arial" w:eastAsia="Arial" w:hAnsi="Arial"/>
                <w:sz w:val="13"/>
                <w:szCs w:val="13"/>
                <w:b w:val="1"/>
                <w:bCs w:val="1"/>
                <w:color w:val="auto"/>
                <w:w w:val="95"/>
              </w:rPr>
              <w:t>Serial #</w:t>
            </w:r>
          </w:p>
        </w:tc>
        <w:tc>
          <w:tcPr>
            <w:tcW w:w="14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center"/>
              <w:ind w:right="87"/>
              <w:spacing w:after="0"/>
              <w:rPr>
                <w:sz w:val="20"/>
                <w:szCs w:val="20"/>
                <w:color w:val="auto"/>
              </w:rPr>
            </w:pPr>
            <w:r>
              <w:rPr>
                <w:rFonts w:ascii="Arial" w:cs="Arial" w:eastAsia="Arial" w:hAnsi="Arial"/>
                <w:sz w:val="13"/>
                <w:szCs w:val="13"/>
                <w:b w:val="1"/>
                <w:bCs w:val="1"/>
                <w:color w:val="auto"/>
                <w:w w:val="93"/>
              </w:rPr>
              <w:t>Filed Date</w:t>
            </w:r>
          </w:p>
        </w:tc>
        <w:tc>
          <w:tcPr>
            <w:tcW w:w="7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Patent #</w:t>
            </w: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Issue</w:t>
            </w:r>
          </w:p>
        </w:tc>
        <w:tc>
          <w:tcPr>
            <w:tcW w:w="140" w:type="dxa"/>
            <w:vAlign w:val="bottom"/>
          </w:tcPr>
          <w:p>
            <w:pPr>
              <w:spacing w:after="0"/>
              <w:rPr>
                <w:sz w:val="17"/>
                <w:szCs w:val="17"/>
                <w:color w:val="auto"/>
              </w:rPr>
            </w:pPr>
          </w:p>
        </w:tc>
        <w:tc>
          <w:tcPr>
            <w:tcW w:w="9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Status</w:t>
            </w:r>
          </w:p>
        </w:tc>
        <w:tc>
          <w:tcPr>
            <w:tcW w:w="2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2"/>
            <w:vMerge w:val="continue"/>
          </w:tcPr>
          <w:p>
            <w:pPr>
              <w:spacing w:after="0"/>
              <w:rPr>
                <w:sz w:val="12"/>
                <w:szCs w:val="12"/>
                <w:color w:val="auto"/>
              </w:rPr>
            </w:pPr>
          </w:p>
        </w:tc>
        <w:tc>
          <w:tcPr>
            <w:tcW w:w="760" w:type="dxa"/>
            <w:vAlign w:val="bottom"/>
            <w:tcBorders>
              <w:bottom w:val="single" w:sz="8" w:color="auto"/>
              <w:right w:val="single" w:sz="8" w:color="auto"/>
            </w:tcBorders>
            <w:gridSpan w:val="2"/>
            <w:vMerge w:val="continue"/>
          </w:tcPr>
          <w:p>
            <w:pPr>
              <w:spacing w:after="0"/>
              <w:rPr>
                <w:sz w:val="12"/>
                <w:szCs w:val="12"/>
                <w:color w:val="auto"/>
              </w:rPr>
            </w:pPr>
          </w:p>
        </w:tc>
        <w:tc>
          <w:tcPr>
            <w:tcW w:w="640" w:type="dxa"/>
            <w:vAlign w:val="bottom"/>
            <w:tcBorders>
              <w:bottom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b w:val="1"/>
                <w:bCs w:val="1"/>
                <w:color w:val="auto"/>
              </w:rPr>
              <w:t>Date</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800" w:type="dxa"/>
            <w:vAlign w:val="bottom"/>
            <w:gridSpan w:val="5"/>
          </w:tcPr>
          <w:p>
            <w:pPr>
              <w:jc w:val="center"/>
              <w:ind w:left="19"/>
              <w:spacing w:after="0" w:line="99" w:lineRule="exact"/>
              <w:rPr>
                <w:sz w:val="20"/>
                <w:szCs w:val="20"/>
                <w:color w:val="auto"/>
              </w:rPr>
            </w:pPr>
            <w:r>
              <w:rPr>
                <w:rFonts w:ascii="Arial" w:cs="Arial" w:eastAsia="Arial" w:hAnsi="Arial"/>
                <w:sz w:val="11"/>
                <w:szCs w:val="11"/>
                <w:color w:val="auto"/>
              </w:rPr>
              <w:t>PAYMENT MODULE FOR</w:t>
            </w:r>
          </w:p>
        </w:tc>
        <w:tc>
          <w:tcPr>
            <w:tcW w:w="1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color w:val="auto"/>
              </w:rPr>
              <w:t>USE-679US1</w:t>
            </w:r>
          </w:p>
        </w:tc>
        <w:tc>
          <w:tcPr>
            <w:tcW w:w="1800" w:type="dxa"/>
            <w:vAlign w:val="bottom"/>
            <w:gridSpan w:val="5"/>
          </w:tcPr>
          <w:p>
            <w:pPr>
              <w:jc w:val="center"/>
              <w:ind w:left="19"/>
              <w:spacing w:after="0" w:line="128" w:lineRule="exact"/>
              <w:rPr>
                <w:sz w:val="20"/>
                <w:szCs w:val="20"/>
                <w:color w:val="auto"/>
              </w:rPr>
            </w:pPr>
            <w:r>
              <w:rPr>
                <w:rFonts w:ascii="Arial" w:cs="Arial" w:eastAsia="Arial" w:hAnsi="Arial"/>
                <w:sz w:val="13"/>
                <w:szCs w:val="13"/>
                <w:color w:val="auto"/>
                <w:w w:val="97"/>
              </w:rPr>
              <w:t>EFFECTUATING CASHLESS</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US</w:t>
            </w:r>
          </w:p>
        </w:tc>
        <w:tc>
          <w:tcPr>
            <w:tcW w:w="3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right"/>
              <w:ind w:right="227"/>
              <w:spacing w:after="0"/>
              <w:rPr>
                <w:sz w:val="20"/>
                <w:szCs w:val="20"/>
                <w:color w:val="auto"/>
              </w:rPr>
            </w:pPr>
            <w:r>
              <w:rPr>
                <w:rFonts w:ascii="Arial" w:cs="Arial" w:eastAsia="Arial" w:hAnsi="Arial"/>
                <w:sz w:val="13"/>
                <w:szCs w:val="13"/>
                <w:color w:val="auto"/>
                <w:w w:val="92"/>
              </w:rPr>
              <w:t>14/071,021</w:t>
            </w:r>
          </w:p>
        </w:tc>
        <w:tc>
          <w:tcPr>
            <w:tcW w:w="14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67"/>
              <w:spacing w:after="0"/>
              <w:rPr>
                <w:sz w:val="20"/>
                <w:szCs w:val="20"/>
                <w:color w:val="auto"/>
              </w:rPr>
            </w:pPr>
            <w:r>
              <w:rPr>
                <w:rFonts w:ascii="Arial" w:cs="Arial" w:eastAsia="Arial" w:hAnsi="Arial"/>
                <w:sz w:val="13"/>
                <w:szCs w:val="13"/>
                <w:color w:val="auto"/>
              </w:rPr>
              <w:t>11/4/2013</w:t>
            </w: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PUBLISHED</w:t>
            </w:r>
          </w:p>
        </w:tc>
        <w:tc>
          <w:tcPr>
            <w:tcW w:w="26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left="249"/>
              <w:spacing w:after="0" w:line="146" w:lineRule="exact"/>
              <w:rPr>
                <w:sz w:val="20"/>
                <w:szCs w:val="20"/>
                <w:color w:val="auto"/>
              </w:rPr>
            </w:pPr>
            <w:r>
              <w:rPr>
                <w:rFonts w:ascii="Arial" w:cs="Arial" w:eastAsia="Arial" w:hAnsi="Arial"/>
                <w:sz w:val="13"/>
                <w:szCs w:val="13"/>
                <w:color w:val="auto"/>
              </w:rPr>
              <w:t>VENDING</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547"/>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247" w:right="139" w:bottom="1440" w:gutter="0" w:footer="0" w:header="0"/>
        </w:sectPr>
      </w:pPr>
    </w:p>
    <w:bookmarkStart w:id="195" w:name="page196"/>
    <w:bookmarkEnd w:id="195"/>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19"/>
        </w:trPr>
        <w:tc>
          <w:tcPr>
            <w:tcW w:w="1080" w:type="dxa"/>
            <w:vAlign w:val="bottom"/>
            <w:tcBorders>
              <w:top w:val="single" w:sz="8" w:color="auto"/>
              <w:left w:val="single" w:sz="8" w:color="auto"/>
              <w:right w:val="single" w:sz="8" w:color="auto"/>
            </w:tcBorders>
          </w:tcPr>
          <w:p>
            <w:pPr>
              <w:spacing w:after="0"/>
              <w:rPr>
                <w:sz w:val="10"/>
                <w:szCs w:val="10"/>
                <w:color w:val="auto"/>
              </w:rPr>
            </w:pPr>
          </w:p>
        </w:tc>
        <w:tc>
          <w:tcPr>
            <w:tcW w:w="194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color w:val="auto"/>
              </w:rPr>
              <w:t>VENDING APPROVAL</w:t>
            </w:r>
          </w:p>
        </w:tc>
        <w:tc>
          <w:tcPr>
            <w:tcW w:w="90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SYSTEM, METHOD, AND</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USE-714CA</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APPARATUS USING A CARD</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CA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2,921,660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8/27/2014</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PENDING</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READER</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VENDING APPROVAL</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SYSTEM, METHOD, AND</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USE-714EP</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APPARATUS USING A CARD</w:t>
            </w:r>
          </w:p>
        </w:tc>
        <w:tc>
          <w:tcPr>
            <w:tcW w:w="9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EP</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14761538.9</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8/27/2014</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READER</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FOR SENDING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INFORMATION TO MOBILE</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DEVICES UTILIZING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USE-716CA</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MOBILE DEVICE</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CA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2,943,880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PENDING</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IDENTIFIERS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FOR SENDING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INFORMATION TO MOBILE</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DEVICES UTILIZING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USE-716EP</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MOBILE DEVICE</w:t>
            </w:r>
          </w:p>
        </w:tc>
        <w:tc>
          <w:tcPr>
            <w:tcW w:w="9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EP</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15776114.9</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IDENTIFIERS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FOR SENDING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INFORMATION TO MOBILE</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DEVICES UTILIZING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USE-716US</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MOBILE DEVICE</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US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14/681,294</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IDENTIFIERS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APPARATUS, SYSTEM, AND</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METHODS FOR</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RETROFITTING VENDING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USE-717CA</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SYSTEMS WITH WIRELESS</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CA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2,943,883</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PENDING</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COMMUNICATION</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Arial" w:cs="Arial" w:eastAsia="Arial" w:hAnsi="Arial"/>
                <w:sz w:val="13"/>
                <w:szCs w:val="13"/>
                <w:color w:val="auto"/>
              </w:rPr>
              <w:t>17</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96" w:name="page197"/>
    <w:bookmarkEnd w:id="196"/>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19"/>
        </w:trPr>
        <w:tc>
          <w:tcPr>
            <w:tcW w:w="1080" w:type="dxa"/>
            <w:vAlign w:val="bottom"/>
            <w:tcBorders>
              <w:top w:val="single" w:sz="8" w:color="auto"/>
              <w:left w:val="single" w:sz="8" w:color="auto"/>
              <w:right w:val="single" w:sz="8" w:color="auto"/>
            </w:tcBorders>
          </w:tcPr>
          <w:p>
            <w:pPr>
              <w:spacing w:after="0"/>
              <w:rPr>
                <w:sz w:val="10"/>
                <w:szCs w:val="10"/>
                <w:color w:val="auto"/>
              </w:rPr>
            </w:pPr>
          </w:p>
        </w:tc>
        <w:tc>
          <w:tcPr>
            <w:tcW w:w="194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97"/>
              </w:rPr>
              <w:t>APPARATUS, SYSTEM, AND</w:t>
            </w:r>
          </w:p>
        </w:tc>
        <w:tc>
          <w:tcPr>
            <w:tcW w:w="90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METHODS FOR</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RETROFITTING VENDING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USE-717EP</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SYSTEMS WITH WIRELESS</w:t>
            </w:r>
          </w:p>
        </w:tc>
        <w:tc>
          <w:tcPr>
            <w:tcW w:w="9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EP</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15717767.6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COMMUNICATION</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5"/>
              </w:rPr>
              <w:t>FOR WIRELESS</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AUTHORIZATION OF</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USE-718CA</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TRANSACTIONS WITH</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CA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2,943,884</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PENDING</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MOBILE PAYMENT DEVICES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5"/>
              </w:rPr>
              <w:t>FOR WIRELESS</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AUTHORIZATION OF</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USE-718EP</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TRANSACTIONS WITH</w:t>
            </w:r>
          </w:p>
        </w:tc>
        <w:tc>
          <w:tcPr>
            <w:tcW w:w="9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EP</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15718113.2</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4/8/2015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MOBILE PAYMENT DEVICES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SYSTEMS AND METHODS</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5"/>
              </w:rPr>
              <w:t>FOR WIRELESS</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AUTHORIZATION OF</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USE-718US</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TRANSACTIONS WITH</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US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14/499,796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9/29/2014</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ALLOWED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MOBILE PAYMENT DEVICES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UNATTENDED RETAIL</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SYSTEMS, METHODS, AND</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DEVICES FOR LINKING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USE-721CA</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PAYMENTS, LOYALTY, AND</w:t>
            </w:r>
          </w:p>
        </w:tc>
        <w:tc>
          <w:tcPr>
            <w:tcW w:w="9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auto"/>
              </w:rPr>
              <w:t>CA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2,956,731</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9/11/2015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PENDING</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REWARDS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Arial" w:cs="Arial" w:eastAsia="Arial" w:hAnsi="Arial"/>
                <w:sz w:val="13"/>
                <w:szCs w:val="13"/>
                <w:color w:val="auto"/>
              </w:rPr>
              <w:t>18</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97" w:name="page198"/>
    <w:bookmarkEnd w:id="197"/>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19"/>
        </w:trPr>
        <w:tc>
          <w:tcPr>
            <w:tcW w:w="1080" w:type="dxa"/>
            <w:vAlign w:val="bottom"/>
            <w:tcBorders>
              <w:top w:val="single" w:sz="8" w:color="auto"/>
              <w:left w:val="single" w:sz="8" w:color="auto"/>
              <w:right w:val="single" w:sz="8" w:color="auto"/>
            </w:tcBorders>
          </w:tcPr>
          <w:p>
            <w:pPr>
              <w:spacing w:after="0"/>
              <w:rPr>
                <w:sz w:val="10"/>
                <w:szCs w:val="10"/>
                <w:color w:val="auto"/>
              </w:rPr>
            </w:pPr>
          </w:p>
        </w:tc>
        <w:tc>
          <w:tcPr>
            <w:tcW w:w="194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99"/>
              </w:rPr>
              <w:t>UNATTENDED RETAIL</w:t>
            </w:r>
          </w:p>
        </w:tc>
        <w:tc>
          <w:tcPr>
            <w:tcW w:w="90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SYSTEMS, METHODS, AND</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rPr>
              <w:t>DEVICES FOR LINKING</w:t>
            </w: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color w:val="auto"/>
              </w:rPr>
              <w:t>USE-721EP</w:t>
            </w:r>
          </w:p>
        </w:tc>
        <w:tc>
          <w:tcPr>
            <w:tcW w:w="19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PAYMENTS, LOYALTY, AND</w:t>
            </w:r>
          </w:p>
        </w:tc>
        <w:tc>
          <w:tcPr>
            <w:tcW w:w="9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3"/>
                <w:szCs w:val="13"/>
                <w:color w:val="auto"/>
              </w:rPr>
              <w:t>EP</w:t>
            </w:r>
          </w:p>
        </w:tc>
        <w:tc>
          <w:tcPr>
            <w:tcW w:w="114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3"/>
                <w:szCs w:val="13"/>
                <w:color w:val="auto"/>
              </w:rPr>
              <w:t>15767039.9</w:t>
            </w:r>
          </w:p>
        </w:tc>
        <w:tc>
          <w:tcPr>
            <w:tcW w:w="102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3"/>
                <w:szCs w:val="13"/>
                <w:color w:val="auto"/>
              </w:rPr>
              <w:t>9/11/2015</w:t>
            </w:r>
          </w:p>
        </w:tc>
        <w:tc>
          <w:tcPr>
            <w:tcW w:w="7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3"/>
                <w:szCs w:val="13"/>
                <w:color w:val="auto"/>
              </w:rPr>
              <w:t>PUBLISHED</w:t>
            </w:r>
          </w:p>
        </w:tc>
        <w:tc>
          <w:tcPr>
            <w:tcW w:w="0" w:type="dxa"/>
            <w:vAlign w:val="bottom"/>
          </w:tcPr>
          <w:p>
            <w:pPr>
              <w:spacing w:after="0"/>
              <w:rPr>
                <w:sz w:val="1"/>
                <w:szCs w:val="1"/>
                <w:color w:val="auto"/>
              </w:rPr>
            </w:pPr>
          </w:p>
        </w:tc>
      </w:tr>
      <w:tr>
        <w:trPr>
          <w:trHeight w:val="146"/>
        </w:trPr>
        <w:tc>
          <w:tcPr>
            <w:tcW w:w="10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4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REWARDS</w:t>
            </w: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4"/>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Arial" w:cs="Arial" w:eastAsia="Arial" w:hAnsi="Arial"/>
                <w:sz w:val="13"/>
                <w:szCs w:val="13"/>
                <w:color w:val="auto"/>
              </w:rPr>
              <w:t>19</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98" w:name="page199"/>
    <w:bookmarkEnd w:id="198"/>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Trademarks:</w:t>
            </w:r>
          </w:p>
        </w:tc>
        <w:tc>
          <w:tcPr>
            <w:tcW w:w="1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Borders>
              <w:top w:val="single" w:sz="8" w:color="auto"/>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b w:val="1"/>
                <w:bCs w:val="1"/>
                <w:color w:val="auto"/>
                <w:w w:val="96"/>
              </w:rPr>
              <w:t>Trademark</w:t>
            </w:r>
          </w:p>
        </w:tc>
        <w:tc>
          <w:tcPr>
            <w:tcW w:w="1880" w:type="dxa"/>
            <w:vAlign w:val="bottom"/>
            <w:tcBorders>
              <w:bottom w:val="single" w:sz="8" w:color="auto"/>
            </w:tcBorders>
          </w:tcPr>
          <w:p>
            <w:pPr>
              <w:jc w:val="center"/>
              <w:ind w:left="333"/>
              <w:spacing w:after="0" w:line="117" w:lineRule="exact"/>
              <w:rPr>
                <w:sz w:val="20"/>
                <w:szCs w:val="20"/>
                <w:color w:val="auto"/>
              </w:rPr>
            </w:pPr>
            <w:r>
              <w:rPr>
                <w:rFonts w:ascii="Arial" w:cs="Arial" w:eastAsia="Arial" w:hAnsi="Arial"/>
                <w:sz w:val="13"/>
                <w:szCs w:val="13"/>
                <w:b w:val="1"/>
                <w:bCs w:val="1"/>
                <w:color w:val="auto"/>
                <w:w w:val="92"/>
              </w:rPr>
              <w:t>Registration Date</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3"/>
              </w:rPr>
              <w:t>Registration Number</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8"/>
              </w:rPr>
              <w:t>USA TECHNOLOGIES</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2/23/2016</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4,903,734</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8"/>
              </w:rPr>
              <w:t>MORE &amp; Design</w:t>
            </w:r>
          </w:p>
        </w:tc>
        <w:tc>
          <w:tcPr>
            <w:tcW w:w="18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60" w:type="dxa"/>
            <w:vAlign w:val="bottom"/>
            <w:tcBorders>
              <w:lef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880" w:type="dxa"/>
            <w:vAlign w:val="bottom"/>
          </w:tcPr>
          <w:p>
            <w:pPr>
              <w:jc w:val="center"/>
              <w:ind w:left="313"/>
              <w:spacing w:after="0"/>
              <w:rPr>
                <w:sz w:val="20"/>
                <w:szCs w:val="20"/>
                <w:color w:val="auto"/>
              </w:rPr>
            </w:pPr>
            <w:r>
              <w:rPr>
                <w:rFonts w:ascii="Arial" w:cs="Arial" w:eastAsia="Arial" w:hAnsi="Arial"/>
                <w:sz w:val="13"/>
                <w:szCs w:val="13"/>
                <w:color w:val="auto"/>
              </w:rPr>
              <w:t>N/A</w:t>
            </w:r>
          </w:p>
        </w:tc>
        <w:tc>
          <w:tcPr>
            <w:tcW w:w="4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880" w:type="dxa"/>
            <w:vAlign w:val="bottom"/>
          </w:tcPr>
          <w:p>
            <w:pPr>
              <w:jc w:val="center"/>
              <w:ind w:left="333"/>
              <w:spacing w:after="0"/>
              <w:rPr>
                <w:sz w:val="20"/>
                <w:szCs w:val="20"/>
                <w:color w:val="auto"/>
              </w:rPr>
            </w:pPr>
            <w:r>
              <w:rPr>
                <w:rFonts w:ascii="Arial" w:cs="Arial" w:eastAsia="Arial" w:hAnsi="Arial"/>
                <w:sz w:val="13"/>
                <w:szCs w:val="13"/>
                <w:color w:val="auto"/>
                <w:w w:val="93"/>
              </w:rPr>
              <w:t>(Pending as of 6/19/2017)</w:t>
            </w:r>
          </w:p>
        </w:tc>
        <w:tc>
          <w:tcPr>
            <w:tcW w:w="42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(Pending as of 6/19/2017)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rPr>
              <w:t>USALIVE</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5/25/2004</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2,845,393</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INTELLIGENT VENDING</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6/16/2009</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3,641,380</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rPr>
              <w:t>VM2IQ</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8/15/2006</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3,130,828</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rPr>
              <w:t>CM2IQ</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8/15/2006</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3,130,829</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9"/>
              </w:rPr>
              <w:t>ENERGYMISER</w:t>
            </w:r>
          </w:p>
        </w:tc>
        <w:tc>
          <w:tcPr>
            <w:tcW w:w="1880" w:type="dxa"/>
            <w:vAlign w:val="bottom"/>
            <w:tcBorders>
              <w:bottom w:val="single" w:sz="8" w:color="auto"/>
            </w:tcBorders>
          </w:tcPr>
          <w:p>
            <w:pPr>
              <w:jc w:val="center"/>
              <w:ind w:left="333"/>
              <w:spacing w:after="0" w:line="117" w:lineRule="exact"/>
              <w:rPr>
                <w:sz w:val="20"/>
                <w:szCs w:val="20"/>
                <w:color w:val="auto"/>
              </w:rPr>
            </w:pPr>
            <w:r>
              <w:rPr>
                <w:rFonts w:ascii="Arial" w:cs="Arial" w:eastAsia="Arial" w:hAnsi="Arial"/>
                <w:sz w:val="13"/>
                <w:szCs w:val="13"/>
                <w:color w:val="auto"/>
                <w:w w:val="94"/>
              </w:rPr>
              <w:t>5/6/2008</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3,424,496</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9"/>
              </w:rPr>
              <w:t>BLUE LIGHT SEQUENCE</w:t>
            </w:r>
          </w:p>
        </w:tc>
        <w:tc>
          <w:tcPr>
            <w:tcW w:w="18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6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880" w:type="dxa"/>
            <w:vAlign w:val="bottom"/>
          </w:tcPr>
          <w:p>
            <w:pPr>
              <w:jc w:val="center"/>
              <w:ind w:left="333"/>
              <w:spacing w:after="0"/>
              <w:rPr>
                <w:sz w:val="20"/>
                <w:szCs w:val="20"/>
                <w:color w:val="auto"/>
              </w:rPr>
            </w:pPr>
            <w:r>
              <w:rPr>
                <w:rFonts w:ascii="Arial" w:cs="Arial" w:eastAsia="Arial" w:hAnsi="Arial"/>
                <w:sz w:val="13"/>
                <w:szCs w:val="13"/>
                <w:color w:val="auto"/>
                <w:w w:val="92"/>
              </w:rPr>
              <w:t>12/11/2007</w:t>
            </w:r>
          </w:p>
        </w:tc>
        <w:tc>
          <w:tcPr>
            <w:tcW w:w="4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3,352,247</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6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9"/>
              </w:rPr>
              <w:t>BLUE LIGHT SEQUENCE</w:t>
            </w:r>
          </w:p>
        </w:tc>
        <w:tc>
          <w:tcPr>
            <w:tcW w:w="18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880" w:type="dxa"/>
            <w:vAlign w:val="bottom"/>
          </w:tcPr>
          <w:p>
            <w:pPr>
              <w:jc w:val="center"/>
              <w:ind w:left="313"/>
              <w:spacing w:after="0"/>
              <w:rPr>
                <w:sz w:val="20"/>
                <w:szCs w:val="20"/>
                <w:color w:val="auto"/>
              </w:rPr>
            </w:pPr>
            <w:r>
              <w:rPr>
                <w:rFonts w:ascii="Arial" w:cs="Arial" w:eastAsia="Arial" w:hAnsi="Arial"/>
                <w:sz w:val="13"/>
                <w:szCs w:val="13"/>
                <w:color w:val="auto"/>
              </w:rPr>
              <w:t>N/A</w:t>
            </w:r>
          </w:p>
        </w:tc>
        <w:tc>
          <w:tcPr>
            <w:tcW w:w="42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880" w:type="dxa"/>
            <w:vAlign w:val="bottom"/>
          </w:tcPr>
          <w:p>
            <w:pPr>
              <w:jc w:val="center"/>
              <w:ind w:left="333"/>
              <w:spacing w:after="0"/>
              <w:rPr>
                <w:sz w:val="20"/>
                <w:szCs w:val="20"/>
                <w:color w:val="auto"/>
              </w:rPr>
            </w:pPr>
            <w:r>
              <w:rPr>
                <w:rFonts w:ascii="Arial" w:cs="Arial" w:eastAsia="Arial" w:hAnsi="Arial"/>
                <w:sz w:val="13"/>
                <w:szCs w:val="13"/>
                <w:color w:val="auto"/>
                <w:w w:val="93"/>
              </w:rPr>
              <w:t>(Published as of 6/19/2017)</w:t>
            </w:r>
          </w:p>
        </w:tc>
        <w:tc>
          <w:tcPr>
            <w:tcW w:w="42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(Published as of 6/19/2017)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440" w:type="dxa"/>
            <w:vAlign w:val="bottom"/>
            <w:tcBorders>
              <w:left w:val="single" w:sz="8" w:color="auto"/>
              <w:right w:val="single" w:sz="8" w:color="auto"/>
            </w:tcBorders>
            <w:gridSpan w:val="2"/>
          </w:tcPr>
          <w:p>
            <w:pPr>
              <w:jc w:val="center"/>
              <w:spacing w:after="0" w:line="99" w:lineRule="exact"/>
              <w:rPr>
                <w:sz w:val="20"/>
                <w:szCs w:val="20"/>
                <w:color w:val="auto"/>
              </w:rPr>
            </w:pPr>
            <w:r>
              <w:rPr>
                <w:rFonts w:ascii="Arial" w:cs="Arial" w:eastAsia="Arial" w:hAnsi="Arial"/>
                <w:sz w:val="11"/>
                <w:szCs w:val="11"/>
                <w:color w:val="auto"/>
              </w:rPr>
              <w:t>CREATING VALUE THROUGH</w:t>
            </w:r>
          </w:p>
        </w:tc>
        <w:tc>
          <w:tcPr>
            <w:tcW w:w="1880" w:type="dxa"/>
            <w:vAlign w:val="bottom"/>
            <w:vMerge w:val="restart"/>
          </w:tcPr>
          <w:p>
            <w:pPr>
              <w:jc w:val="center"/>
              <w:ind w:left="333"/>
              <w:spacing w:after="0"/>
              <w:rPr>
                <w:sz w:val="20"/>
                <w:szCs w:val="20"/>
                <w:color w:val="auto"/>
              </w:rPr>
            </w:pPr>
            <w:r>
              <w:rPr>
                <w:rFonts w:ascii="Arial" w:cs="Arial" w:eastAsia="Arial" w:hAnsi="Arial"/>
                <w:sz w:val="13"/>
                <w:szCs w:val="13"/>
                <w:color w:val="auto"/>
                <w:w w:val="94"/>
              </w:rPr>
              <w:t>5/8/2012</w:t>
            </w:r>
          </w:p>
        </w:tc>
        <w:tc>
          <w:tcPr>
            <w:tcW w:w="42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4,139,315</w:t>
            </w: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vMerge w:val="restart"/>
          </w:tcPr>
          <w:p>
            <w:pPr>
              <w:jc w:val="center"/>
              <w:ind w:right="713"/>
              <w:spacing w:after="0" w:line="146" w:lineRule="exact"/>
              <w:rPr>
                <w:sz w:val="20"/>
                <w:szCs w:val="20"/>
                <w:color w:val="auto"/>
              </w:rPr>
            </w:pPr>
            <w:r>
              <w:rPr>
                <w:rFonts w:ascii="Arial" w:cs="Arial" w:eastAsia="Arial" w:hAnsi="Arial"/>
                <w:sz w:val="13"/>
                <w:szCs w:val="13"/>
                <w:color w:val="auto"/>
              </w:rPr>
              <w:t>INNOVATION</w:t>
            </w:r>
          </w:p>
        </w:tc>
        <w:tc>
          <w:tcPr>
            <w:tcW w:w="1880" w:type="dxa"/>
            <w:vAlign w:val="bottom"/>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60" w:type="dxa"/>
            <w:vAlign w:val="bottom"/>
            <w:tcBorders>
              <w:left w:val="single" w:sz="8" w:color="auto"/>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vMerge w:val="continue"/>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5"/>
              </w:rPr>
              <w:t>EPORT CONNECT</w:t>
            </w:r>
          </w:p>
        </w:tc>
        <w:tc>
          <w:tcPr>
            <w:tcW w:w="1880" w:type="dxa"/>
            <w:vAlign w:val="bottom"/>
            <w:tcBorders>
              <w:bottom w:val="single" w:sz="8" w:color="auto"/>
            </w:tcBorders>
          </w:tcPr>
          <w:p>
            <w:pPr>
              <w:jc w:val="center"/>
              <w:ind w:left="333"/>
              <w:spacing w:after="0" w:line="117" w:lineRule="exact"/>
              <w:rPr>
                <w:sz w:val="20"/>
                <w:szCs w:val="20"/>
                <w:color w:val="auto"/>
              </w:rPr>
            </w:pPr>
            <w:r>
              <w:rPr>
                <w:rFonts w:ascii="Arial" w:cs="Arial" w:eastAsia="Arial" w:hAnsi="Arial"/>
                <w:sz w:val="13"/>
                <w:szCs w:val="13"/>
                <w:color w:val="auto"/>
                <w:w w:val="94"/>
              </w:rPr>
              <w:t>7/8/2008</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3,462,181</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w w:val="93"/>
              </w:rPr>
              <w:t>ESUDS</w:t>
            </w:r>
          </w:p>
        </w:tc>
        <w:tc>
          <w:tcPr>
            <w:tcW w:w="1880" w:type="dxa"/>
            <w:vAlign w:val="bottom"/>
            <w:tcBorders>
              <w:bottom w:val="single" w:sz="8" w:color="auto"/>
            </w:tcBorders>
          </w:tcPr>
          <w:p>
            <w:pPr>
              <w:jc w:val="center"/>
              <w:ind w:left="333"/>
              <w:spacing w:after="0" w:line="117" w:lineRule="exact"/>
              <w:rPr>
                <w:sz w:val="20"/>
                <w:szCs w:val="20"/>
                <w:color w:val="auto"/>
              </w:rPr>
            </w:pPr>
            <w:r>
              <w:rPr>
                <w:rFonts w:ascii="Arial" w:cs="Arial" w:eastAsia="Arial" w:hAnsi="Arial"/>
                <w:sz w:val="13"/>
                <w:szCs w:val="13"/>
                <w:color w:val="auto"/>
                <w:w w:val="92"/>
              </w:rPr>
              <w:t>11/18/2008</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006428239</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w w:val="93"/>
              </w:rPr>
              <w:t>ESUDS</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6/18/2013</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4,354,183</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3"/>
              </w:rPr>
              <w:t>EPORT EDGE</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3/23/2010</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3,764,912</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8"/>
              </w:rPr>
              <w:t>EPORT MOBILE</w:t>
            </w:r>
          </w:p>
        </w:tc>
        <w:tc>
          <w:tcPr>
            <w:tcW w:w="1880" w:type="dxa"/>
            <w:vAlign w:val="bottom"/>
            <w:tcBorders>
              <w:bottom w:val="single" w:sz="8" w:color="auto"/>
            </w:tcBorders>
          </w:tcPr>
          <w:p>
            <w:pPr>
              <w:jc w:val="center"/>
              <w:ind w:left="333"/>
              <w:spacing w:after="0" w:line="117" w:lineRule="exact"/>
              <w:rPr>
                <w:sz w:val="20"/>
                <w:szCs w:val="20"/>
                <w:color w:val="auto"/>
              </w:rPr>
            </w:pPr>
            <w:r>
              <w:rPr>
                <w:rFonts w:ascii="Arial" w:cs="Arial" w:eastAsia="Arial" w:hAnsi="Arial"/>
                <w:sz w:val="13"/>
                <w:szCs w:val="13"/>
                <w:color w:val="auto"/>
                <w:w w:val="94"/>
              </w:rPr>
              <w:t>6/3/2014</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4,542,131</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8"/>
              </w:rPr>
              <w:t>EPORT MOBILE &amp; Design</w:t>
            </w:r>
          </w:p>
        </w:tc>
        <w:tc>
          <w:tcPr>
            <w:tcW w:w="18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76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880" w:type="dxa"/>
            <w:vAlign w:val="bottom"/>
          </w:tcPr>
          <w:p>
            <w:pPr>
              <w:jc w:val="center"/>
              <w:ind w:left="313"/>
              <w:spacing w:after="0"/>
              <w:rPr>
                <w:sz w:val="20"/>
                <w:szCs w:val="20"/>
                <w:color w:val="auto"/>
              </w:rPr>
            </w:pPr>
            <w:r>
              <w:rPr>
                <w:rFonts w:ascii="Arial" w:cs="Arial" w:eastAsia="Arial" w:hAnsi="Arial"/>
                <w:sz w:val="13"/>
                <w:szCs w:val="13"/>
                <w:color w:val="auto"/>
                <w:w w:val="93"/>
              </w:rPr>
              <w:t>3/31/2015</w:t>
            </w:r>
          </w:p>
        </w:tc>
        <w:tc>
          <w:tcPr>
            <w:tcW w:w="4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4,713,726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6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3"/>
              </w:rPr>
              <w:t>EPORT GO</w:t>
            </w:r>
          </w:p>
        </w:tc>
        <w:tc>
          <w:tcPr>
            <w:tcW w:w="1880" w:type="dxa"/>
            <w:vAlign w:val="bottom"/>
            <w:tcBorders>
              <w:bottom w:val="single" w:sz="8" w:color="auto"/>
            </w:tcBorders>
          </w:tcPr>
          <w:p>
            <w:pPr>
              <w:jc w:val="center"/>
              <w:ind w:left="313"/>
              <w:spacing w:after="0" w:line="117" w:lineRule="exact"/>
              <w:rPr>
                <w:sz w:val="20"/>
                <w:szCs w:val="20"/>
                <w:color w:val="auto"/>
              </w:rPr>
            </w:pPr>
            <w:r>
              <w:rPr>
                <w:rFonts w:ascii="Arial" w:cs="Arial" w:eastAsia="Arial" w:hAnsi="Arial"/>
                <w:sz w:val="13"/>
                <w:szCs w:val="13"/>
                <w:color w:val="auto"/>
                <w:w w:val="93"/>
              </w:rPr>
              <w:t>4/15/2014</w:t>
            </w:r>
          </w:p>
        </w:tc>
        <w:tc>
          <w:tcPr>
            <w:tcW w:w="4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4,513,884</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jc w:val="right"/>
              <w:ind w:right="213"/>
              <w:spacing w:after="0"/>
              <w:rPr>
                <w:sz w:val="20"/>
                <w:szCs w:val="20"/>
                <w:color w:val="auto"/>
              </w:rPr>
            </w:pPr>
            <w:r>
              <w:rPr>
                <w:rFonts w:ascii="Arial" w:cs="Arial" w:eastAsia="Arial" w:hAnsi="Arial"/>
                <w:sz w:val="13"/>
                <w:szCs w:val="13"/>
                <w:color w:val="auto"/>
                <w:w w:val="82"/>
              </w:rPr>
              <w:t>20</w:t>
            </w:r>
          </w:p>
        </w:tc>
        <w:tc>
          <w:tcPr>
            <w:tcW w:w="2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-3514725</wp:posOffset>
            </wp:positionV>
            <wp:extent cx="967105" cy="2260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67105" cy="226060"/>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-2593975</wp:posOffset>
            </wp:positionV>
            <wp:extent cx="753110" cy="318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3110" cy="31877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-2020570</wp:posOffset>
            </wp:positionV>
            <wp:extent cx="967105" cy="2546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67105" cy="25463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-914400</wp:posOffset>
            </wp:positionV>
            <wp:extent cx="967105" cy="417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67105" cy="41719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9" w:name="page200"/>
    <w:bookmarkEnd w:id="199"/>
    <w:tbl>
      <w:tblPr>
        <w:tblLayout w:type="fixed"/>
        <w:tblInd w:w="130" w:type="dxa"/>
        <w:tblCellMar>
          <w:top w:w="0" w:type="dxa"/>
          <w:left w:w="0" w:type="dxa"/>
          <w:bottom w:w="0" w:type="dxa"/>
          <w:right w:w="0" w:type="dxa"/>
        </w:tblCellMar>
      </w:tblPr>
      <w:tr>
        <w:trPr>
          <w:trHeight w:val="259"/>
        </w:trPr>
        <w:tc>
          <w:tcPr>
            <w:tcW w:w="2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USA TECHNOLOGIES &amp; DESIGN</w:t>
            </w:r>
          </w:p>
        </w:tc>
        <w:tc>
          <w:tcPr>
            <w:tcW w:w="1860" w:type="dxa"/>
            <w:vAlign w:val="bottom"/>
            <w:tcBorders>
              <w:top w:val="single" w:sz="8" w:color="auto"/>
            </w:tcBorders>
          </w:tcPr>
          <w:p>
            <w:pPr>
              <w:spacing w:after="0"/>
              <w:rPr>
                <w:sz w:val="22"/>
                <w:szCs w:val="22"/>
                <w:color w:val="auto"/>
              </w:rPr>
            </w:pPr>
          </w:p>
        </w:tc>
        <w:tc>
          <w:tcPr>
            <w:tcW w:w="420" w:type="dxa"/>
            <w:vAlign w:val="bottom"/>
            <w:tcBorders>
              <w:top w:val="single" w:sz="8" w:color="auto"/>
              <w:right w:val="single" w:sz="8" w:color="auto"/>
            </w:tcBorders>
          </w:tcPr>
          <w:p>
            <w:pPr>
              <w:spacing w:after="0"/>
              <w:rPr>
                <w:sz w:val="22"/>
                <w:szCs w:val="22"/>
                <w:color w:val="auto"/>
              </w:rPr>
            </w:pPr>
          </w:p>
        </w:tc>
        <w:tc>
          <w:tcPr>
            <w:tcW w:w="2320" w:type="dxa"/>
            <w:vAlign w:val="bottom"/>
            <w:tcBorders>
              <w:top w:val="single" w:sz="8" w:color="auto"/>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2"/>
        </w:trPr>
        <w:tc>
          <w:tcPr>
            <w:tcW w:w="2440" w:type="dxa"/>
            <w:vAlign w:val="bottom"/>
            <w:tcBorders>
              <w:left w:val="single" w:sz="8" w:color="auto"/>
              <w:right w:val="single" w:sz="8" w:color="auto"/>
            </w:tcBorders>
          </w:tcPr>
          <w:p>
            <w:pPr>
              <w:spacing w:after="0"/>
              <w:rPr>
                <w:sz w:val="24"/>
                <w:szCs w:val="24"/>
                <w:color w:val="auto"/>
              </w:rPr>
            </w:pPr>
          </w:p>
        </w:tc>
        <w:tc>
          <w:tcPr>
            <w:tcW w:w="1860" w:type="dxa"/>
            <w:vAlign w:val="bottom"/>
          </w:tcPr>
          <w:p>
            <w:pPr>
              <w:jc w:val="center"/>
              <w:ind w:left="334"/>
              <w:spacing w:after="0"/>
              <w:rPr>
                <w:sz w:val="20"/>
                <w:szCs w:val="20"/>
                <w:color w:val="auto"/>
              </w:rPr>
            </w:pPr>
            <w:r>
              <w:rPr>
                <w:rFonts w:ascii="Arial" w:cs="Arial" w:eastAsia="Arial" w:hAnsi="Arial"/>
                <w:sz w:val="13"/>
                <w:szCs w:val="13"/>
                <w:color w:val="auto"/>
                <w:w w:val="93"/>
              </w:rPr>
              <w:t>2/23/2016</w:t>
            </w:r>
          </w:p>
        </w:tc>
        <w:tc>
          <w:tcPr>
            <w:tcW w:w="4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4,903,756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7"/>
              </w:rPr>
              <w:t>VENDSCREEN</w:t>
            </w:r>
          </w:p>
        </w:tc>
        <w:tc>
          <w:tcPr>
            <w:tcW w:w="1860" w:type="dxa"/>
            <w:vAlign w:val="bottom"/>
            <w:tcBorders>
              <w:bottom w:val="single" w:sz="8" w:color="auto"/>
            </w:tcBorders>
          </w:tcPr>
          <w:p>
            <w:pPr>
              <w:jc w:val="center"/>
              <w:ind w:left="314"/>
              <w:spacing w:after="0" w:line="117" w:lineRule="exact"/>
              <w:rPr>
                <w:sz w:val="20"/>
                <w:szCs w:val="20"/>
                <w:color w:val="auto"/>
              </w:rPr>
            </w:pPr>
            <w:r>
              <w:rPr>
                <w:rFonts w:ascii="Arial" w:cs="Arial" w:eastAsia="Arial" w:hAnsi="Arial"/>
                <w:sz w:val="13"/>
                <w:szCs w:val="13"/>
                <w:color w:val="auto"/>
                <w:w w:val="94"/>
              </w:rPr>
              <w:t>4/7/2015</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4,716,736</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7"/>
              </w:rPr>
              <w:t>VENDSCREEN</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10/6/2015</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4,827,283</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SNACKMISER</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1/25/2005</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2,920,610</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VENDINGMISER</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10/1/2002</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2,628,447</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PC EXPRESS</w:t>
            </w:r>
          </w:p>
        </w:tc>
        <w:tc>
          <w:tcPr>
            <w:tcW w:w="1860" w:type="dxa"/>
            <w:vAlign w:val="bottom"/>
            <w:tcBorders>
              <w:bottom w:val="single" w:sz="8" w:color="auto"/>
            </w:tcBorders>
          </w:tcPr>
          <w:p>
            <w:pPr>
              <w:jc w:val="center"/>
              <w:ind w:left="314"/>
              <w:spacing w:after="0" w:line="117" w:lineRule="exact"/>
              <w:rPr>
                <w:sz w:val="20"/>
                <w:szCs w:val="20"/>
                <w:color w:val="auto"/>
              </w:rPr>
            </w:pPr>
            <w:r>
              <w:rPr>
                <w:rFonts w:ascii="Arial" w:cs="Arial" w:eastAsia="Arial" w:hAnsi="Arial"/>
                <w:sz w:val="13"/>
                <w:szCs w:val="13"/>
                <w:color w:val="auto"/>
                <w:w w:val="92"/>
              </w:rPr>
              <w:t>12/18/2001</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2,520,390</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BUSINESS EXPRESS</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3/23/1999</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2,234,770</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BUSINESS EXPRESS</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6/21/2000</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89"/>
              </w:rPr>
              <w:t>529,642</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9"/>
              </w:rPr>
              <w:t>TRANSACT</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7/23/2002</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2,598,187</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6"/>
              </w:rPr>
              <w:t>PUBLIC PC</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6/12/2003</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89"/>
              </w:rPr>
              <w:t>583,656</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BUSINESS EXPRESS</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9/10/2003</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89"/>
              </w:rPr>
              <w:t>589,335</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EPORT</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3/25/2003</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2,700,645</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EPORT</w:t>
            </w:r>
          </w:p>
        </w:tc>
        <w:tc>
          <w:tcPr>
            <w:tcW w:w="1860" w:type="dxa"/>
            <w:vAlign w:val="bottom"/>
          </w:tcPr>
          <w:p>
            <w:pPr>
              <w:jc w:val="center"/>
              <w:ind w:left="334"/>
              <w:spacing w:after="0" w:line="99" w:lineRule="exact"/>
              <w:rPr>
                <w:sz w:val="20"/>
                <w:szCs w:val="20"/>
                <w:color w:val="auto"/>
              </w:rPr>
            </w:pPr>
            <w:r>
              <w:rPr>
                <w:rFonts w:ascii="Arial" w:cs="Arial" w:eastAsia="Arial" w:hAnsi="Arial"/>
                <w:sz w:val="11"/>
                <w:szCs w:val="11"/>
                <w:color w:val="auto"/>
              </w:rPr>
              <w:t>N/A</w:t>
            </w:r>
          </w:p>
        </w:tc>
        <w:tc>
          <w:tcPr>
            <w:tcW w:w="420" w:type="dxa"/>
            <w:vAlign w:val="bottom"/>
            <w:tcBorders>
              <w:right w:val="single" w:sz="8" w:color="auto"/>
            </w:tcBorders>
          </w:tcPr>
          <w:p>
            <w:pPr>
              <w:spacing w:after="0"/>
              <w:rPr>
                <w:sz w:val="8"/>
                <w:szCs w:val="8"/>
                <w:color w:val="auto"/>
              </w:rPr>
            </w:pPr>
          </w:p>
        </w:tc>
        <w:tc>
          <w:tcPr>
            <w:tcW w:w="23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color w:val="auto"/>
              </w:rPr>
              <w:t>N/A</w:t>
            </w: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4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vMerge w:val="restart"/>
          </w:tcPr>
          <w:p>
            <w:pPr>
              <w:jc w:val="center"/>
              <w:ind w:left="334"/>
              <w:spacing w:after="0" w:line="146" w:lineRule="exact"/>
              <w:rPr>
                <w:sz w:val="20"/>
                <w:szCs w:val="20"/>
                <w:color w:val="auto"/>
              </w:rPr>
            </w:pPr>
            <w:r>
              <w:rPr>
                <w:rFonts w:ascii="Arial" w:cs="Arial" w:eastAsia="Arial" w:hAnsi="Arial"/>
                <w:sz w:val="13"/>
                <w:szCs w:val="13"/>
                <w:color w:val="auto"/>
                <w:w w:val="96"/>
              </w:rPr>
              <w:t>(Allowed as of 6/19/2017)</w:t>
            </w:r>
          </w:p>
        </w:tc>
        <w:tc>
          <w:tcPr>
            <w:tcW w:w="42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6"/>
              </w:rPr>
              <w:t>(Allowed as of 6/19/2017)</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tcBorders>
            <w:vMerge w:val="continue"/>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EPORT</w:t>
            </w:r>
          </w:p>
        </w:tc>
        <w:tc>
          <w:tcPr>
            <w:tcW w:w="1860" w:type="dxa"/>
            <w:vAlign w:val="bottom"/>
            <w:tcBorders>
              <w:bottom w:val="single" w:sz="8" w:color="auto"/>
            </w:tcBorders>
          </w:tcPr>
          <w:p>
            <w:pPr>
              <w:jc w:val="center"/>
              <w:ind w:left="334"/>
              <w:spacing w:after="0" w:line="117" w:lineRule="exact"/>
              <w:rPr>
                <w:sz w:val="20"/>
                <w:szCs w:val="20"/>
                <w:color w:val="auto"/>
              </w:rPr>
            </w:pPr>
            <w:r>
              <w:rPr>
                <w:rFonts w:ascii="Arial" w:cs="Arial" w:eastAsia="Arial" w:hAnsi="Arial"/>
                <w:sz w:val="13"/>
                <w:szCs w:val="13"/>
                <w:color w:val="auto"/>
                <w:w w:val="93"/>
              </w:rPr>
              <w:t>6/10/2003</w:t>
            </w:r>
          </w:p>
        </w:tc>
        <w:tc>
          <w:tcPr>
            <w:tcW w:w="42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2,724,498</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2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jc w:val="right"/>
              <w:ind w:right="193"/>
              <w:spacing w:after="0"/>
              <w:rPr>
                <w:sz w:val="20"/>
                <w:szCs w:val="20"/>
                <w:color w:val="auto"/>
              </w:rPr>
            </w:pPr>
            <w:r>
              <w:rPr>
                <w:rFonts w:ascii="Arial" w:cs="Arial" w:eastAsia="Arial" w:hAnsi="Arial"/>
                <w:sz w:val="13"/>
                <w:szCs w:val="13"/>
                <w:color w:val="auto"/>
                <w:w w:val="96"/>
              </w:rPr>
              <w:t>21</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44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-2252345</wp:posOffset>
            </wp:positionV>
            <wp:extent cx="967105" cy="538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7105" cy="53848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00" w:name="page201"/>
    <w:bookmarkEnd w:id="200"/>
    <w:p>
      <w:pPr>
        <w:jc w:val="right"/>
        <w:ind w:right="3959"/>
        <w:spacing w:after="0"/>
        <w:rPr>
          <w:sz w:val="20"/>
          <w:szCs w:val="20"/>
          <w:color w:val="auto"/>
        </w:rPr>
      </w:pPr>
      <w:r>
        <w:rPr>
          <w:rFonts w:ascii="Arial" w:cs="Arial" w:eastAsia="Arial" w:hAnsi="Arial"/>
          <w:sz w:val="15"/>
          <w:szCs w:val="15"/>
          <w:b w:val="1"/>
          <w:bCs w:val="1"/>
          <w:color w:val="auto"/>
        </w:rPr>
        <w:t>SCHEDULE 3.06</w:t>
      </w:r>
    </w:p>
    <w:p>
      <w:pPr>
        <w:spacing w:after="0" w:line="7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Disclosed Matters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2"/>
          <w:szCs w:val="12"/>
          <w:b w:val="1"/>
          <w:bCs w:val="1"/>
          <w:color w:val="auto"/>
        </w:rPr>
        <w:t>SCHEDULE 3.09</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Taxes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13"/>
          <w:szCs w:val="13"/>
          <w:b w:val="1"/>
          <w:bCs w:val="1"/>
          <w:color w:val="auto"/>
        </w:rPr>
        <w:t>SCHEDULE 3.12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Material Agreements</w:t>
      </w:r>
    </w:p>
    <w:p>
      <w:pPr>
        <w:spacing w:after="0" w:line="124" w:lineRule="exact"/>
        <w:rPr>
          <w:sz w:val="20"/>
          <w:szCs w:val="20"/>
          <w:color w:val="auto"/>
        </w:rPr>
      </w:pPr>
    </w:p>
    <w:p>
      <w:pPr>
        <w:ind w:left="360" w:hanging="236"/>
        <w:spacing w:after="0"/>
        <w:tabs>
          <w:tab w:leader="none" w:pos="3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Amended and Restated Employment and Non-Competition Agreement dated November 30, 2011 (See Exhibit 10.1 to Form 8 K filed December 5, 2011).</w:t>
      </w:r>
    </w:p>
    <w:p>
      <w:pPr>
        <w:spacing w:after="0" w:line="135" w:lineRule="exact"/>
        <w:rPr>
          <w:rFonts w:ascii="Arial" w:cs="Arial" w:eastAsia="Arial" w:hAnsi="Arial"/>
          <w:sz w:val="12"/>
          <w:szCs w:val="12"/>
          <w:color w:val="auto"/>
        </w:rPr>
      </w:pPr>
    </w:p>
    <w:p>
      <w:pPr>
        <w:ind w:left="360" w:hanging="236"/>
        <w:spacing w:after="0"/>
        <w:tabs>
          <w:tab w:leader="none" w:pos="36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Employment and Non-Competition Agreement dated June 7, 2010 (See Exhibit 10.22 to Form 10 K filed on September 30, 2013).</w:t>
      </w:r>
    </w:p>
    <w:p>
      <w:pPr>
        <w:spacing w:after="0" w:line="124" w:lineRule="exact"/>
        <w:rPr>
          <w:rFonts w:ascii="Arial" w:cs="Arial" w:eastAsia="Arial" w:hAnsi="Arial"/>
          <w:sz w:val="13"/>
          <w:szCs w:val="13"/>
          <w:color w:val="auto"/>
        </w:rPr>
      </w:pPr>
    </w:p>
    <w:p>
      <w:pPr>
        <w:ind w:left="360" w:hanging="236"/>
        <w:spacing w:after="0"/>
        <w:tabs>
          <w:tab w:leader="none" w:pos="3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First Amendment to Employment and Non-Competition Agreement dated April 27, 2012 (See Exhibit 10.23 to Form 10 K filed on September 30, 2013).</w:t>
      </w:r>
    </w:p>
    <w:p>
      <w:pPr>
        <w:spacing w:after="0" w:line="135" w:lineRule="exact"/>
        <w:rPr>
          <w:rFonts w:ascii="Arial" w:cs="Arial" w:eastAsia="Arial" w:hAnsi="Arial"/>
          <w:sz w:val="12"/>
          <w:szCs w:val="12"/>
          <w:color w:val="auto"/>
        </w:rPr>
      </w:pPr>
    </w:p>
    <w:p>
      <w:pPr>
        <w:ind w:left="360" w:hanging="236"/>
        <w:spacing w:after="0"/>
        <w:tabs>
          <w:tab w:leader="none" w:pos="3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Second Amendment Employment and Non-Competition Agreement dated as of April 29, 2016 (See Exhibit 10.19 to Form 10-K filed on September 13, 2016).</w:t>
      </w:r>
    </w:p>
    <w:p>
      <w:pPr>
        <w:spacing w:after="0" w:line="135" w:lineRule="exact"/>
        <w:rPr>
          <w:rFonts w:ascii="Arial" w:cs="Arial" w:eastAsia="Arial" w:hAnsi="Arial"/>
          <w:sz w:val="12"/>
          <w:szCs w:val="12"/>
          <w:color w:val="auto"/>
        </w:rPr>
      </w:pPr>
    </w:p>
    <w:p>
      <w:pPr>
        <w:ind w:left="360" w:hanging="236"/>
        <w:spacing w:after="0"/>
        <w:tabs>
          <w:tab w:leader="none" w:pos="36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Letter agreement dated January 27, 2016 (See Exhibit 10.2 to Form 8-K filed January 28, 2016).</w:t>
      </w:r>
    </w:p>
    <w:p>
      <w:pPr>
        <w:spacing w:after="0" w:line="124" w:lineRule="exact"/>
        <w:rPr>
          <w:rFonts w:ascii="Arial" w:cs="Arial" w:eastAsia="Arial" w:hAnsi="Arial"/>
          <w:sz w:val="13"/>
          <w:szCs w:val="13"/>
          <w:color w:val="auto"/>
        </w:rPr>
      </w:pPr>
    </w:p>
    <w:p>
      <w:pPr>
        <w:ind w:left="360" w:hanging="236"/>
        <w:spacing w:after="0"/>
        <w:tabs>
          <w:tab w:leader="none" w:pos="36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Letter agreement dated September 28, 2016 (See Exhibit 10.1 to Form 8-K filed October 4, 2016).</w:t>
      </w:r>
    </w:p>
    <w:p>
      <w:pPr>
        <w:spacing w:after="0" w:line="124" w:lineRule="exact"/>
        <w:rPr>
          <w:rFonts w:ascii="Arial" w:cs="Arial" w:eastAsia="Arial" w:hAnsi="Arial"/>
          <w:sz w:val="13"/>
          <w:szCs w:val="13"/>
          <w:color w:val="auto"/>
        </w:rPr>
      </w:pPr>
    </w:p>
    <w:p>
      <w:pPr>
        <w:ind w:left="360" w:hanging="236"/>
        <w:spacing w:after="0"/>
        <w:tabs>
          <w:tab w:leader="none" w:pos="36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Employment Offer Letter dated as of March 10, 2017 (See Exhibit 10.1 to Form 8-K filed March 28, 2017).</w:t>
      </w:r>
    </w:p>
    <w:p>
      <w:pPr>
        <w:spacing w:after="0" w:line="124" w:lineRule="exact"/>
        <w:rPr>
          <w:rFonts w:ascii="Arial" w:cs="Arial" w:eastAsia="Arial" w:hAnsi="Arial"/>
          <w:sz w:val="13"/>
          <w:szCs w:val="13"/>
          <w:color w:val="auto"/>
        </w:rPr>
      </w:pPr>
    </w:p>
    <w:p>
      <w:pPr>
        <w:ind w:left="340" w:right="119" w:hanging="216"/>
        <w:spacing w:after="0" w:line="254" w:lineRule="auto"/>
        <w:tabs>
          <w:tab w:leader="none" w:pos="358" w:val="left"/>
        </w:tabs>
        <w:numPr>
          <w:ilvl w:val="0"/>
          <w:numId w:val="182"/>
        </w:numPr>
        <w:rPr>
          <w:rFonts w:ascii="Arial" w:cs="Arial" w:eastAsia="Arial" w:hAnsi="Arial"/>
          <w:sz w:val="13"/>
          <w:szCs w:val="13"/>
          <w:color w:val="auto"/>
        </w:rPr>
      </w:pPr>
      <w:r>
        <w:rPr>
          <w:rFonts w:ascii="Arial" w:cs="Arial" w:eastAsia="Arial" w:hAnsi="Arial"/>
          <w:sz w:val="13"/>
          <w:szCs w:val="13"/>
          <w:color w:val="auto"/>
        </w:rPr>
        <w:t>Visa Incentive Agreement dated as of November 14, 2014 (See Exhibit 10.1 to Form 10 Q filed February 17, 2015; Portions of this exhibit were redacted pursuant to a confidential treatment request).</w:t>
      </w:r>
    </w:p>
    <w:p>
      <w:pPr>
        <w:spacing w:after="0" w:line="93" w:lineRule="exact"/>
        <w:rPr>
          <w:rFonts w:ascii="Arial" w:cs="Arial" w:eastAsia="Arial" w:hAnsi="Arial"/>
          <w:sz w:val="13"/>
          <w:szCs w:val="13"/>
          <w:color w:val="auto"/>
        </w:rPr>
      </w:pPr>
    </w:p>
    <w:p>
      <w:pPr>
        <w:ind w:left="340" w:right="119" w:hanging="216"/>
        <w:spacing w:after="0" w:line="254" w:lineRule="auto"/>
        <w:tabs>
          <w:tab w:leader="none" w:pos="358" w:val="left"/>
        </w:tabs>
        <w:numPr>
          <w:ilvl w:val="0"/>
          <w:numId w:val="182"/>
        </w:numPr>
        <w:rPr>
          <w:rFonts w:ascii="Arial" w:cs="Arial" w:eastAsia="Arial" w:hAnsi="Arial"/>
          <w:sz w:val="13"/>
          <w:szCs w:val="13"/>
          <w:color w:val="auto"/>
        </w:rPr>
      </w:pPr>
      <w:r>
        <w:rPr>
          <w:rFonts w:ascii="Arial" w:cs="Arial" w:eastAsia="Arial" w:hAnsi="Arial"/>
          <w:sz w:val="13"/>
          <w:szCs w:val="13"/>
          <w:color w:val="auto"/>
        </w:rPr>
        <w:t>Mastercard Acceptance Agreement (See Exhibit 10.2 to Form 10 Q filed May 15, 2015; Portions of this exhibit were redacted pursuant to a confidential treatment request).</w:t>
      </w:r>
    </w:p>
    <w:p>
      <w:pPr>
        <w:spacing w:after="0" w:line="93" w:lineRule="exact"/>
        <w:rPr>
          <w:rFonts w:ascii="Arial" w:cs="Arial" w:eastAsia="Arial" w:hAnsi="Arial"/>
          <w:sz w:val="13"/>
          <w:szCs w:val="13"/>
          <w:color w:val="auto"/>
        </w:rPr>
      </w:pPr>
    </w:p>
    <w:p>
      <w:pPr>
        <w:ind w:left="340" w:right="119" w:hanging="216"/>
        <w:spacing w:after="0" w:line="254" w:lineRule="auto"/>
        <w:tabs>
          <w:tab w:leader="none" w:pos="379" w:val="left"/>
        </w:tabs>
        <w:numPr>
          <w:ilvl w:val="0"/>
          <w:numId w:val="182"/>
        </w:numPr>
        <w:rPr>
          <w:rFonts w:ascii="Arial" w:cs="Arial" w:eastAsia="Arial" w:hAnsi="Arial"/>
          <w:sz w:val="13"/>
          <w:szCs w:val="13"/>
          <w:color w:val="auto"/>
        </w:rPr>
      </w:pPr>
      <w:r>
        <w:rPr>
          <w:rFonts w:ascii="Arial" w:cs="Arial" w:eastAsia="Arial" w:hAnsi="Arial"/>
          <w:sz w:val="13"/>
          <w:szCs w:val="13"/>
          <w:color w:val="auto"/>
        </w:rPr>
        <w:t>First Amendment to Mastercard Acceptance Agreement dated April 27, 2015 (See Exhibit 10.45 to Form 10 K filed September 30, 2015; Portions of this exhibit were redacted pursuant to a confidential treatment request).</w:t>
      </w:r>
    </w:p>
    <w:p>
      <w:pPr>
        <w:spacing w:after="0" w:line="93" w:lineRule="exact"/>
        <w:rPr>
          <w:rFonts w:ascii="Arial" w:cs="Arial" w:eastAsia="Arial" w:hAnsi="Arial"/>
          <w:sz w:val="13"/>
          <w:szCs w:val="13"/>
          <w:color w:val="auto"/>
        </w:rPr>
      </w:pPr>
    </w:p>
    <w:p>
      <w:pPr>
        <w:ind w:left="340" w:right="119" w:hanging="216"/>
        <w:spacing w:after="0" w:line="254" w:lineRule="auto"/>
        <w:tabs>
          <w:tab w:leader="none" w:pos="374"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Third Party Payment Processor Agreement dated April 24, 2015 (See Exhibit 10.46 to Form 10 K filed September 30, 2015; Portions of this exhibit were redacted pursuant to a confidential treatment request).</w:t>
      </w:r>
    </w:p>
    <w:p>
      <w:pPr>
        <w:spacing w:after="0" w:line="93" w:lineRule="exact"/>
        <w:rPr>
          <w:rFonts w:ascii="Arial" w:cs="Arial" w:eastAsia="Arial" w:hAnsi="Arial"/>
          <w:sz w:val="13"/>
          <w:szCs w:val="13"/>
          <w:color w:val="auto"/>
        </w:rPr>
      </w:pPr>
    </w:p>
    <w:p>
      <w:pPr>
        <w:ind w:left="340" w:right="119" w:hanging="216"/>
        <w:spacing w:after="0" w:line="254" w:lineRule="auto"/>
        <w:tabs>
          <w:tab w:leader="none" w:pos="379" w:val="left"/>
        </w:tabs>
        <w:numPr>
          <w:ilvl w:val="0"/>
          <w:numId w:val="182"/>
        </w:numPr>
        <w:rPr>
          <w:rFonts w:ascii="Arial" w:cs="Arial" w:eastAsia="Arial" w:hAnsi="Arial"/>
          <w:sz w:val="13"/>
          <w:szCs w:val="13"/>
          <w:color w:val="auto"/>
        </w:rPr>
      </w:pPr>
      <w:r>
        <w:rPr>
          <w:rFonts w:ascii="Arial" w:cs="Arial" w:eastAsia="Arial" w:hAnsi="Arial"/>
          <w:sz w:val="13"/>
          <w:szCs w:val="13"/>
          <w:color w:val="auto"/>
        </w:rPr>
        <w:t>Asset Purchase Agreement dated January 15, 2016 (See Exhibit 2.1 to Form 10 Q filed May 12, 2016; Portions of this exhibit were redacted pursuant to a confidential treatment request).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3"/>
          <w:szCs w:val="13"/>
          <w:b w:val="1"/>
          <w:bCs w:val="1"/>
          <w:color w:val="auto"/>
        </w:rPr>
        <w:t>SCHEDULE 3.14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Insurance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Location Addresses: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Loc. #1 - 100 Deerfield Lane, Suite 300,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-91440</wp:posOffset>
            </wp:positionV>
            <wp:extent cx="5577205" cy="746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77205" cy="74676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3"/>
          <w:szCs w:val="13"/>
          <w:color w:val="auto"/>
        </w:rPr>
        <w:t>Loc. #2 - ***</w:t>
      </w:r>
    </w:p>
    <w:p>
      <w:pPr>
        <w:ind w:left="220"/>
        <w:spacing w:after="0" w:line="234" w:lineRule="auto"/>
        <w:rPr>
          <w:sz w:val="20"/>
          <w:szCs w:val="20"/>
          <w:color w:val="auto"/>
        </w:rPr>
      </w:pPr>
      <w:r>
        <w:rPr>
          <w:rFonts w:ascii="Arial" w:cs="Arial" w:eastAsia="Arial" w:hAnsi="Arial"/>
          <w:sz w:val="13"/>
          <w:szCs w:val="13"/>
          <w:color w:val="auto"/>
        </w:rPr>
        <w:t>Loc. #3 - ***</w:t>
      </w:r>
    </w:p>
    <w:p>
      <w:pPr>
        <w:ind w:left="220"/>
        <w:spacing w:after="0" w:line="234" w:lineRule="auto"/>
        <w:rPr>
          <w:sz w:val="20"/>
          <w:szCs w:val="20"/>
          <w:color w:val="auto"/>
        </w:rPr>
      </w:pPr>
      <w:r>
        <w:rPr>
          <w:rFonts w:ascii="Arial" w:cs="Arial" w:eastAsia="Arial" w:hAnsi="Arial"/>
          <w:sz w:val="13"/>
          <w:szCs w:val="13"/>
          <w:color w:val="auto"/>
        </w:rPr>
        <w:t>Loc. #4 - ***</w:t>
      </w:r>
    </w:p>
    <w:p>
      <w:pPr>
        <w:ind w:left="220"/>
        <w:spacing w:after="0" w:line="235" w:lineRule="auto"/>
        <w:rPr>
          <w:sz w:val="20"/>
          <w:szCs w:val="20"/>
          <w:color w:val="auto"/>
        </w:rPr>
      </w:pPr>
      <w:r>
        <w:rPr>
          <w:rFonts w:ascii="Arial" w:cs="Arial" w:eastAsia="Arial" w:hAnsi="Arial"/>
          <w:sz w:val="13"/>
          <w:szCs w:val="13"/>
          <w:color w:val="auto"/>
        </w:rPr>
        <w:t>Loc. #5 - 3103 Phoenixville Pike, Malvern, PA, 19355</w:t>
      </w:r>
    </w:p>
    <w:p>
      <w:pPr>
        <w:ind w:left="220"/>
        <w:spacing w:after="0" w:line="234" w:lineRule="auto"/>
        <w:rPr>
          <w:sz w:val="20"/>
          <w:szCs w:val="20"/>
          <w:color w:val="auto"/>
        </w:rPr>
      </w:pPr>
      <w:r>
        <w:rPr>
          <w:rFonts w:ascii="Arial" w:cs="Arial" w:eastAsia="Arial" w:hAnsi="Arial"/>
          <w:sz w:val="13"/>
          <w:szCs w:val="13"/>
          <w:color w:val="auto"/>
        </w:rPr>
        <w:t>Loc. #6 – 1618 SW First Avenue, Suite 215, Portland OR 97201</w:t>
      </w:r>
    </w:p>
    <w:p>
      <w:pPr>
        <w:ind w:left="220"/>
        <w:spacing w:after="0" w:line="234" w:lineRule="auto"/>
        <w:rPr>
          <w:sz w:val="20"/>
          <w:szCs w:val="20"/>
          <w:color w:val="auto"/>
        </w:rPr>
      </w:pPr>
      <w:r>
        <w:rPr>
          <w:rFonts w:ascii="Arial" w:cs="Arial" w:eastAsia="Arial" w:hAnsi="Arial"/>
          <w:sz w:val="13"/>
          <w:szCs w:val="13"/>
          <w:color w:val="auto"/>
        </w:rPr>
        <w:t>Loc. #7 - ***</w:t>
      </w:r>
    </w:p>
    <w:p>
      <w:pPr>
        <w:ind w:left="220"/>
        <w:spacing w:after="0"/>
        <w:rPr>
          <w:sz w:val="20"/>
          <w:szCs w:val="20"/>
          <w:color w:val="auto"/>
        </w:rPr>
      </w:pPr>
      <w:r>
        <w:rPr>
          <w:rFonts w:ascii="Arial" w:cs="Arial" w:eastAsia="Arial" w:hAnsi="Arial"/>
          <w:sz w:val="13"/>
          <w:szCs w:val="13"/>
          <w:color w:val="auto"/>
        </w:rPr>
        <w:t>Loc. #8 – 3119 Phoenixville Pike, Malvern, PA 19355</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PROPERTY</w:t>
      </w:r>
    </w:p>
    <w:tbl>
      <w:tblPr>
        <w:tblLayout w:type="fixed"/>
        <w:tblInd w:w="130" w:type="dxa"/>
        <w:tblCellMar>
          <w:top w:w="0" w:type="dxa"/>
          <w:left w:w="0" w:type="dxa"/>
          <w:bottom w:w="0" w:type="dxa"/>
          <w:right w:w="0" w:type="dxa"/>
        </w:tblCellMar>
      </w:tblPr>
      <w:tr>
        <w:trPr>
          <w:trHeight w:val="121"/>
        </w:trPr>
        <w:tc>
          <w:tcPr>
            <w:tcW w:w="100" w:type="dxa"/>
            <w:vAlign w:val="bottom"/>
            <w:tcBorders>
              <w:top w:val="single" w:sz="8" w:color="auto"/>
              <w:left w:val="single" w:sz="8" w:color="auto"/>
              <w:bottom w:val="single" w:sz="8" w:color="auto"/>
            </w:tcBorders>
          </w:tcPr>
          <w:p>
            <w:pPr>
              <w:spacing w:after="0"/>
              <w:rPr>
                <w:sz w:val="10"/>
                <w:szCs w:val="10"/>
                <w:color w:val="auto"/>
              </w:rPr>
            </w:pPr>
          </w:p>
        </w:tc>
        <w:tc>
          <w:tcPr>
            <w:tcW w:w="2580" w:type="dxa"/>
            <w:vAlign w:val="bottom"/>
            <w:tcBorders>
              <w:top w:val="single" w:sz="8" w:color="auto"/>
              <w:bottom w:val="single" w:sz="8" w:color="auto"/>
              <w:right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1540" w:type="dxa"/>
            <w:vAlign w:val="bottom"/>
            <w:tcBorders>
              <w:top w:val="single" w:sz="8" w:color="auto"/>
              <w:bottom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2015-16</w:t>
            </w:r>
          </w:p>
        </w:tc>
        <w:tc>
          <w:tcPr>
            <w:tcW w:w="1520" w:type="dxa"/>
            <w:vAlign w:val="bottom"/>
            <w:tcBorders>
              <w:top w:val="single" w:sz="8" w:color="auto"/>
              <w:bottom w:val="single" w:sz="8" w:color="auto"/>
              <w:right w:val="single" w:sz="8" w:color="auto"/>
            </w:tcBorders>
          </w:tcPr>
          <w:p>
            <w:pPr>
              <w:spacing w:after="0"/>
              <w:rPr>
                <w:sz w:val="10"/>
                <w:szCs w:val="10"/>
                <w:color w:val="auto"/>
              </w:rPr>
            </w:pPr>
          </w:p>
        </w:tc>
        <w:tc>
          <w:tcPr>
            <w:tcW w:w="3060" w:type="dxa"/>
            <w:vAlign w:val="bottom"/>
            <w:tcBorders>
              <w:top w:val="single" w:sz="8" w:color="auto"/>
              <w:bottom w:val="single" w:sz="8" w:color="auto"/>
              <w:right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2016-17</w:t>
            </w:r>
          </w:p>
        </w:tc>
      </w:tr>
      <w:tr>
        <w:trPr>
          <w:trHeight w:val="115"/>
        </w:trPr>
        <w:tc>
          <w:tcPr>
            <w:tcW w:w="100" w:type="dxa"/>
            <w:vAlign w:val="bottom"/>
            <w:tcBorders>
              <w:left w:val="single" w:sz="8" w:color="auto"/>
            </w:tcBorders>
          </w:tcPr>
          <w:p>
            <w:pPr>
              <w:spacing w:after="0"/>
              <w:rPr>
                <w:sz w:val="10"/>
                <w:szCs w:val="10"/>
                <w:color w:val="auto"/>
              </w:rPr>
            </w:pPr>
          </w:p>
        </w:tc>
        <w:tc>
          <w:tcPr>
            <w:tcW w:w="2580" w:type="dxa"/>
            <w:vAlign w:val="bottom"/>
            <w:tcBorders>
              <w:right w:val="single" w:sz="8" w:color="auto"/>
            </w:tcBorders>
            <w:gridSpan w:val="3"/>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1540" w:type="dxa"/>
            <w:vAlign w:val="bottom"/>
            <w:gridSpan w:val="3"/>
          </w:tcPr>
          <w:p>
            <w:pPr>
              <w:ind w:left="80"/>
              <w:spacing w:after="0" w:line="115" w:lineRule="exact"/>
              <w:rPr>
                <w:sz w:val="20"/>
                <w:szCs w:val="20"/>
                <w:color w:val="auto"/>
              </w:rPr>
            </w:pPr>
            <w:r>
              <w:rPr>
                <w:rFonts w:ascii="Arial" w:cs="Arial" w:eastAsia="Arial" w:hAnsi="Arial"/>
                <w:sz w:val="13"/>
                <w:szCs w:val="13"/>
                <w:color w:val="auto"/>
              </w:rPr>
              <w:t>Chubb</w:t>
            </w:r>
          </w:p>
        </w:tc>
        <w:tc>
          <w:tcPr>
            <w:tcW w:w="152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3"/>
          </w:tcPr>
          <w:p>
            <w:pPr>
              <w:ind w:left="8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w w:val="99"/>
              </w:rPr>
              <w:t>11/01/2015 – 11/01/2016</w:t>
            </w:r>
          </w:p>
        </w:tc>
        <w:tc>
          <w:tcPr>
            <w:tcW w:w="15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154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15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Blanket Personal Property and Leasehold</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Interest - Improvements and Betterments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Stock</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EDP Property</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w w:val="97"/>
              </w:rPr>
              <w:t>Blanket Business Income with Extra Expense</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Blanket Business Income with Extra Expense</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 Dependent Properties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Covered Premises - Blanket Limit Of</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Insurance</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Flood – Aggregate Limit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Earthquake – Aggregate Limit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Property In Transit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345"/>
        </w:trPr>
        <w:tc>
          <w:tcPr>
            <w:tcW w:w="2680" w:type="dxa"/>
            <w:vAlign w:val="bottom"/>
            <w:gridSpan w:val="4"/>
          </w:tcPr>
          <w:p>
            <w:pPr>
              <w:spacing w:after="0"/>
              <w:rPr>
                <w:sz w:val="20"/>
                <w:szCs w:val="20"/>
                <w:color w:val="auto"/>
              </w:rPr>
            </w:pPr>
            <w:r>
              <w:rPr>
                <w:rFonts w:ascii="Arial" w:cs="Arial" w:eastAsia="Arial" w:hAnsi="Arial"/>
                <w:sz w:val="13"/>
                <w:szCs w:val="13"/>
                <w:b w:val="1"/>
                <w:bCs w:val="1"/>
                <w:color w:val="auto"/>
              </w:rPr>
              <w:t>SECTION III</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44"/>
        </w:trPr>
        <w:tc>
          <w:tcPr>
            <w:tcW w:w="800" w:type="dxa"/>
            <w:vAlign w:val="bottom"/>
            <w:tcBorders>
              <w:top w:val="single" w:sz="8" w:color="auto"/>
              <w:bottom w:val="single" w:sz="8" w:color="auto"/>
            </w:tcBorders>
            <w:gridSpan w:val="3"/>
          </w:tcPr>
          <w:p>
            <w:pPr>
              <w:spacing w:after="0" w:line="144" w:lineRule="exact"/>
              <w:rPr>
                <w:sz w:val="20"/>
                <w:szCs w:val="20"/>
                <w:color w:val="auto"/>
              </w:rPr>
            </w:pPr>
            <w:r>
              <w:rPr>
                <w:rFonts w:ascii="Arial" w:cs="Arial" w:eastAsia="Arial" w:hAnsi="Arial"/>
                <w:sz w:val="13"/>
                <w:szCs w:val="13"/>
                <w:b w:val="1"/>
                <w:bCs w:val="1"/>
                <w:color w:val="auto"/>
              </w:rPr>
              <w:t>GENERAL</w:t>
            </w:r>
          </w:p>
        </w:tc>
        <w:tc>
          <w:tcPr>
            <w:tcW w:w="18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LIABILITY</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1540" w:type="dxa"/>
            <w:vAlign w:val="bottom"/>
            <w:gridSpan w:val="3"/>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152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1540" w:type="dxa"/>
            <w:vAlign w:val="bottom"/>
            <w:gridSpan w:val="3"/>
          </w:tcPr>
          <w:p>
            <w:pPr>
              <w:ind w:left="80"/>
              <w:spacing w:after="0" w:line="105" w:lineRule="exact"/>
              <w:rPr>
                <w:sz w:val="20"/>
                <w:szCs w:val="20"/>
                <w:color w:val="auto"/>
              </w:rPr>
            </w:pPr>
            <w:r>
              <w:rPr>
                <w:rFonts w:ascii="Arial" w:cs="Arial" w:eastAsia="Arial" w:hAnsi="Arial"/>
                <w:sz w:val="12"/>
                <w:szCs w:val="12"/>
                <w:color w:val="auto"/>
              </w:rPr>
              <w:t>Chubb</w:t>
            </w:r>
          </w:p>
        </w:tc>
        <w:tc>
          <w:tcPr>
            <w:tcW w:w="152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gridSpan w:val="3"/>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w w:val="99"/>
              </w:rPr>
              <w:t>11/01/2015 – 11/01/2016</w:t>
            </w:r>
          </w:p>
        </w:tc>
        <w:tc>
          <w:tcPr>
            <w:tcW w:w="15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11/01/2016 – 11/01/2017</w:t>
            </w:r>
          </w:p>
        </w:tc>
      </w:tr>
      <w:tr>
        <w:trPr>
          <w:trHeight w:val="430"/>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jc w:val="right"/>
              <w:ind w:right="1213"/>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59"/>
        </w:trPr>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344" w:right="1440" w:bottom="1440" w:gutter="0" w:footer="0" w:header="0"/>
        </w:sectPr>
      </w:pPr>
    </w:p>
    <w:bookmarkStart w:id="204" w:name="page205"/>
    <w:bookmarkEnd w:id="204"/>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100" w:type="dxa"/>
            <w:vAlign w:val="bottom"/>
            <w:tcBorders>
              <w:top w:val="single" w:sz="8" w:color="auto"/>
              <w:left w:val="single" w:sz="8" w:color="auto"/>
            </w:tcBorders>
          </w:tcPr>
          <w:p>
            <w:pPr>
              <w:spacing w:after="0"/>
              <w:rPr>
                <w:sz w:val="15"/>
                <w:szCs w:val="15"/>
                <w:color w:val="auto"/>
              </w:rPr>
            </w:pPr>
          </w:p>
        </w:tc>
        <w:tc>
          <w:tcPr>
            <w:tcW w:w="260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13"/>
                <w:szCs w:val="13"/>
                <w:color w:val="auto"/>
              </w:rPr>
              <w:t>Covered Entities</w:t>
            </w:r>
          </w:p>
        </w:tc>
        <w:tc>
          <w:tcPr>
            <w:tcW w:w="152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color w:val="auto"/>
              </w:rPr>
              <w:t>USA Technologies, Inc.</w:t>
            </w:r>
          </w:p>
        </w:tc>
        <w:tc>
          <w:tcPr>
            <w:tcW w:w="1520" w:type="dxa"/>
            <w:vAlign w:val="bottom"/>
            <w:tcBorders>
              <w:top w:val="single" w:sz="8" w:color="auto"/>
              <w:right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66"/>
        </w:trPr>
        <w:tc>
          <w:tcPr>
            <w:tcW w:w="100" w:type="dxa"/>
            <w:vAlign w:val="bottom"/>
            <w:tcBorders>
              <w:left w:val="single" w:sz="8" w:color="auto"/>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gridSpan w:val="4"/>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Each Occurrence Limit</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General Aggregate</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Products/Completed Operations Aggr</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Medical Expenses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Premium Basis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Employee Benefits Liability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700" w:type="dxa"/>
            <w:vAlign w:val="bottom"/>
            <w:gridSpan w:val="5"/>
          </w:tcPr>
          <w:p>
            <w:pPr>
              <w:spacing w:after="0"/>
              <w:rPr>
                <w:sz w:val="20"/>
                <w:szCs w:val="20"/>
                <w:color w:val="auto"/>
              </w:rPr>
            </w:pPr>
            <w:r>
              <w:rPr>
                <w:rFonts w:ascii="Arial" w:cs="Arial" w:eastAsia="Arial" w:hAnsi="Arial"/>
                <w:sz w:val="13"/>
                <w:szCs w:val="13"/>
                <w:b w:val="1"/>
                <w:bCs w:val="1"/>
                <w:color w:val="auto"/>
              </w:rPr>
              <w:t>SECTION IV</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80" w:type="dxa"/>
            <w:vAlign w:val="bottom"/>
            <w:tcBorders>
              <w:top w:val="single" w:sz="8" w:color="auto"/>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ERRORS &amp;</w:t>
            </w:r>
          </w:p>
        </w:tc>
        <w:tc>
          <w:tcPr>
            <w:tcW w:w="19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OMISSIONS</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520" w:type="dxa"/>
            <w:vAlign w:val="bottom"/>
            <w:gridSpan w:val="4"/>
          </w:tcPr>
          <w:p>
            <w:pPr>
              <w:ind w:left="60"/>
              <w:spacing w:after="0" w:line="108" w:lineRule="exact"/>
              <w:rPr>
                <w:sz w:val="20"/>
                <w:szCs w:val="20"/>
                <w:color w:val="auto"/>
              </w:rPr>
            </w:pPr>
            <w:r>
              <w:rPr>
                <w:rFonts w:ascii="Arial" w:cs="Arial" w:eastAsia="Arial" w:hAnsi="Arial"/>
                <w:sz w:val="12"/>
                <w:szCs w:val="12"/>
                <w:b w:val="1"/>
                <w:bCs w:val="1"/>
                <w:color w:val="auto"/>
                <w:w w:val="99"/>
              </w:rPr>
              <w:t>2015-16</w:t>
            </w:r>
          </w:p>
        </w:tc>
        <w:tc>
          <w:tcPr>
            <w:tcW w:w="100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gridSpan w:val="5"/>
          </w:tcPr>
          <w:p>
            <w:pPr>
              <w:ind w:left="80"/>
              <w:spacing w:after="0" w:line="108" w:lineRule="exact"/>
              <w:rPr>
                <w:sz w:val="20"/>
                <w:szCs w:val="20"/>
                <w:color w:val="auto"/>
              </w:rPr>
            </w:pPr>
            <w:r>
              <w:rPr>
                <w:rFonts w:ascii="Arial" w:cs="Arial" w:eastAsia="Arial" w:hAnsi="Arial"/>
                <w:sz w:val="12"/>
                <w:szCs w:val="12"/>
                <w:b w:val="1"/>
                <w:bCs w:val="1"/>
                <w:color w:val="auto"/>
              </w:rPr>
              <w:t>2016-2017</w:t>
            </w:r>
          </w:p>
        </w:tc>
        <w:tc>
          <w:tcPr>
            <w:tcW w:w="0" w:type="dxa"/>
            <w:vAlign w:val="bottom"/>
          </w:tcPr>
          <w:p>
            <w:pPr>
              <w:spacing w:after="0"/>
              <w:rPr>
                <w:sz w:val="1"/>
                <w:szCs w:val="1"/>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1520" w:type="dxa"/>
            <w:vAlign w:val="bottom"/>
            <w:gridSpan w:val="5"/>
          </w:tcPr>
          <w:p>
            <w:pPr>
              <w:ind w:left="60"/>
              <w:spacing w:after="0" w:line="105" w:lineRule="exact"/>
              <w:rPr>
                <w:sz w:val="20"/>
                <w:szCs w:val="20"/>
                <w:color w:val="auto"/>
              </w:rPr>
            </w:pPr>
            <w:r>
              <w:rPr>
                <w:rFonts w:ascii="Arial" w:cs="Arial" w:eastAsia="Arial" w:hAnsi="Arial"/>
                <w:sz w:val="12"/>
                <w:szCs w:val="12"/>
                <w:color w:val="auto"/>
              </w:rPr>
              <w:t>Chubb</w:t>
            </w:r>
          </w:p>
        </w:tc>
        <w:tc>
          <w:tcPr>
            <w:tcW w:w="15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tcBorders>
              <w:right w:val="single" w:sz="8" w:color="auto"/>
            </w:tcBorders>
            <w:gridSpan w:val="4"/>
          </w:tcPr>
          <w:p>
            <w:pPr>
              <w:ind w:left="40"/>
              <w:spacing w:after="0" w:line="105" w:lineRule="exact"/>
              <w:rPr>
                <w:sz w:val="20"/>
                <w:szCs w:val="20"/>
                <w:color w:val="auto"/>
              </w:rPr>
            </w:pPr>
            <w:r>
              <w:rPr>
                <w:rFonts w:ascii="Arial" w:cs="Arial" w:eastAsia="Arial" w:hAnsi="Arial"/>
                <w:sz w:val="12"/>
                <w:szCs w:val="12"/>
                <w:color w:val="auto"/>
              </w:rPr>
              <w:t>Chubb</w:t>
            </w: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w w:val="99"/>
              </w:rPr>
              <w:t>11/01/2015 – 11/01/2016</w:t>
            </w:r>
          </w:p>
        </w:tc>
        <w:tc>
          <w:tcPr>
            <w:tcW w:w="15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2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3"/>
                <w:szCs w:val="13"/>
                <w:color w:val="auto"/>
              </w:rPr>
              <w:t>11/01/2016 – 11/01/2017</w:t>
            </w: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Covered Entities</w:t>
            </w:r>
          </w:p>
        </w:tc>
        <w:tc>
          <w:tcPr>
            <w:tcW w:w="1520" w:type="dxa"/>
            <w:vAlign w:val="bottom"/>
            <w:tcBorders>
              <w:bottom w:val="single" w:sz="8" w:color="auto"/>
            </w:tcBorders>
            <w:gridSpan w:val="5"/>
          </w:tcPr>
          <w:p>
            <w:pPr>
              <w:ind w:left="60"/>
              <w:spacing w:after="0" w:line="126" w:lineRule="exact"/>
              <w:rPr>
                <w:sz w:val="20"/>
                <w:szCs w:val="20"/>
                <w:color w:val="auto"/>
              </w:rPr>
            </w:pPr>
            <w:r>
              <w:rPr>
                <w:rFonts w:ascii="Arial" w:cs="Arial" w:eastAsia="Arial" w:hAnsi="Arial"/>
                <w:sz w:val="13"/>
                <w:szCs w:val="13"/>
                <w:color w:val="auto"/>
              </w:rPr>
              <w:t>USA Technologies, Inc.</w:t>
            </w:r>
          </w:p>
        </w:tc>
        <w:tc>
          <w:tcPr>
            <w:tcW w:w="152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20" w:type="dxa"/>
            <w:vAlign w:val="bottom"/>
            <w:tcBorders>
              <w:bottom w:val="single" w:sz="8" w:color="auto"/>
              <w:right w:val="single" w:sz="8" w:color="auto"/>
            </w:tcBorders>
            <w:gridSpan w:val="4"/>
          </w:tcPr>
          <w:p>
            <w:pPr>
              <w:ind w:left="40"/>
              <w:spacing w:after="0" w:line="126" w:lineRule="exact"/>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Information and Network Technology</w:t>
            </w:r>
          </w:p>
        </w:tc>
        <w:tc>
          <w:tcPr>
            <w:tcW w:w="500" w:type="dxa"/>
            <w:vAlign w:val="bottom"/>
            <w:gridSpan w:val="3"/>
          </w:tcPr>
          <w:p>
            <w:pPr>
              <w:ind w:left="60"/>
              <w:spacing w:after="0" w:line="10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480" w:type="dxa"/>
            <w:vAlign w:val="bottom"/>
            <w:gridSpan w:val="3"/>
          </w:tcPr>
          <w:p>
            <w:pPr>
              <w:ind w:left="80"/>
              <w:spacing w:after="0" w:line="10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spacing w:after="0" w:line="137" w:lineRule="exact"/>
              <w:rPr>
                <w:sz w:val="20"/>
                <w:szCs w:val="20"/>
                <w:color w:val="auto"/>
              </w:rPr>
            </w:pPr>
            <w:r>
              <w:rPr>
                <w:rFonts w:ascii="Arial" w:cs="Arial" w:eastAsia="Arial" w:hAnsi="Arial"/>
                <w:sz w:val="13"/>
                <w:szCs w:val="13"/>
                <w:color w:val="auto"/>
              </w:rPr>
              <w:t>Blended Liability Insurance: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100"/>
              <w:spacing w:after="0" w:line="137" w:lineRule="exact"/>
              <w:rPr>
                <w:sz w:val="20"/>
                <w:szCs w:val="20"/>
                <w:color w:val="auto"/>
              </w:rPr>
            </w:pPr>
            <w:r>
              <w:rPr>
                <w:rFonts w:ascii="Arial" w:cs="Arial" w:eastAsia="Arial" w:hAnsi="Arial"/>
                <w:sz w:val="13"/>
                <w:szCs w:val="13"/>
                <w:color w:val="auto"/>
              </w:rPr>
              <w:t>Product or Service Financial Injury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80"/>
              <w:spacing w:after="0" w:line="137" w:lineRule="exact"/>
              <w:rPr>
                <w:sz w:val="20"/>
                <w:szCs w:val="20"/>
                <w:color w:val="auto"/>
              </w:rPr>
            </w:pPr>
            <w:r>
              <w:rPr>
                <w:rFonts w:ascii="Arial" w:cs="Arial" w:eastAsia="Arial" w:hAnsi="Arial"/>
                <w:sz w:val="13"/>
                <w:szCs w:val="13"/>
                <w:color w:val="auto"/>
              </w:rPr>
              <w:t>Technology Related Injury: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200"/>
              <w:spacing w:after="0" w:line="137" w:lineRule="exact"/>
              <w:rPr>
                <w:sz w:val="20"/>
                <w:szCs w:val="20"/>
                <w:color w:val="auto"/>
              </w:rPr>
            </w:pPr>
            <w:r>
              <w:rPr>
                <w:rFonts w:ascii="Arial" w:cs="Arial" w:eastAsia="Arial" w:hAnsi="Arial"/>
                <w:sz w:val="13"/>
                <w:szCs w:val="13"/>
                <w:color w:val="auto"/>
              </w:rPr>
              <w:t>Personal/Reputation/Media</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gridSpan w:val="4"/>
          </w:tcPr>
          <w:p>
            <w:pPr>
              <w:ind w:left="200"/>
              <w:spacing w:after="0"/>
              <w:rPr>
                <w:sz w:val="20"/>
                <w:szCs w:val="20"/>
                <w:color w:val="auto"/>
              </w:rPr>
            </w:pPr>
            <w:r>
              <w:rPr>
                <w:rFonts w:ascii="Arial" w:cs="Arial" w:eastAsia="Arial" w:hAnsi="Arial"/>
                <w:sz w:val="13"/>
                <w:szCs w:val="13"/>
                <w:color w:val="auto"/>
              </w:rPr>
              <w:t>Privacy</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left w:val="single" w:sz="8" w:color="auto"/>
            </w:tcBorders>
          </w:tcPr>
          <w:p>
            <w:pPr>
              <w:spacing w:after="0"/>
              <w:rPr>
                <w:sz w:val="13"/>
                <w:szCs w:val="13"/>
                <w:color w:val="auto"/>
              </w:rPr>
            </w:pPr>
          </w:p>
        </w:tc>
        <w:tc>
          <w:tcPr>
            <w:tcW w:w="260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Privacy Remediation Expenses</w:t>
            </w:r>
          </w:p>
        </w:tc>
        <w:tc>
          <w:tcPr>
            <w:tcW w:w="50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1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Premium Basis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Professional Liability Territory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700" w:type="dxa"/>
            <w:vAlign w:val="bottom"/>
            <w:gridSpan w:val="5"/>
          </w:tcPr>
          <w:p>
            <w:pPr>
              <w:spacing w:after="0"/>
              <w:rPr>
                <w:sz w:val="20"/>
                <w:szCs w:val="20"/>
                <w:color w:val="auto"/>
              </w:rPr>
            </w:pPr>
            <w:r>
              <w:rPr>
                <w:rFonts w:ascii="Arial" w:cs="Arial" w:eastAsia="Arial" w:hAnsi="Arial"/>
                <w:sz w:val="13"/>
                <w:szCs w:val="13"/>
                <w:b w:val="1"/>
                <w:bCs w:val="1"/>
                <w:color w:val="auto"/>
              </w:rPr>
              <w:t>SECTION V</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40" w:type="dxa"/>
            <w:vAlign w:val="bottom"/>
            <w:tcBorders>
              <w:top w:val="single" w:sz="8" w:color="auto"/>
              <w:bottom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w w:val="82"/>
              </w:rPr>
              <w:t>AUTOMOBILE</w:t>
            </w:r>
          </w:p>
        </w:tc>
        <w:tc>
          <w:tcPr>
            <w:tcW w:w="1960" w:type="dxa"/>
            <w:vAlign w:val="bottom"/>
            <w:tcBorders>
              <w:bottom w:val="single" w:sz="8" w:color="auto"/>
            </w:tcBorders>
            <w:gridSpan w:val="3"/>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1520" w:type="dxa"/>
            <w:vAlign w:val="bottom"/>
            <w:gridSpan w:val="5"/>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1520" w:type="dxa"/>
            <w:vAlign w:val="bottom"/>
            <w:tcBorders>
              <w:right w:val="single" w:sz="8" w:color="auto"/>
            </w:tcBorders>
          </w:tcPr>
          <w:p>
            <w:pPr>
              <w:spacing w:after="0"/>
              <w:rPr>
                <w:sz w:val="9"/>
                <w:szCs w:val="9"/>
                <w:color w:val="auto"/>
              </w:rPr>
            </w:pPr>
          </w:p>
        </w:tc>
        <w:tc>
          <w:tcPr>
            <w:tcW w:w="640" w:type="dxa"/>
            <w:vAlign w:val="bottom"/>
            <w:gridSpan w:val="4"/>
          </w:tcPr>
          <w:p>
            <w:pPr>
              <w:ind w:left="40"/>
              <w:spacing w:after="0" w:line="108" w:lineRule="exact"/>
              <w:rPr>
                <w:sz w:val="20"/>
                <w:szCs w:val="20"/>
                <w:color w:val="auto"/>
              </w:rPr>
            </w:pPr>
            <w:r>
              <w:rPr>
                <w:rFonts w:ascii="Arial" w:cs="Arial" w:eastAsia="Arial" w:hAnsi="Arial"/>
                <w:sz w:val="12"/>
                <w:szCs w:val="12"/>
                <w:b w:val="1"/>
                <w:bCs w:val="1"/>
                <w:color w:val="auto"/>
              </w:rPr>
              <w:t>2016-17</w:t>
            </w: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tcPr>
          <w:p>
            <w:pPr>
              <w:spacing w:after="0" w:line="105" w:lineRule="exact"/>
              <w:rPr>
                <w:sz w:val="20"/>
                <w:szCs w:val="20"/>
                <w:color w:val="auto"/>
              </w:rPr>
            </w:pPr>
            <w:r>
              <w:rPr>
                <w:rFonts w:ascii="Arial" w:cs="Arial" w:eastAsia="Arial" w:hAnsi="Arial"/>
                <w:sz w:val="12"/>
                <w:szCs w:val="12"/>
                <w:color w:val="auto"/>
              </w:rPr>
              <w:t>Chubb</w:t>
            </w:r>
          </w:p>
        </w:tc>
        <w:tc>
          <w:tcPr>
            <w:tcW w:w="152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gridSpan w:val="5"/>
          </w:tcPr>
          <w:p>
            <w:pPr>
              <w:ind w:left="40"/>
              <w:spacing w:after="0" w:line="105" w:lineRule="exact"/>
              <w:rPr>
                <w:sz w:val="20"/>
                <w:szCs w:val="20"/>
                <w:color w:val="auto"/>
              </w:rPr>
            </w:pPr>
            <w:r>
              <w:rPr>
                <w:rFonts w:ascii="Arial" w:cs="Arial" w:eastAsia="Arial" w:hAnsi="Arial"/>
                <w:sz w:val="12"/>
                <w:szCs w:val="12"/>
                <w:color w:val="auto"/>
              </w:rPr>
              <w:t>Chubb</w:t>
            </w: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8"/>
              </w:rPr>
              <w:t>11/01/2016 – 11/01/2017</w:t>
            </w:r>
          </w:p>
        </w:tc>
        <w:tc>
          <w:tcPr>
            <w:tcW w:w="152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5"/>
          </w:tcPr>
          <w:p>
            <w:pPr>
              <w:ind w:left="40"/>
              <w:spacing w:after="0"/>
              <w:rPr>
                <w:sz w:val="20"/>
                <w:szCs w:val="20"/>
                <w:color w:val="auto"/>
              </w:rPr>
            </w:pPr>
            <w:r>
              <w:rPr>
                <w:rFonts w:ascii="Arial" w:cs="Arial" w:eastAsia="Arial" w:hAnsi="Arial"/>
                <w:sz w:val="13"/>
                <w:szCs w:val="13"/>
                <w:color w:val="auto"/>
              </w:rPr>
              <w:t>11/01/2016– 11/01/2017</w:t>
            </w:r>
          </w:p>
        </w:tc>
        <w:tc>
          <w:tcPr>
            <w:tcW w:w="0" w:type="dxa"/>
            <w:vAlign w:val="bottom"/>
          </w:tcPr>
          <w:p>
            <w:pPr>
              <w:spacing w:after="0"/>
              <w:rPr>
                <w:sz w:val="1"/>
                <w:szCs w:val="1"/>
                <w:color w:val="auto"/>
              </w:rPr>
            </w:pPr>
          </w:p>
        </w:tc>
      </w:tr>
      <w:tr>
        <w:trPr>
          <w:trHeight w:val="430"/>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jc w:val="right"/>
              <w:ind w:right="1213"/>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205" w:name="page206"/>
    <w:bookmarkEnd w:id="205"/>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2440" w:type="dxa"/>
            <w:vAlign w:val="bottom"/>
            <w:tcBorders>
              <w:top w:val="single" w:sz="8" w:color="auto"/>
              <w:left w:val="single" w:sz="8" w:color="auto"/>
            </w:tcBorders>
            <w:gridSpan w:val="2"/>
            <w:vMerge w:val="restart"/>
          </w:tcPr>
          <w:p>
            <w:pPr>
              <w:ind w:left="100"/>
              <w:spacing w:after="0"/>
              <w:rPr>
                <w:sz w:val="20"/>
                <w:szCs w:val="20"/>
                <w:color w:val="auto"/>
              </w:rPr>
            </w:pPr>
            <w:r>
              <w:rPr>
                <w:rFonts w:ascii="Arial" w:cs="Arial" w:eastAsia="Arial" w:hAnsi="Arial"/>
                <w:sz w:val="13"/>
                <w:szCs w:val="13"/>
                <w:color w:val="auto"/>
              </w:rPr>
              <w:t>Covered Entities</w:t>
            </w:r>
          </w:p>
        </w:tc>
        <w:tc>
          <w:tcPr>
            <w:tcW w:w="28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USA Technologies, Inc.</w:t>
            </w:r>
          </w:p>
        </w:tc>
        <w:tc>
          <w:tcPr>
            <w:tcW w:w="1460" w:type="dxa"/>
            <w:vAlign w:val="bottom"/>
            <w:tcBorders>
              <w:top w:val="single" w:sz="8" w:color="auto"/>
            </w:tcBorders>
          </w:tcPr>
          <w:p>
            <w:pPr>
              <w:spacing w:after="0"/>
              <w:rPr>
                <w:sz w:val="15"/>
                <w:szCs w:val="15"/>
                <w:color w:val="auto"/>
              </w:rPr>
            </w:pPr>
          </w:p>
        </w:tc>
        <w:tc>
          <w:tcPr>
            <w:tcW w:w="60" w:type="dxa"/>
            <w:vAlign w:val="bottom"/>
            <w:tcBorders>
              <w:top w:val="single" w:sz="8" w:color="auto"/>
              <w:right w:val="single" w:sz="8" w:color="auto"/>
            </w:tcBorders>
          </w:tcPr>
          <w:p>
            <w:pPr>
              <w:spacing w:after="0"/>
              <w:rPr>
                <w:sz w:val="15"/>
                <w:szCs w:val="15"/>
                <w:color w:val="auto"/>
              </w:rPr>
            </w:pPr>
          </w:p>
        </w:tc>
        <w:tc>
          <w:tcPr>
            <w:tcW w:w="30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66"/>
        </w:trPr>
        <w:tc>
          <w:tcPr>
            <w:tcW w:w="2440" w:type="dxa"/>
            <w:vAlign w:val="bottom"/>
            <w:tcBorders>
              <w:left w:val="single" w:sz="8" w:color="auto"/>
              <w:bottom w:val="single" w:sz="8" w:color="auto"/>
            </w:tcBorders>
            <w:gridSpan w:val="2"/>
            <w:vMerge w:val="continue"/>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Non-Owned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Hired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Hired Auto Physical Damage</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Auto Liability</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44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3"/>
                <w:szCs w:val="13"/>
                <w:color w:val="auto"/>
              </w:rPr>
              <w:t>Schedule of Vehicles</w:t>
            </w:r>
          </w:p>
        </w:tc>
        <w:tc>
          <w:tcPr>
            <w:tcW w:w="2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2440" w:type="dxa"/>
            <w:vAlign w:val="bottom"/>
            <w:tcBorders>
              <w:left w:val="single" w:sz="8" w:color="auto"/>
              <w:bottom w:val="single" w:sz="8" w:color="auto"/>
            </w:tcBorders>
            <w:gridSpan w:val="2"/>
          </w:tcPr>
          <w:p>
            <w:pPr>
              <w:ind w:left="100"/>
              <w:spacing w:after="0" w:line="127" w:lineRule="exact"/>
              <w:rPr>
                <w:sz w:val="20"/>
                <w:szCs w:val="20"/>
                <w:color w:val="auto"/>
              </w:rPr>
            </w:pPr>
            <w:r>
              <w:rPr>
                <w:rFonts w:ascii="Arial" w:cs="Arial" w:eastAsia="Arial" w:hAnsi="Arial"/>
                <w:sz w:val="13"/>
                <w:szCs w:val="13"/>
                <w:color w:val="auto"/>
              </w:rPr>
              <w:t>Schedule of Drivers</w:t>
            </w:r>
          </w:p>
        </w:tc>
        <w:tc>
          <w:tcPr>
            <w:tcW w:w="2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ind w:left="60"/>
              <w:spacing w:after="0" w:line="127"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ind w:left="60"/>
              <w:spacing w:after="0" w:line="12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Uninsured/Underinsured Motorist Liab</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First Party Benefits</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Extraordinary Medical Benefits</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Comprehensive Deductible</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Collision Deductible</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Rental Reimbursement</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Auto Broad Form Endorsement</w:t>
            </w:r>
          </w:p>
        </w:tc>
        <w:tc>
          <w:tcPr>
            <w:tcW w:w="2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2"/>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SECTION VI</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WORKERS</w:t>
            </w:r>
          </w:p>
        </w:tc>
        <w:tc>
          <w:tcPr>
            <w:tcW w:w="16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COMPENSATION</w:t>
            </w: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80" w:type="dxa"/>
            <w:vAlign w:val="bottom"/>
            <w:tcBorders>
              <w:left w:val="single" w:sz="8" w:color="auto"/>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tcBorders>
            <w:gridSpan w:val="2"/>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146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2"/>
          </w:tcPr>
          <w:p>
            <w:pPr>
              <w:ind w:left="80"/>
              <w:spacing w:after="0" w:line="108" w:lineRule="exact"/>
              <w:rPr>
                <w:sz w:val="20"/>
                <w:szCs w:val="20"/>
                <w:color w:val="auto"/>
              </w:rPr>
            </w:pPr>
            <w:r>
              <w:rPr>
                <w:rFonts w:ascii="Arial" w:cs="Arial" w:eastAsia="Arial" w:hAnsi="Arial"/>
                <w:sz w:val="12"/>
                <w:szCs w:val="12"/>
                <w:b w:val="1"/>
                <w:bCs w:val="1"/>
                <w:color w:val="auto"/>
              </w:rPr>
              <w:t>2016-17</w:t>
            </w:r>
          </w:p>
        </w:tc>
        <w:tc>
          <w:tcPr>
            <w:tcW w:w="0" w:type="dxa"/>
            <w:vAlign w:val="bottom"/>
          </w:tcPr>
          <w:p>
            <w:pPr>
              <w:spacing w:after="0"/>
              <w:rPr>
                <w:sz w:val="1"/>
                <w:szCs w:val="1"/>
                <w:color w:val="auto"/>
              </w:rPr>
            </w:pPr>
          </w:p>
        </w:tc>
      </w:tr>
      <w:tr>
        <w:trPr>
          <w:trHeight w:val="115"/>
        </w:trPr>
        <w:tc>
          <w:tcPr>
            <w:tcW w:w="2440" w:type="dxa"/>
            <w:vAlign w:val="bottom"/>
            <w:tcBorders>
              <w:left w:val="single" w:sz="8" w:color="auto"/>
              <w:right w:val="single" w:sz="8" w:color="auto"/>
            </w:tcBorders>
            <w:gridSpan w:val="2"/>
          </w:tcPr>
          <w:p>
            <w:pPr>
              <w:ind w:left="100"/>
              <w:spacing w:after="0" w:line="115" w:lineRule="exact"/>
              <w:rPr>
                <w:sz w:val="20"/>
                <w:szCs w:val="20"/>
                <w:color w:val="auto"/>
              </w:rPr>
            </w:pPr>
            <w:r>
              <w:rPr>
                <w:rFonts w:ascii="Arial" w:cs="Arial" w:eastAsia="Arial" w:hAnsi="Arial"/>
                <w:sz w:val="13"/>
                <w:szCs w:val="13"/>
                <w:color w:val="auto"/>
              </w:rPr>
              <w:t>Insurance Company/Policy Period</w:t>
            </w:r>
          </w:p>
        </w:tc>
        <w:tc>
          <w:tcPr>
            <w:tcW w:w="1760" w:type="dxa"/>
            <w:vAlign w:val="bottom"/>
            <w:gridSpan w:val="2"/>
          </w:tcPr>
          <w:p>
            <w:pPr>
              <w:ind w:left="80"/>
              <w:spacing w:after="0" w:line="115" w:lineRule="exact"/>
              <w:rPr>
                <w:sz w:val="20"/>
                <w:szCs w:val="20"/>
                <w:color w:val="auto"/>
              </w:rPr>
            </w:pPr>
            <w:r>
              <w:rPr>
                <w:rFonts w:ascii="Arial" w:cs="Arial" w:eastAsia="Arial" w:hAnsi="Arial"/>
                <w:sz w:val="13"/>
                <w:szCs w:val="13"/>
                <w:color w:val="auto"/>
              </w:rPr>
              <w:t>Chubb</w:t>
            </w:r>
          </w:p>
        </w:tc>
        <w:tc>
          <w:tcPr>
            <w:tcW w:w="1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rPr>
              <w:t>Chubb</w:t>
            </w:r>
          </w:p>
        </w:tc>
        <w:tc>
          <w:tcPr>
            <w:tcW w:w="0" w:type="dxa"/>
            <w:vAlign w:val="bottom"/>
          </w:tcPr>
          <w:p>
            <w:pPr>
              <w:spacing w:after="0"/>
              <w:rPr>
                <w:sz w:val="1"/>
                <w:szCs w:val="1"/>
                <w:color w:val="auto"/>
              </w:rPr>
            </w:pPr>
          </w:p>
        </w:tc>
      </w:tr>
      <w:tr>
        <w:trPr>
          <w:trHeight w:val="158"/>
        </w:trPr>
        <w:tc>
          <w:tcPr>
            <w:tcW w:w="780" w:type="dxa"/>
            <w:vAlign w:val="bottom"/>
            <w:tcBorders>
              <w:left w:val="single" w:sz="8" w:color="auto"/>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11/01/2015 – 11/01/2016</w:t>
            </w:r>
          </w:p>
        </w:tc>
        <w:tc>
          <w:tcPr>
            <w:tcW w:w="14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11/01/2016 – 11/01/2017</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right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Covered Entities</w:t>
            </w:r>
          </w:p>
        </w:tc>
        <w:tc>
          <w:tcPr>
            <w:tcW w:w="17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14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right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Limits</w:t>
            </w:r>
          </w:p>
        </w:tc>
        <w:tc>
          <w:tcPr>
            <w:tcW w:w="17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Covered States</w:t>
            </w:r>
          </w:p>
        </w:tc>
        <w:tc>
          <w:tcPr>
            <w:tcW w:w="17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46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1"/>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Note - WA, WY, ND, &amp; OH are</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440" w:type="dxa"/>
            <w:vAlign w:val="bottom"/>
            <w:tcBorders>
              <w:left w:val="single" w:sz="8" w:color="auto"/>
              <w:right w:val="single" w:sz="8" w:color="auto"/>
            </w:tcBorders>
            <w:gridSpan w:val="2"/>
          </w:tcPr>
          <w:p>
            <w:pPr>
              <w:ind w:left="100"/>
              <w:spacing w:after="0" w:line="137" w:lineRule="exact"/>
              <w:rPr>
                <w:sz w:val="20"/>
                <w:szCs w:val="20"/>
                <w:color w:val="auto"/>
              </w:rPr>
            </w:pPr>
            <w:r>
              <w:rPr>
                <w:rFonts w:ascii="Arial" w:cs="Arial" w:eastAsia="Arial" w:hAnsi="Arial"/>
                <w:sz w:val="13"/>
                <w:szCs w:val="13"/>
                <w:color w:val="auto"/>
              </w:rPr>
              <w:t>Monopolistic States requiring workers</w:t>
            </w: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40" w:type="dxa"/>
            <w:vAlign w:val="bottom"/>
            <w:tcBorders>
              <w:left w:val="single" w:sz="8" w:color="auto"/>
              <w:right w:val="single" w:sz="8" w:color="auto"/>
            </w:tcBorders>
            <w:gridSpan w:val="2"/>
          </w:tcPr>
          <w:p>
            <w:pPr>
              <w:ind w:left="100"/>
              <w:spacing w:after="0" w:line="137" w:lineRule="exact"/>
              <w:rPr>
                <w:sz w:val="20"/>
                <w:szCs w:val="20"/>
                <w:color w:val="auto"/>
              </w:rPr>
            </w:pPr>
            <w:r>
              <w:rPr>
                <w:rFonts w:ascii="Arial" w:cs="Arial" w:eastAsia="Arial" w:hAnsi="Arial"/>
                <w:sz w:val="13"/>
                <w:szCs w:val="13"/>
                <w:color w:val="auto"/>
                <w:w w:val="97"/>
              </w:rPr>
              <w:t>compensation coverage to be purchased</w:t>
            </w: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directly from the state.</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4"/>
        </w:trPr>
        <w:tc>
          <w:tcPr>
            <w:tcW w:w="78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jc w:val="right"/>
              <w:ind w:right="1133"/>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206" w:name="page207"/>
    <w:bookmarkEnd w:id="206"/>
    <w:p>
      <w:pPr>
        <w:ind w:left="120"/>
        <w:spacing w:after="0"/>
        <w:rPr>
          <w:sz w:val="20"/>
          <w:szCs w:val="20"/>
          <w:color w:val="auto"/>
        </w:rPr>
      </w:pPr>
      <w:r>
        <w:rPr>
          <w:rFonts w:ascii="Arial" w:cs="Arial" w:eastAsia="Arial" w:hAnsi="Arial"/>
          <w:sz w:val="13"/>
          <w:szCs w:val="13"/>
          <w:b w:val="1"/>
          <w:bCs w:val="1"/>
          <w:u w:val="single" w:color="auto"/>
          <w:color w:val="auto"/>
        </w:rPr>
        <w:t>SECTION VII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UMBRELLA</w:t>
      </w:r>
    </w:p>
    <w:tbl>
      <w:tblPr>
        <w:tblLayout w:type="fixed"/>
        <w:tblInd w:w="130" w:type="dxa"/>
        <w:tblCellMar>
          <w:top w:w="0" w:type="dxa"/>
          <w:left w:w="0" w:type="dxa"/>
          <w:bottom w:w="0" w:type="dxa"/>
          <w:right w:w="0" w:type="dxa"/>
        </w:tblCellMar>
      </w:tblPr>
      <w:tr>
        <w:trPr>
          <w:trHeight w:val="114"/>
        </w:trPr>
        <w:tc>
          <w:tcPr>
            <w:tcW w:w="100" w:type="dxa"/>
            <w:vAlign w:val="bottom"/>
            <w:tcBorders>
              <w:top w:val="single" w:sz="8" w:color="auto"/>
              <w:left w:val="single" w:sz="8" w:color="auto"/>
            </w:tcBorders>
          </w:tcPr>
          <w:p>
            <w:pPr>
              <w:spacing w:after="0"/>
              <w:rPr>
                <w:sz w:val="9"/>
                <w:szCs w:val="9"/>
                <w:color w:val="auto"/>
              </w:rPr>
            </w:pPr>
          </w:p>
        </w:tc>
        <w:tc>
          <w:tcPr>
            <w:tcW w:w="2420" w:type="dxa"/>
            <w:vAlign w:val="bottom"/>
            <w:tcBorders>
              <w:top w:val="single" w:sz="8" w:color="auto"/>
              <w:right w:val="single" w:sz="8" w:color="auto"/>
            </w:tcBorders>
            <w:gridSpan w:val="2"/>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1600" w:type="dxa"/>
            <w:vAlign w:val="bottom"/>
            <w:tcBorders>
              <w:top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2015-16</w:t>
            </w:r>
          </w:p>
        </w:tc>
        <w:tc>
          <w:tcPr>
            <w:tcW w:w="1580" w:type="dxa"/>
            <w:vAlign w:val="bottom"/>
            <w:tcBorders>
              <w:top w:val="single" w:sz="8" w:color="auto"/>
              <w:right w:val="single" w:sz="8" w:color="auto"/>
            </w:tcBorders>
          </w:tcPr>
          <w:p>
            <w:pPr>
              <w:spacing w:after="0"/>
              <w:rPr>
                <w:sz w:val="9"/>
                <w:szCs w:val="9"/>
                <w:color w:val="auto"/>
              </w:rPr>
            </w:pPr>
          </w:p>
        </w:tc>
        <w:tc>
          <w:tcPr>
            <w:tcW w:w="310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20" w:type="dxa"/>
            <w:vAlign w:val="bottom"/>
            <w:tcBorders>
              <w:right w:val="single" w:sz="8" w:color="auto"/>
            </w:tcBorders>
            <w:gridSpan w:val="2"/>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1540" w:type="dxa"/>
            <w:vAlign w:val="bottom"/>
            <w:gridSpan w:val="2"/>
          </w:tcPr>
          <w:p>
            <w:pPr>
              <w:spacing w:after="0" w:line="105" w:lineRule="exact"/>
              <w:rPr>
                <w:sz w:val="20"/>
                <w:szCs w:val="20"/>
                <w:color w:val="auto"/>
              </w:rPr>
            </w:pPr>
            <w:r>
              <w:rPr>
                <w:rFonts w:ascii="Arial" w:cs="Arial" w:eastAsia="Arial" w:hAnsi="Arial"/>
                <w:sz w:val="12"/>
                <w:szCs w:val="12"/>
                <w:color w:val="auto"/>
              </w:rPr>
              <w:t>Chubb</w:t>
            </w:r>
          </w:p>
        </w:tc>
        <w:tc>
          <w:tcPr>
            <w:tcW w:w="1580" w:type="dxa"/>
            <w:vAlign w:val="bottom"/>
            <w:tcBorders>
              <w:right w:val="single" w:sz="8" w:color="auto"/>
            </w:tcBorders>
          </w:tcPr>
          <w:p>
            <w:pPr>
              <w:spacing w:after="0"/>
              <w:rPr>
                <w:sz w:val="9"/>
                <w:szCs w:val="9"/>
                <w:color w:val="auto"/>
              </w:rPr>
            </w:pPr>
          </w:p>
        </w:tc>
        <w:tc>
          <w:tcPr>
            <w:tcW w:w="3100" w:type="dxa"/>
            <w:vAlign w:val="bottom"/>
            <w:tcBorders>
              <w:right w:val="single" w:sz="8" w:color="auto"/>
            </w:tcBorders>
            <w:gridSpan w:val="3"/>
          </w:tcPr>
          <w:p>
            <w:pPr>
              <w:ind w:left="6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158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3"/>
                <w:szCs w:val="13"/>
                <w:color w:val="auto"/>
              </w:rPr>
              <w:t>USA Technologies, Inc.</w:t>
            </w:r>
          </w:p>
        </w:tc>
        <w:tc>
          <w:tcPr>
            <w:tcW w:w="1580" w:type="dxa"/>
            <w:vAlign w:val="bottom"/>
            <w:tcBorders>
              <w:bottom w:val="single" w:sz="8" w:color="auto"/>
              <w:right w:val="single" w:sz="8" w:color="auto"/>
            </w:tcBorders>
          </w:tcPr>
          <w:p>
            <w:pPr>
              <w:spacing w:after="0"/>
              <w:rPr>
                <w:sz w:val="10"/>
                <w:szCs w:val="10"/>
                <w:color w:val="auto"/>
              </w:rPr>
            </w:pPr>
          </w:p>
        </w:tc>
        <w:tc>
          <w:tcPr>
            <w:tcW w:w="3100" w:type="dxa"/>
            <w:vAlign w:val="bottom"/>
            <w:tcBorders>
              <w:bottom w:val="single" w:sz="8" w:color="auto"/>
              <w:right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Limit</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Underlying Coverage</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567"/>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jc w:val="right"/>
              <w:ind w:right="1173"/>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51"/>
        </w:trPr>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481" w:right="1440" w:bottom="1440" w:gutter="0" w:footer="0" w:header="0"/>
        </w:sectPr>
      </w:pPr>
    </w:p>
    <w:bookmarkStart w:id="207" w:name="page208"/>
    <w:bookmarkEnd w:id="207"/>
    <w:p>
      <w:pPr>
        <w:ind w:left="120"/>
        <w:spacing w:after="0"/>
        <w:rPr>
          <w:sz w:val="20"/>
          <w:szCs w:val="20"/>
          <w:color w:val="auto"/>
        </w:rPr>
      </w:pPr>
      <w:r>
        <w:rPr>
          <w:rFonts w:ascii="Arial" w:cs="Arial" w:eastAsia="Arial" w:hAnsi="Arial"/>
          <w:sz w:val="13"/>
          <w:szCs w:val="13"/>
          <w:b w:val="1"/>
          <w:bCs w:val="1"/>
          <w:u w:val="single" w:color="auto"/>
          <w:color w:val="auto"/>
        </w:rPr>
        <w:t>SECTION VIII</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INTERNATIONAL/GLOBAL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Premises Summary:</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36"/>
        </w:trPr>
        <w:tc>
          <w:tcPr>
            <w:tcW w:w="100" w:type="dxa"/>
            <w:vAlign w:val="bottom"/>
            <w:tcBorders>
              <w:top w:val="single" w:sz="8" w:color="auto"/>
              <w:left w:val="single" w:sz="8" w:color="auto"/>
              <w:bottom w:val="single" w:sz="8" w:color="auto"/>
            </w:tcBorders>
          </w:tcPr>
          <w:p>
            <w:pPr>
              <w:spacing w:after="0"/>
              <w:rPr>
                <w:sz w:val="11"/>
                <w:szCs w:val="11"/>
                <w:color w:val="auto"/>
              </w:rPr>
            </w:pPr>
          </w:p>
        </w:tc>
        <w:tc>
          <w:tcPr>
            <w:tcW w:w="2440" w:type="dxa"/>
            <w:vAlign w:val="bottom"/>
            <w:tcBorders>
              <w:top w:val="single" w:sz="8" w:color="auto"/>
              <w:bottom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rPr>
              <w:t xml:space="preserve">Location </w:t>
            </w:r>
            <w:r>
              <w:rPr>
                <w:rFonts w:ascii="Arial" w:cs="Arial" w:eastAsia="Arial" w:hAnsi="Arial"/>
                <w:sz w:val="13"/>
                <w:szCs w:val="13"/>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3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480" w:type="dxa"/>
            <w:vAlign w:val="bottom"/>
            <w:tcBorders>
              <w:top w:val="single" w:sz="8" w:color="auto"/>
              <w:bottom w:val="single" w:sz="8" w:color="auto"/>
              <w:right w:val="single" w:sz="8" w:color="auto"/>
            </w:tcBorders>
          </w:tcPr>
          <w:p>
            <w:pPr>
              <w:spacing w:after="0"/>
              <w:rPr>
                <w:sz w:val="11"/>
                <w:szCs w:val="11"/>
                <w:color w:val="auto"/>
              </w:rPr>
            </w:pPr>
          </w:p>
        </w:tc>
      </w:tr>
      <w:tr>
        <w:trPr>
          <w:trHeight w:val="137"/>
        </w:trPr>
        <w:tc>
          <w:tcPr>
            <w:tcW w:w="1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860" w:type="dxa"/>
            <w:vAlign w:val="bottom"/>
            <w:gridSpan w:val="4"/>
          </w:tcPr>
          <w:p>
            <w:pPr>
              <w:ind w:left="60"/>
              <w:spacing w:after="0" w:line="108" w:lineRule="exact"/>
              <w:rPr>
                <w:sz w:val="20"/>
                <w:szCs w:val="20"/>
                <w:color w:val="auto"/>
              </w:rPr>
            </w:pPr>
            <w:r>
              <w:rPr>
                <w:rFonts w:ascii="Arial" w:cs="Arial" w:eastAsia="Arial" w:hAnsi="Arial"/>
                <w:sz w:val="12"/>
                <w:szCs w:val="12"/>
                <w:b w:val="1"/>
                <w:bCs w:val="1"/>
                <w:color w:val="auto"/>
              </w:rPr>
              <w:t>2015-16</w:t>
            </w:r>
          </w:p>
        </w:tc>
        <w:tc>
          <w:tcPr>
            <w:tcW w:w="1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66"/>
        </w:trPr>
        <w:tc>
          <w:tcPr>
            <w:tcW w:w="100" w:type="dxa"/>
            <w:vAlign w:val="bottom"/>
            <w:tcBorders>
              <w:left w:val="single" w:sz="8" w:color="auto"/>
              <w:bottom w:val="single" w:sz="8" w:color="auto"/>
            </w:tcBorders>
          </w:tcPr>
          <w:p>
            <w:pPr>
              <w:spacing w:after="0"/>
              <w:rPr>
                <w:sz w:val="14"/>
                <w:szCs w:val="14"/>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USA Technologies, Inc.</w:t>
            </w: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USA Technologies, Inc.</w:t>
            </w:r>
          </w:p>
        </w:tc>
      </w:tr>
      <w:tr>
        <w:trPr>
          <w:trHeight w:val="110"/>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10"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gridSpan w:val="5"/>
          </w:tcPr>
          <w:p>
            <w:pPr>
              <w:ind w:left="60"/>
              <w:spacing w:after="0" w:line="110"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29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11/01/2015 – 11/01/2016</w:t>
            </w:r>
          </w:p>
        </w:tc>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Personal Property (Replacement cost)</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Property Deductible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Neighbors and Tenants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Limit of Insurance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Aggregate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Products/Completed Operations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Medical Expenses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 Owned, Hired &amp; Non-owned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Hired Auto Medical</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w w:val="99"/>
              </w:rPr>
              <w:t>Foreign Voluntary Workers Compensation</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Repatriation Expense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Exposure Basis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SECTION IX</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780" w:type="dxa"/>
            <w:vAlign w:val="bottom"/>
            <w:tcBorders>
              <w:left w:val="single" w:sz="8" w:color="auto"/>
            </w:tcBorders>
            <w:gridSpan w:val="3"/>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4"/>
        </w:trPr>
        <w:tc>
          <w:tcPr>
            <w:tcW w:w="25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SURETY - ERISA</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60" w:type="dxa"/>
            <w:vAlign w:val="bottom"/>
            <w:gridSpan w:val="5"/>
          </w:tcPr>
          <w:p>
            <w:pPr>
              <w:ind w:left="60"/>
              <w:spacing w:after="0" w:line="108" w:lineRule="exact"/>
              <w:rPr>
                <w:sz w:val="20"/>
                <w:szCs w:val="20"/>
                <w:color w:val="auto"/>
              </w:rPr>
            </w:pPr>
            <w:r>
              <w:rPr>
                <w:rFonts w:ascii="Arial" w:cs="Arial" w:eastAsia="Arial" w:hAnsi="Arial"/>
                <w:sz w:val="12"/>
                <w:szCs w:val="12"/>
                <w:b w:val="1"/>
                <w:bCs w:val="1"/>
                <w:color w:val="auto"/>
              </w:rPr>
              <w:t>2014-2017</w:t>
            </w:r>
          </w:p>
        </w:tc>
        <w:tc>
          <w:tcPr>
            <w:tcW w:w="23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3060" w:type="dxa"/>
            <w:vAlign w:val="bottom"/>
            <w:tcBorders>
              <w:right w:val="single" w:sz="8" w:color="auto"/>
            </w:tcBorders>
            <w:gridSpan w:val="5"/>
          </w:tcPr>
          <w:p>
            <w:pPr>
              <w:spacing w:after="0" w:line="105" w:lineRule="exact"/>
              <w:rPr>
                <w:sz w:val="20"/>
                <w:szCs w:val="20"/>
                <w:color w:val="auto"/>
              </w:rPr>
            </w:pPr>
            <w:r>
              <w:rPr>
                <w:rFonts w:ascii="Arial" w:cs="Arial" w:eastAsia="Arial" w:hAnsi="Arial"/>
                <w:sz w:val="12"/>
                <w:szCs w:val="12"/>
                <w:color w:val="auto"/>
              </w:rPr>
              <w:t>Westfield Insurance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3"/>
                <w:szCs w:val="13"/>
                <w:color w:val="auto"/>
              </w:rPr>
              <w:t>11/18/2014 – 11/18/2017</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Fiduciary Liability</w:t>
            </w:r>
          </w:p>
        </w:tc>
        <w:tc>
          <w:tcPr>
            <w:tcW w:w="32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Plan Name</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 401(k) Plan</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Policy Term</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3Yr (expires 11/18/2017)</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430"/>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20" w:type="dxa"/>
            <w:vAlign w:val="bottom"/>
            <w:gridSpan w:val="6"/>
          </w:tcPr>
          <w:p>
            <w:pPr>
              <w:jc w:val="right"/>
              <w:ind w:right="120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9"/>
        </w:trPr>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344" w:right="1440" w:bottom="1440" w:gutter="0" w:footer="0" w:header="0"/>
        </w:sectPr>
      </w:pPr>
    </w:p>
    <w:bookmarkStart w:id="208" w:name="page209"/>
    <w:bookmarkEnd w:id="208"/>
    <w:p>
      <w:pPr>
        <w:ind w:left="120"/>
        <w:spacing w:after="0"/>
        <w:rPr>
          <w:sz w:val="20"/>
          <w:szCs w:val="20"/>
          <w:color w:val="auto"/>
        </w:rPr>
      </w:pPr>
      <w:r>
        <w:rPr>
          <w:rFonts w:ascii="Arial" w:cs="Arial" w:eastAsia="Arial" w:hAnsi="Arial"/>
          <w:sz w:val="13"/>
          <w:szCs w:val="13"/>
          <w:color w:val="auto"/>
        </w:rPr>
        <w:t>* Limit must be equal to a minimum of *** of the amount invested in the plan subject to *** Min and *** Max. As of 9/30/2015 the plan balance was $.</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70"/>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CRIME</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0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160" w:type="dxa"/>
            <w:vAlign w:val="bottom"/>
            <w:gridSpan w:val="5"/>
          </w:tcPr>
          <w:p>
            <w:pPr>
              <w:ind w:left="80"/>
              <w:spacing w:after="0" w:line="108" w:lineRule="exact"/>
              <w:rPr>
                <w:sz w:val="20"/>
                <w:szCs w:val="20"/>
                <w:color w:val="auto"/>
              </w:rPr>
            </w:pPr>
            <w:r>
              <w:rPr>
                <w:rFonts w:ascii="Arial" w:cs="Arial" w:eastAsia="Arial" w:hAnsi="Arial"/>
                <w:sz w:val="12"/>
                <w:szCs w:val="12"/>
                <w:b w:val="1"/>
                <w:bCs w:val="1"/>
                <w:color w:val="auto"/>
              </w:rPr>
              <w:t>2016-2017</w:t>
            </w: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w:t>
            </w: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3640" w:type="dxa"/>
            <w:vAlign w:val="bottom"/>
            <w:tcBorders>
              <w:right w:val="single" w:sz="8" w:color="auto"/>
            </w:tcBorders>
            <w:gridSpan w:val="6"/>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Period</w:t>
            </w:r>
          </w:p>
        </w:tc>
        <w:tc>
          <w:tcPr>
            <w:tcW w:w="3320" w:type="dxa"/>
            <w:vAlign w:val="bottom"/>
            <w:tcBorders>
              <w:bottom w:val="single" w:sz="8" w:color="auto"/>
              <w:right w:val="single" w:sz="8" w:color="auto"/>
            </w:tcBorders>
            <w:gridSpan w:val="6"/>
          </w:tcPr>
          <w:p>
            <w:pPr>
              <w:ind w:left="60"/>
              <w:spacing w:after="0"/>
              <w:rPr>
                <w:sz w:val="20"/>
                <w:szCs w:val="20"/>
                <w:color w:val="auto"/>
              </w:rPr>
            </w:pPr>
            <w:r>
              <w:rPr>
                <w:rFonts w:ascii="Arial" w:cs="Arial" w:eastAsia="Arial" w:hAnsi="Arial"/>
                <w:sz w:val="13"/>
                <w:szCs w:val="13"/>
                <w:color w:val="auto"/>
              </w:rPr>
              <w:t>11/01/2015 – 11/01/2016</w:t>
            </w:r>
          </w:p>
        </w:tc>
        <w:tc>
          <w:tcPr>
            <w:tcW w:w="3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Employee Dishonesty</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Premises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In Transit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Forgery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Computer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Funds Transfer Fraud</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0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Money Order and Counterfeit</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0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Currency Fraud 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Client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Expense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SECTION X</w:t>
            </w:r>
          </w:p>
        </w:tc>
        <w:tc>
          <w:tcPr>
            <w:tcW w:w="1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44"/>
        </w:trPr>
        <w:tc>
          <w:tcPr>
            <w:tcW w:w="18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INLAND MARINE</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62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2014-2015</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gridSpan w:val="4"/>
          </w:tcPr>
          <w:p>
            <w:pPr>
              <w:ind w:left="80"/>
              <w:spacing w:after="0" w:line="108" w:lineRule="exact"/>
              <w:rPr>
                <w:sz w:val="20"/>
                <w:szCs w:val="20"/>
                <w:color w:val="auto"/>
              </w:rPr>
            </w:pPr>
            <w:r>
              <w:rPr>
                <w:rFonts w:ascii="Arial" w:cs="Arial" w:eastAsia="Arial" w:hAnsi="Arial"/>
                <w:sz w:val="12"/>
                <w:szCs w:val="12"/>
                <w:b w:val="1"/>
                <w:bCs w:val="1"/>
                <w:color w:val="auto"/>
              </w:rPr>
              <w:t>2015-2016</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6"/>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560" w:type="dxa"/>
            <w:vAlign w:val="bottom"/>
            <w:gridSpan w:val="2"/>
          </w:tcPr>
          <w:p>
            <w:pPr>
              <w:spacing w:after="0" w:line="105" w:lineRule="exact"/>
              <w:rPr>
                <w:sz w:val="20"/>
                <w:szCs w:val="20"/>
                <w:color w:val="auto"/>
              </w:rPr>
            </w:pPr>
            <w:r>
              <w:rPr>
                <w:rFonts w:ascii="Arial" w:cs="Arial" w:eastAsia="Arial" w:hAnsi="Arial"/>
                <w:sz w:val="12"/>
                <w:szCs w:val="12"/>
                <w:color w:val="auto"/>
              </w:rPr>
              <w:t>Chubb</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gridSpan w:val="4"/>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06/20/2014 – 06/20/2015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06/20/2015 – 06/20/2016</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Devices</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Loss Payee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3"/>
                <w:szCs w:val="13"/>
                <w:color w:val="auto"/>
              </w:rPr>
              <w:t>Varilease Finance, Inc. and Its Assigns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4"/>
          </w:tcPr>
          <w:p>
            <w:pPr>
              <w:ind w:left="80"/>
              <w:spacing w:after="0" w:line="126" w:lineRule="exact"/>
              <w:rPr>
                <w:sz w:val="20"/>
                <w:szCs w:val="20"/>
                <w:color w:val="auto"/>
              </w:rPr>
            </w:pPr>
            <w:r>
              <w:rPr>
                <w:rFonts w:ascii="Arial" w:cs="Arial" w:eastAsia="Arial" w:hAnsi="Arial"/>
                <w:sz w:val="13"/>
                <w:szCs w:val="13"/>
                <w:color w:val="auto"/>
              </w:rPr>
              <w:t>Varilease Finance, Inc. and Its Assigns</w:t>
            </w:r>
          </w:p>
        </w:tc>
      </w:tr>
      <w:tr>
        <w:trPr>
          <w:trHeight w:val="372"/>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OCEAN MARINE</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115"/>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4"/>
          </w:tcPr>
          <w:p>
            <w:pPr>
              <w:ind w:left="80"/>
              <w:spacing w:after="0" w:line="108" w:lineRule="exact"/>
              <w:rPr>
                <w:sz w:val="20"/>
                <w:szCs w:val="20"/>
                <w:color w:val="auto"/>
              </w:rPr>
            </w:pPr>
            <w:r>
              <w:rPr>
                <w:rFonts w:ascii="Arial" w:cs="Arial" w:eastAsia="Arial" w:hAnsi="Arial"/>
                <w:sz w:val="12"/>
                <w:szCs w:val="12"/>
                <w:b w:val="1"/>
                <w:bCs w:val="1"/>
                <w:color w:val="auto"/>
              </w:rPr>
              <w:t>2016-2017</w:t>
            </w:r>
          </w:p>
        </w:tc>
      </w:tr>
      <w:tr>
        <w:trPr>
          <w:trHeight w:val="115"/>
        </w:trPr>
        <w:tc>
          <w:tcPr>
            <w:tcW w:w="100" w:type="dxa"/>
            <w:vAlign w:val="bottom"/>
            <w:tcBorders>
              <w:left w:val="single" w:sz="8" w:color="auto"/>
            </w:tcBorders>
          </w:tcPr>
          <w:p>
            <w:pPr>
              <w:spacing w:after="0"/>
              <w:rPr>
                <w:sz w:val="10"/>
                <w:szCs w:val="10"/>
                <w:color w:val="auto"/>
              </w:rPr>
            </w:pPr>
          </w:p>
        </w:tc>
        <w:tc>
          <w:tcPr>
            <w:tcW w:w="2440" w:type="dxa"/>
            <w:vAlign w:val="bottom"/>
            <w:tcBorders>
              <w:right w:val="single" w:sz="8" w:color="auto"/>
            </w:tcBorders>
            <w:gridSpan w:val="6"/>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60" w:type="dxa"/>
            <w:vAlign w:val="bottom"/>
          </w:tcPr>
          <w:p>
            <w:pPr>
              <w:spacing w:after="0"/>
              <w:rPr>
                <w:sz w:val="10"/>
                <w:szCs w:val="10"/>
                <w:color w:val="auto"/>
              </w:rPr>
            </w:pPr>
          </w:p>
        </w:tc>
        <w:tc>
          <w:tcPr>
            <w:tcW w:w="2560" w:type="dxa"/>
            <w:vAlign w:val="bottom"/>
            <w:gridSpan w:val="2"/>
          </w:tcPr>
          <w:p>
            <w:pPr>
              <w:spacing w:after="0" w:line="115" w:lineRule="exact"/>
              <w:rPr>
                <w:sz w:val="20"/>
                <w:szCs w:val="20"/>
                <w:color w:val="auto"/>
              </w:rPr>
            </w:pPr>
            <w:r>
              <w:rPr>
                <w:rFonts w:ascii="Arial" w:cs="Arial" w:eastAsia="Arial" w:hAnsi="Arial"/>
                <w:sz w:val="13"/>
                <w:szCs w:val="13"/>
                <w:color w:val="auto"/>
              </w:rPr>
              <w:t>Chubb</w:t>
            </w: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Any One Conveyance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430"/>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3"/>
          </w:tcPr>
          <w:p>
            <w:pPr>
              <w:ind w:left="178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9"/>
        </w:trPr>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346" w:right="1440" w:bottom="1440" w:gutter="0" w:footer="0" w:header="0"/>
        </w:sectPr>
      </w:pPr>
    </w:p>
    <w:bookmarkStart w:id="209" w:name="page210"/>
    <w:bookmarkEnd w:id="209"/>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81"/>
        </w:trPr>
        <w:tc>
          <w:tcPr>
            <w:tcW w:w="100" w:type="dxa"/>
            <w:vAlign w:val="bottom"/>
            <w:tcBorders>
              <w:top w:val="single" w:sz="8" w:color="auto"/>
              <w:left w:val="single" w:sz="8" w:color="auto"/>
            </w:tcBorders>
          </w:tcPr>
          <w:p>
            <w:pPr>
              <w:spacing w:after="0"/>
              <w:rPr>
                <w:sz w:val="15"/>
                <w:szCs w:val="15"/>
                <w:color w:val="auto"/>
              </w:rPr>
            </w:pPr>
          </w:p>
        </w:tc>
        <w:tc>
          <w:tcPr>
            <w:tcW w:w="1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3"/>
                <w:szCs w:val="13"/>
                <w:color w:val="auto"/>
              </w:rPr>
              <w:t>Sublimits:</w:t>
            </w: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tcBorders>
          </w:tcPr>
          <w:p>
            <w:pPr>
              <w:jc w:val="right"/>
              <w:ind w:right="1054"/>
              <w:spacing w:after="0"/>
              <w:rPr>
                <w:sz w:val="20"/>
                <w:szCs w:val="20"/>
                <w:color w:val="auto"/>
              </w:rPr>
            </w:pPr>
            <w:r>
              <w:rPr>
                <w:rFonts w:ascii="Arial" w:cs="Arial" w:eastAsia="Arial" w:hAnsi="Arial"/>
                <w:sz w:val="13"/>
                <w:szCs w:val="13"/>
                <w:color w:val="auto"/>
              </w:rPr>
              <w:t>***</w:t>
            </w:r>
          </w:p>
        </w:tc>
        <w:tc>
          <w:tcPr>
            <w:tcW w:w="17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On Deck Bill Of Lading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Mail or Parcel Post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Messenger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Barge Limit</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920" w:type="dxa"/>
            <w:vAlign w:val="bottom"/>
            <w:gridSpan w:val="3"/>
          </w:tcPr>
          <w:p>
            <w:pPr>
              <w:spacing w:after="0" w:line="105" w:lineRule="exact"/>
              <w:rPr>
                <w:sz w:val="20"/>
                <w:szCs w:val="20"/>
                <w:color w:val="auto"/>
              </w:rPr>
            </w:pPr>
            <w:r>
              <w:rPr>
                <w:rFonts w:ascii="Arial" w:cs="Arial" w:eastAsia="Arial" w:hAnsi="Arial"/>
                <w:sz w:val="12"/>
                <w:szCs w:val="12"/>
                <w:color w:val="auto"/>
              </w:rPr>
              <w:t>Additional Coverage:</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40" w:type="dxa"/>
            <w:vAlign w:val="bottom"/>
            <w:gridSpan w:val="2"/>
          </w:tcPr>
          <w:p>
            <w:pPr>
              <w:jc w:val="right"/>
              <w:ind w:right="760"/>
              <w:spacing w:after="0" w:line="105" w:lineRule="exact"/>
              <w:rPr>
                <w:sz w:val="20"/>
                <w:szCs w:val="20"/>
                <w:color w:val="auto"/>
              </w:rPr>
            </w:pPr>
            <w:r>
              <w:rPr>
                <w:rFonts w:ascii="Arial" w:cs="Arial" w:eastAsia="Arial" w:hAnsi="Arial"/>
                <w:sz w:val="12"/>
                <w:szCs w:val="12"/>
                <w:color w:val="auto"/>
              </w:rPr>
              <w:t>***</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380" w:type="dxa"/>
            <w:vAlign w:val="bottom"/>
          </w:tcPr>
          <w:p>
            <w:pPr>
              <w:jc w:val="right"/>
              <w:ind w:right="1054"/>
              <w:spacing w:after="0" w:line="105" w:lineRule="exact"/>
              <w:rPr>
                <w:sz w:val="20"/>
                <w:szCs w:val="20"/>
                <w:color w:val="auto"/>
              </w:rPr>
            </w:pPr>
            <w:r>
              <w:rPr>
                <w:rFonts w:ascii="Arial" w:cs="Arial" w:eastAsia="Arial" w:hAnsi="Arial"/>
                <w:sz w:val="12"/>
                <w:szCs w:val="12"/>
                <w:color w:val="auto"/>
              </w:rPr>
              <w:t>***</w:t>
            </w: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Consolidation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Exhibition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Extra Expense</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Salesperson Samples</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War Risk</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760"/>
              <w:spacing w:after="0" w:line="126"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760"/>
              <w:spacing w:after="0" w:line="126"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Merchandise Insured</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760"/>
              <w:spacing w:after="0" w:line="126"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20" w:type="dxa"/>
            <w:vAlign w:val="bottom"/>
            <w:gridSpan w:val="4"/>
          </w:tcPr>
          <w:p>
            <w:pPr>
              <w:spacing w:after="0"/>
              <w:rPr>
                <w:sz w:val="20"/>
                <w:szCs w:val="20"/>
                <w:color w:val="auto"/>
              </w:rPr>
            </w:pPr>
            <w:r>
              <w:rPr>
                <w:rFonts w:ascii="Arial" w:cs="Arial" w:eastAsia="Arial" w:hAnsi="Arial"/>
                <w:sz w:val="13"/>
                <w:szCs w:val="13"/>
                <w:b w:val="1"/>
                <w:bCs w:val="1"/>
                <w:color w:val="auto"/>
              </w:rPr>
              <w:t>SECTION XI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PREMIUM</w:t>
            </w:r>
          </w:p>
        </w:tc>
        <w:tc>
          <w:tcPr>
            <w:tcW w:w="1240" w:type="dxa"/>
            <w:vAlign w:val="bottom"/>
          </w:tcPr>
          <w:p>
            <w:pPr>
              <w:spacing w:after="0"/>
              <w:rPr>
                <w:sz w:val="20"/>
                <w:szCs w:val="20"/>
                <w:color w:val="auto"/>
              </w:rPr>
            </w:pPr>
            <w:r>
              <w:rPr>
                <w:rFonts w:ascii="Arial" w:cs="Arial" w:eastAsia="Arial" w:hAnsi="Arial"/>
                <w:sz w:val="13"/>
                <w:szCs w:val="13"/>
                <w:b w:val="1"/>
                <w:bCs w:val="1"/>
                <w:color w:val="auto"/>
                <w:w w:val="97"/>
              </w:rPr>
              <w:t>SUMMARY – Chubb</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40" w:type="dxa"/>
            <w:vAlign w:val="bottom"/>
            <w:gridSpan w:val="4"/>
          </w:tcPr>
          <w:p>
            <w:pPr>
              <w:ind w:left="80"/>
              <w:spacing w:after="0" w:line="117" w:lineRule="exact"/>
              <w:rPr>
                <w:sz w:val="20"/>
                <w:szCs w:val="20"/>
                <w:color w:val="auto"/>
              </w:rPr>
            </w:pPr>
            <w:r>
              <w:rPr>
                <w:rFonts w:ascii="Arial" w:cs="Arial" w:eastAsia="Arial" w:hAnsi="Arial"/>
                <w:sz w:val="13"/>
                <w:szCs w:val="13"/>
                <w:b w:val="1"/>
                <w:bCs w:val="1"/>
                <w:color w:val="auto"/>
              </w:rPr>
              <w:t>2015-2016</w:t>
            </w:r>
          </w:p>
        </w:tc>
        <w:tc>
          <w:tcPr>
            <w:tcW w:w="900" w:type="dxa"/>
            <w:vAlign w:val="bottom"/>
            <w:tcBorders>
              <w:right w:val="single" w:sz="8" w:color="auto"/>
            </w:tcBorders>
          </w:tcPr>
          <w:p>
            <w:pPr>
              <w:spacing w:after="0"/>
              <w:rPr>
                <w:sz w:val="10"/>
                <w:szCs w:val="10"/>
                <w:color w:val="auto"/>
              </w:rPr>
            </w:pPr>
          </w:p>
        </w:tc>
        <w:tc>
          <w:tcPr>
            <w:tcW w:w="1200" w:type="dxa"/>
            <w:vAlign w:val="bottom"/>
            <w:gridSpan w:val="4"/>
          </w:tcPr>
          <w:p>
            <w:pPr>
              <w:ind w:left="80"/>
              <w:spacing w:after="0" w:line="117" w:lineRule="exact"/>
              <w:rPr>
                <w:sz w:val="20"/>
                <w:szCs w:val="20"/>
                <w:color w:val="auto"/>
              </w:rPr>
            </w:pPr>
            <w:r>
              <w:rPr>
                <w:rFonts w:ascii="Arial" w:cs="Arial" w:eastAsia="Arial" w:hAnsi="Arial"/>
                <w:sz w:val="13"/>
                <w:szCs w:val="13"/>
                <w:b w:val="1"/>
                <w:bCs w:val="1"/>
                <w:color w:val="auto"/>
              </w:rPr>
              <w:t>2016-2017</w:t>
            </w:r>
          </w:p>
        </w:tc>
        <w:tc>
          <w:tcPr>
            <w:tcW w:w="1380" w:type="dxa"/>
            <w:vAlign w:val="bottom"/>
            <w:tcBorders>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00" w:type="dxa"/>
            <w:vAlign w:val="bottom"/>
            <w:tcBorders>
              <w:left w:val="single" w:sz="8" w:color="auto"/>
            </w:tcBorders>
          </w:tcPr>
          <w:p>
            <w:pPr>
              <w:spacing w:after="0"/>
              <w:rPr>
                <w:sz w:val="4"/>
                <w:szCs w:val="4"/>
                <w:color w:val="auto"/>
              </w:rPr>
            </w:pPr>
          </w:p>
        </w:tc>
        <w:tc>
          <w:tcPr>
            <w:tcW w:w="192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spacing w:after="0" w:line="117" w:lineRule="exact"/>
              <w:rPr>
                <w:sz w:val="20"/>
                <w:szCs w:val="20"/>
                <w:color w:val="auto"/>
              </w:rPr>
            </w:pPr>
            <w:r>
              <w:rPr>
                <w:rFonts w:ascii="Arial" w:cs="Arial" w:eastAsia="Arial" w:hAnsi="Arial"/>
                <w:sz w:val="13"/>
                <w:szCs w:val="13"/>
                <w:b w:val="1"/>
                <w:bCs w:val="1"/>
                <w:color w:val="auto"/>
              </w:rPr>
              <w:t>Chubb</w:t>
            </w:r>
          </w:p>
        </w:tc>
        <w:tc>
          <w:tcPr>
            <w:tcW w:w="880" w:type="dxa"/>
            <w:vAlign w:val="bottom"/>
            <w:vMerge w:val="restart"/>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gridSpan w:val="5"/>
            <w:vMerge w:val="restart"/>
          </w:tcPr>
          <w:p>
            <w:pPr>
              <w:ind w:left="80"/>
              <w:spacing w:after="0" w:line="117" w:lineRule="exact"/>
              <w:rPr>
                <w:sz w:val="20"/>
                <w:szCs w:val="20"/>
                <w:color w:val="auto"/>
              </w:rPr>
            </w:pPr>
            <w:r>
              <w:rPr>
                <w:rFonts w:ascii="Arial" w:cs="Arial" w:eastAsia="Arial" w:hAnsi="Arial"/>
                <w:sz w:val="13"/>
                <w:szCs w:val="13"/>
                <w:b w:val="1"/>
                <w:bCs w:val="1"/>
                <w:color w:val="auto"/>
              </w:rPr>
              <w:t>Chubb</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2580" w:type="dxa"/>
            <w:vAlign w:val="bottom"/>
            <w:tcBorders>
              <w:right w:val="single" w:sz="8" w:color="auto"/>
            </w:tcBorders>
            <w:gridSpan w:val="5"/>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3" w:lineRule="exact"/>
              <w:rPr>
                <w:sz w:val="20"/>
                <w:szCs w:val="20"/>
                <w:color w:val="auto"/>
              </w:rPr>
            </w:pPr>
            <w:r>
              <w:rPr>
                <w:rFonts w:ascii="Arial" w:cs="Arial" w:eastAsia="Arial" w:hAnsi="Arial"/>
                <w:sz w:val="13"/>
                <w:szCs w:val="13"/>
                <w:color w:val="auto"/>
              </w:rPr>
              <w:t>Property</w:t>
            </w:r>
          </w:p>
        </w:tc>
        <w:tc>
          <w:tcPr>
            <w:tcW w:w="50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E&amp;O/Cyber</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Workers Compensation</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Umbrella</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Property</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Ocean Cargo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Basis</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tcPr>
          <w:p>
            <w:pPr>
              <w:jc w:val="right"/>
              <w:ind w:right="13"/>
              <w:spacing w:after="0"/>
              <w:rPr>
                <w:sz w:val="20"/>
                <w:szCs w:val="20"/>
                <w:color w:val="auto"/>
              </w:rPr>
            </w:pPr>
            <w:r>
              <w:rPr>
                <w:rFonts w:ascii="Arial" w:cs="Arial" w:eastAsia="Arial" w:hAnsi="Arial"/>
                <w:sz w:val="13"/>
                <w:szCs w:val="13"/>
                <w:color w:val="auto"/>
              </w:rPr>
              <w:t>31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13"/>
          <w:szCs w:val="13"/>
          <w:b w:val="1"/>
          <w:bCs w:val="1"/>
          <w:color w:val="auto"/>
        </w:rPr>
        <w:t>SCHEDULE 3.15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Capitalization and Subsidiaries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Capitalization</w:t>
      </w:r>
    </w:p>
    <w:p>
      <w:pPr>
        <w:spacing w:after="0" w:line="124" w:lineRule="exact"/>
        <w:rPr>
          <w:sz w:val="20"/>
          <w:szCs w:val="20"/>
          <w:color w:val="auto"/>
        </w:rPr>
      </w:pPr>
    </w:p>
    <w:p>
      <w:pPr>
        <w:ind w:left="360" w:hanging="236"/>
        <w:spacing w:after="0"/>
        <w:tabs>
          <w:tab w:leader="none" w:pos="3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Common stock, no par value</w:t>
      </w:r>
    </w:p>
    <w:p>
      <w:pPr>
        <w:spacing w:after="0" w:line="87" w:lineRule="exact"/>
        <w:rPr>
          <w:rFonts w:ascii="Arial" w:cs="Arial" w:eastAsia="Arial" w:hAnsi="Arial"/>
          <w:sz w:val="13"/>
          <w:szCs w:val="13"/>
          <w:color w:val="auto"/>
        </w:rPr>
      </w:pPr>
    </w:p>
    <w:p>
      <w:pPr>
        <w:ind w:left="360" w:hanging="236"/>
        <w:spacing w:after="0"/>
        <w:tabs>
          <w:tab w:leader="none" w:pos="3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Preferred stock, no par value</w:t>
      </w:r>
    </w:p>
    <w:p>
      <w:pPr>
        <w:spacing w:after="0" w:line="78" w:lineRule="exact"/>
        <w:rPr>
          <w:rFonts w:ascii="Arial" w:cs="Arial" w:eastAsia="Arial" w:hAnsi="Arial"/>
          <w:sz w:val="13"/>
          <w:szCs w:val="13"/>
          <w:color w:val="auto"/>
        </w:rPr>
      </w:pPr>
    </w:p>
    <w:p>
      <w:pPr>
        <w:ind w:left="360" w:hanging="236"/>
        <w:spacing w:after="0"/>
        <w:tabs>
          <w:tab w:leader="none" w:pos="3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Series A Convertible Preferred Stock</w:t>
      </w:r>
    </w:p>
    <w:p>
      <w:pPr>
        <w:spacing w:after="0" w:line="87" w:lineRule="exact"/>
        <w:rPr>
          <w:rFonts w:ascii="Arial" w:cs="Arial" w:eastAsia="Arial" w:hAnsi="Arial"/>
          <w:sz w:val="13"/>
          <w:szCs w:val="13"/>
          <w:color w:val="auto"/>
        </w:rPr>
      </w:pPr>
    </w:p>
    <w:p>
      <w:pPr>
        <w:ind w:left="360" w:hanging="236"/>
        <w:spacing w:after="0"/>
        <w:tabs>
          <w:tab w:leader="none" w:pos="3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Warrants: Issued to Heritage Bank of Commerce, and exercisable for 23,978 shares of common stock at $5 a share until 3/29/2021</w:t>
      </w:r>
    </w:p>
    <w:p>
      <w:pPr>
        <w:spacing w:after="0" w:line="124" w:lineRule="exact"/>
        <w:rPr>
          <w:rFonts w:ascii="Arial" w:cs="Arial" w:eastAsia="Arial" w:hAnsi="Arial"/>
          <w:sz w:val="13"/>
          <w:szCs w:val="13"/>
          <w:color w:val="auto"/>
        </w:rPr>
      </w:pPr>
    </w:p>
    <w:p>
      <w:pPr>
        <w:ind w:left="360" w:hanging="236"/>
        <w:spacing w:after="0"/>
        <w:tabs>
          <w:tab w:leader="none" w:pos="3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Stock options – Issued to employees and directors with varying expiration dates and exercise prices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0"/>
              </w:rPr>
              <w:t>Subsidiaries</w:t>
            </w:r>
          </w:p>
        </w:tc>
        <w:tc>
          <w:tcPr>
            <w:tcW w:w="2160" w:type="dxa"/>
            <w:vAlign w:val="bottom"/>
          </w:tcPr>
          <w:p>
            <w:pPr>
              <w:spacing w:after="0"/>
              <w:rPr>
                <w:sz w:val="13"/>
                <w:szCs w:val="13"/>
                <w:color w:val="auto"/>
              </w:rPr>
            </w:pPr>
          </w:p>
        </w:tc>
        <w:tc>
          <w:tcPr>
            <w:tcW w:w="5960" w:type="dxa"/>
            <w:vAlign w:val="bottom"/>
          </w:tcPr>
          <w:p>
            <w:pPr>
              <w:spacing w:after="0"/>
              <w:rPr>
                <w:sz w:val="13"/>
                <w:szCs w:val="13"/>
                <w:color w:val="auto"/>
              </w:rPr>
            </w:pPr>
          </w:p>
        </w:tc>
      </w:tr>
      <w:tr>
        <w:trPr>
          <w:trHeight w:val="294"/>
        </w:trPr>
        <w:tc>
          <w:tcPr>
            <w:tcW w:w="400" w:type="dxa"/>
            <w:vAlign w:val="bottom"/>
          </w:tcPr>
          <w:p>
            <w:pPr>
              <w:jc w:val="right"/>
              <w:ind w:right="153"/>
              <w:spacing w:after="0"/>
              <w:rPr>
                <w:sz w:val="20"/>
                <w:szCs w:val="20"/>
                <w:color w:val="auto"/>
              </w:rPr>
            </w:pPr>
            <w:r>
              <w:rPr>
                <w:rFonts w:ascii="Arial" w:cs="Arial" w:eastAsia="Arial" w:hAnsi="Arial"/>
                <w:sz w:val="13"/>
                <w:szCs w:val="13"/>
                <w:color w:val="auto"/>
              </w:rPr>
              <w:t>1.</w:t>
            </w: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USAT Capital Corp, LLC</w:t>
            </w:r>
          </w:p>
        </w:tc>
        <w:tc>
          <w:tcPr>
            <w:tcW w:w="5960" w:type="dxa"/>
            <w:vAlign w:val="bottom"/>
          </w:tcPr>
          <w:p>
            <w:pPr>
              <w:ind w:left="640"/>
              <w:spacing w:after="0"/>
              <w:rPr>
                <w:sz w:val="20"/>
                <w:szCs w:val="20"/>
                <w:color w:val="auto"/>
              </w:rPr>
            </w:pPr>
            <w:r>
              <w:rPr>
                <w:rFonts w:ascii="Arial" w:cs="Arial" w:eastAsia="Arial" w:hAnsi="Arial"/>
                <w:sz w:val="13"/>
                <w:szCs w:val="13"/>
                <w:color w:val="auto"/>
              </w:rPr>
              <w:t>Wholly owned by USA Technologies, Inc.</w:t>
            </w:r>
          </w:p>
        </w:tc>
      </w:tr>
      <w:tr>
        <w:trPr>
          <w:trHeight w:val="274"/>
        </w:trPr>
        <w:tc>
          <w:tcPr>
            <w:tcW w:w="400" w:type="dxa"/>
            <w:vAlign w:val="bottom"/>
          </w:tcPr>
          <w:p>
            <w:pPr>
              <w:jc w:val="right"/>
              <w:ind w:right="153"/>
              <w:spacing w:after="0"/>
              <w:rPr>
                <w:sz w:val="20"/>
                <w:szCs w:val="20"/>
                <w:color w:val="auto"/>
              </w:rPr>
            </w:pPr>
            <w:r>
              <w:rPr>
                <w:rFonts w:ascii="Arial" w:cs="Arial" w:eastAsia="Arial" w:hAnsi="Arial"/>
                <w:sz w:val="13"/>
                <w:szCs w:val="13"/>
                <w:color w:val="auto"/>
              </w:rPr>
              <w:t>2.</w:t>
            </w: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Stitch Networks Corporation</w:t>
            </w:r>
          </w:p>
        </w:tc>
        <w:tc>
          <w:tcPr>
            <w:tcW w:w="5960" w:type="dxa"/>
            <w:vAlign w:val="bottom"/>
          </w:tcPr>
          <w:p>
            <w:pPr>
              <w:ind w:left="640"/>
              <w:spacing w:after="0"/>
              <w:rPr>
                <w:sz w:val="20"/>
                <w:szCs w:val="20"/>
                <w:color w:val="auto"/>
              </w:rPr>
            </w:pPr>
            <w:r>
              <w:rPr>
                <w:rFonts w:ascii="Arial" w:cs="Arial" w:eastAsia="Arial" w:hAnsi="Arial"/>
                <w:sz w:val="13"/>
                <w:szCs w:val="13"/>
                <w:color w:val="auto"/>
              </w:rPr>
              <w:t>Wholly owned by USA Technologies, Inc.</w:t>
            </w:r>
          </w:p>
        </w:tc>
      </w:tr>
      <w:tr>
        <w:trPr>
          <w:trHeight w:val="274"/>
        </w:trPr>
        <w:tc>
          <w:tcPr>
            <w:tcW w:w="400" w:type="dxa"/>
            <w:vAlign w:val="bottom"/>
          </w:tcPr>
          <w:p>
            <w:pPr>
              <w:jc w:val="right"/>
              <w:ind w:right="153"/>
              <w:spacing w:after="0"/>
              <w:rPr>
                <w:sz w:val="20"/>
                <w:szCs w:val="20"/>
                <w:color w:val="auto"/>
              </w:rPr>
            </w:pPr>
            <w:r>
              <w:rPr>
                <w:rFonts w:ascii="Arial" w:cs="Arial" w:eastAsia="Arial" w:hAnsi="Arial"/>
                <w:sz w:val="13"/>
                <w:szCs w:val="13"/>
                <w:color w:val="auto"/>
              </w:rPr>
              <w:t>3.</w:t>
            </w: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USAT, Inc.</w:t>
            </w:r>
          </w:p>
        </w:tc>
        <w:tc>
          <w:tcPr>
            <w:tcW w:w="5960" w:type="dxa"/>
            <w:vAlign w:val="bottom"/>
          </w:tcPr>
          <w:p>
            <w:pPr>
              <w:ind w:left="640"/>
              <w:spacing w:after="0"/>
              <w:rPr>
                <w:sz w:val="20"/>
                <w:szCs w:val="20"/>
                <w:color w:val="auto"/>
              </w:rPr>
            </w:pPr>
            <w:r>
              <w:rPr>
                <w:rFonts w:ascii="Arial" w:cs="Arial" w:eastAsia="Arial" w:hAnsi="Arial"/>
                <w:sz w:val="13"/>
                <w:szCs w:val="13"/>
                <w:color w:val="auto"/>
              </w:rPr>
              <w:t>Wholly owned by USA Technologies, Inc.</w:t>
            </w:r>
          </w:p>
        </w:tc>
      </w:tr>
      <w:tr>
        <w:trPr>
          <w:trHeight w:val="79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960" w:type="dxa"/>
            <w:vAlign w:val="bottom"/>
          </w:tcPr>
          <w:p>
            <w:pPr>
              <w:jc w:val="right"/>
              <w:ind w:right="4253"/>
              <w:spacing w:after="0"/>
              <w:rPr>
                <w:sz w:val="20"/>
                <w:szCs w:val="20"/>
                <w:color w:val="auto"/>
              </w:rPr>
            </w:pPr>
            <w:r>
              <w:rPr>
                <w:rFonts w:ascii="Arial" w:cs="Arial" w:eastAsia="Arial" w:hAnsi="Arial"/>
                <w:sz w:val="13"/>
                <w:szCs w:val="13"/>
                <w:color w:val="auto"/>
              </w:rPr>
              <w:t>32</w:t>
            </w:r>
          </w:p>
        </w:tc>
      </w:tr>
      <w:tr>
        <w:trPr>
          <w:trHeight w:val="51"/>
        </w:trPr>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44"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13"/>
          <w:szCs w:val="13"/>
          <w:b w:val="1"/>
          <w:bCs w:val="1"/>
          <w:color w:val="auto"/>
        </w:rPr>
        <w:t>SCHEDULE 6.01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Existing Indebtedness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gridSpan w:val="3"/>
          </w:tcPr>
          <w:p>
            <w:pPr>
              <w:ind w:left="220"/>
              <w:spacing w:after="0"/>
              <w:rPr>
                <w:sz w:val="20"/>
                <w:szCs w:val="20"/>
                <w:color w:val="auto"/>
              </w:rPr>
            </w:pPr>
            <w:r>
              <w:rPr>
                <w:rFonts w:ascii="Arial" w:cs="Arial" w:eastAsia="Arial" w:hAnsi="Arial"/>
                <w:sz w:val="13"/>
                <w:szCs w:val="13"/>
                <w:color w:val="auto"/>
              </w:rPr>
              <w:t>Capital leases:</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126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Name of Lessor</w:t>
            </w:r>
          </w:p>
        </w:tc>
        <w:tc>
          <w:tcPr>
            <w:tcW w:w="1580" w:type="dxa"/>
            <w:vAlign w:val="bottom"/>
            <w:vMerge w:val="restart"/>
          </w:tcPr>
          <w:p>
            <w:pPr>
              <w:spacing w:after="0"/>
              <w:rPr>
                <w:sz w:val="24"/>
                <w:szCs w:val="2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w w:val="87"/>
              </w:rPr>
              <w:t>Lease Date</w:t>
            </w:r>
          </w:p>
        </w:tc>
        <w:tc>
          <w:tcPr>
            <w:tcW w:w="17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6"/>
              </w:rPr>
              <w:t>Termination</w:t>
            </w:r>
          </w:p>
        </w:tc>
        <w:tc>
          <w:tcPr>
            <w:tcW w:w="780" w:type="dxa"/>
            <w:vAlign w:val="bottom"/>
          </w:tcPr>
          <w:p>
            <w:pPr>
              <w:spacing w:after="0"/>
              <w:rPr>
                <w:sz w:val="24"/>
                <w:szCs w:val="2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Balance at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center"/>
              <w:ind w:right="240"/>
              <w:spacing w:after="0" w:line="97"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Borders>
              <w:top w:val="single" w:sz="8" w:color="auto"/>
            </w:tcBorders>
          </w:tcPr>
          <w:p>
            <w:pPr>
              <w:jc w:val="right"/>
              <w:ind w:right="79"/>
              <w:spacing w:after="0" w:line="97" w:lineRule="exact"/>
              <w:rPr>
                <w:sz w:val="20"/>
                <w:szCs w:val="20"/>
                <w:color w:val="auto"/>
              </w:rPr>
            </w:pPr>
            <w:r>
              <w:rPr>
                <w:rFonts w:ascii="Arial" w:cs="Arial" w:eastAsia="Arial" w:hAnsi="Arial"/>
                <w:sz w:val="11"/>
                <w:szCs w:val="11"/>
                <w:b w:val="1"/>
                <w:bCs w:val="1"/>
                <w:color w:val="auto"/>
                <w:w w:val="89"/>
              </w:rPr>
              <w:t>9/30/2017</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40" w:type="dxa"/>
            <w:vAlign w:val="bottom"/>
            <w:gridSpan w:val="3"/>
          </w:tcPr>
          <w:p>
            <w:pPr>
              <w:jc w:val="center"/>
              <w:ind w:right="320"/>
              <w:spacing w:after="0"/>
              <w:rPr>
                <w:sz w:val="20"/>
                <w:szCs w:val="20"/>
                <w:color w:val="auto"/>
              </w:rPr>
            </w:pPr>
            <w:r>
              <w:rPr>
                <w:rFonts w:ascii="Arial" w:cs="Arial" w:eastAsia="Arial" w:hAnsi="Arial"/>
                <w:sz w:val="13"/>
                <w:szCs w:val="13"/>
                <w:color w:val="auto"/>
                <w:w w:val="91"/>
              </w:rPr>
              <w:t>Western Equipment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8/1/2015</w:t>
            </w:r>
          </w:p>
        </w:tc>
        <w:tc>
          <w:tcPr>
            <w:tcW w:w="480" w:type="dxa"/>
            <w:vAlign w:val="bottom"/>
          </w:tcPr>
          <w:p>
            <w:pPr>
              <w:spacing w:after="0"/>
              <w:rPr>
                <w:sz w:val="17"/>
                <w:szCs w:val="17"/>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7/1/2018</w:t>
            </w:r>
          </w:p>
        </w:tc>
        <w:tc>
          <w:tcPr>
            <w:tcW w:w="600" w:type="dxa"/>
            <w:vAlign w:val="bottom"/>
          </w:tcPr>
          <w:p>
            <w:pPr>
              <w:spacing w:after="0"/>
              <w:rPr>
                <w:sz w:val="17"/>
                <w:szCs w:val="17"/>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20"/>
              <w:spacing w:after="0"/>
              <w:rPr>
                <w:sz w:val="20"/>
                <w:szCs w:val="20"/>
                <w:color w:val="auto"/>
              </w:rPr>
            </w:pPr>
            <w:r>
              <w:rPr>
                <w:rFonts w:ascii="Arial" w:cs="Arial" w:eastAsia="Arial" w:hAnsi="Arial"/>
                <w:sz w:val="13"/>
                <w:szCs w:val="13"/>
                <w:color w:val="auto"/>
                <w:w w:val="94"/>
              </w:rPr>
              <w:t>Huntington Technology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6/1/2014</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5/1/2019</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6"/>
              </w:rPr>
              <w:t>Dell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2/28/2014</w:t>
            </w:r>
          </w:p>
        </w:tc>
        <w:tc>
          <w:tcPr>
            <w:tcW w:w="480" w:type="dxa"/>
            <w:vAlign w:val="bottom"/>
          </w:tcPr>
          <w:p>
            <w:pPr>
              <w:spacing w:after="0"/>
              <w:rPr>
                <w:sz w:val="16"/>
                <w:szCs w:val="16"/>
                <w:color w:val="auto"/>
              </w:rPr>
            </w:pPr>
          </w:p>
        </w:tc>
        <w:tc>
          <w:tcPr>
            <w:tcW w:w="1100" w:type="dxa"/>
            <w:vAlign w:val="bottom"/>
            <w:gridSpan w:val="4"/>
          </w:tcPr>
          <w:p>
            <w:pPr>
              <w:jc w:val="center"/>
              <w:ind w:left="293"/>
              <w:spacing w:after="0"/>
              <w:rPr>
                <w:sz w:val="20"/>
                <w:szCs w:val="20"/>
                <w:color w:val="auto"/>
              </w:rPr>
            </w:pPr>
            <w:r>
              <w:rPr>
                <w:rFonts w:ascii="Arial" w:cs="Arial" w:eastAsia="Arial" w:hAnsi="Arial"/>
                <w:sz w:val="13"/>
                <w:szCs w:val="13"/>
                <w:color w:val="auto"/>
                <w:w w:val="93"/>
              </w:rPr>
              <w:t>1/31/2018</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20"/>
              <w:spacing w:after="0"/>
              <w:rPr>
                <w:sz w:val="20"/>
                <w:szCs w:val="20"/>
                <w:color w:val="auto"/>
              </w:rPr>
            </w:pPr>
            <w:r>
              <w:rPr>
                <w:rFonts w:ascii="Arial" w:cs="Arial" w:eastAsia="Arial" w:hAnsi="Arial"/>
                <w:sz w:val="13"/>
                <w:szCs w:val="13"/>
                <w:color w:val="auto"/>
                <w:w w:val="91"/>
              </w:rPr>
              <w:t>Western Equipment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3/1/2019</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8"/>
              </w:rPr>
              <w:t>CIT Lending</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3/1/2019</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20"/>
              <w:spacing w:after="0"/>
              <w:rPr>
                <w:sz w:val="20"/>
                <w:szCs w:val="20"/>
                <w:color w:val="auto"/>
              </w:rPr>
            </w:pPr>
            <w:r>
              <w:rPr>
                <w:rFonts w:ascii="Arial" w:cs="Arial" w:eastAsia="Arial" w:hAnsi="Arial"/>
                <w:sz w:val="13"/>
                <w:szCs w:val="13"/>
                <w:color w:val="auto"/>
                <w:w w:val="91"/>
              </w:rPr>
              <w:t>Western Equipment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3/1/2019</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40"/>
              <w:spacing w:after="0"/>
              <w:rPr>
                <w:sz w:val="20"/>
                <w:szCs w:val="20"/>
                <w:color w:val="auto"/>
              </w:rPr>
            </w:pPr>
            <w:r>
              <w:rPr>
                <w:rFonts w:ascii="Arial" w:cs="Arial" w:eastAsia="Arial" w:hAnsi="Arial"/>
                <w:sz w:val="13"/>
                <w:szCs w:val="13"/>
                <w:color w:val="auto"/>
                <w:w w:val="96"/>
              </w:rPr>
              <w:t>Bank of America</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5/31/2016</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5/1/2019</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40"/>
              <w:spacing w:after="0"/>
              <w:rPr>
                <w:sz w:val="20"/>
                <w:szCs w:val="20"/>
                <w:color w:val="auto"/>
              </w:rPr>
            </w:pPr>
            <w:r>
              <w:rPr>
                <w:rFonts w:ascii="Arial" w:cs="Arial" w:eastAsia="Arial" w:hAnsi="Arial"/>
                <w:sz w:val="13"/>
                <w:szCs w:val="13"/>
                <w:color w:val="auto"/>
                <w:w w:val="96"/>
              </w:rPr>
              <w:t>Bank of America</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11/22/2016</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2"/>
              </w:rPr>
              <w:t>11/22/2021</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6"/>
              </w:rPr>
              <w:t>Dell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1/1/2017</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1/1/2022</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5"/>
              </w:rPr>
              <w:t>Wells Fargo</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1/1/2017</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1/1/2022</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5"/>
              </w:rPr>
              <w:t>Wells Fargo</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4/21/2017</w:t>
            </w:r>
          </w:p>
        </w:tc>
        <w:tc>
          <w:tcPr>
            <w:tcW w:w="480" w:type="dxa"/>
            <w:vAlign w:val="bottom"/>
          </w:tcPr>
          <w:p>
            <w:pPr>
              <w:spacing w:after="0"/>
              <w:rPr>
                <w:sz w:val="16"/>
                <w:szCs w:val="16"/>
                <w:color w:val="auto"/>
              </w:rPr>
            </w:pPr>
          </w:p>
        </w:tc>
        <w:tc>
          <w:tcPr>
            <w:tcW w:w="1100" w:type="dxa"/>
            <w:vAlign w:val="bottom"/>
            <w:gridSpan w:val="4"/>
          </w:tcPr>
          <w:p>
            <w:pPr>
              <w:jc w:val="center"/>
              <w:ind w:left="293"/>
              <w:spacing w:after="0"/>
              <w:rPr>
                <w:sz w:val="20"/>
                <w:szCs w:val="20"/>
                <w:color w:val="auto"/>
              </w:rPr>
            </w:pPr>
            <w:r>
              <w:rPr>
                <w:rFonts w:ascii="Arial" w:cs="Arial" w:eastAsia="Arial" w:hAnsi="Arial"/>
                <w:sz w:val="13"/>
                <w:szCs w:val="13"/>
                <w:color w:val="auto"/>
                <w:w w:val="93"/>
              </w:rPr>
              <w:t>3/21/2020</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jc w:val="center"/>
              <w:ind w:right="320"/>
              <w:spacing w:after="0"/>
              <w:rPr>
                <w:sz w:val="20"/>
                <w:szCs w:val="20"/>
                <w:color w:val="auto"/>
              </w:rPr>
            </w:pPr>
            <w:r>
              <w:rPr>
                <w:rFonts w:ascii="Arial" w:cs="Arial" w:eastAsia="Arial" w:hAnsi="Arial"/>
                <w:sz w:val="13"/>
                <w:szCs w:val="13"/>
                <w:color w:val="auto"/>
                <w:w w:val="90"/>
              </w:rPr>
              <w:t>Varilease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1/1/2017</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5/1/2018</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480" w:type="dxa"/>
            <w:vAlign w:val="bottom"/>
            <w:gridSpan w:val="2"/>
          </w:tcPr>
          <w:p>
            <w:pPr>
              <w:jc w:val="center"/>
              <w:ind w:right="1580"/>
              <w:spacing w:after="0"/>
              <w:rPr>
                <w:sz w:val="20"/>
                <w:szCs w:val="20"/>
                <w:color w:val="auto"/>
              </w:rPr>
            </w:pPr>
            <w:r>
              <w:rPr>
                <w:rFonts w:ascii="Arial" w:cs="Arial" w:eastAsia="Arial" w:hAnsi="Arial"/>
                <w:sz w:val="13"/>
                <w:szCs w:val="13"/>
                <w:color w:val="auto"/>
                <w:w w:val="96"/>
              </w:rPr>
              <w:t>Dell Finance</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9/30/2017</w:t>
            </w:r>
          </w:p>
        </w:tc>
        <w:tc>
          <w:tcPr>
            <w:tcW w:w="480" w:type="dxa"/>
            <w:vAlign w:val="bottom"/>
          </w:tcPr>
          <w:p>
            <w:pPr>
              <w:spacing w:after="0"/>
              <w:rPr>
                <w:sz w:val="16"/>
                <w:szCs w:val="16"/>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color w:val="auto"/>
                <w:w w:val="94"/>
              </w:rPr>
              <w:t>9/1/2020</w:t>
            </w:r>
          </w:p>
        </w:tc>
        <w:tc>
          <w:tcPr>
            <w:tcW w:w="600" w:type="dxa"/>
            <w:vAlign w:val="bottom"/>
          </w:tcPr>
          <w:p>
            <w:pPr>
              <w:spacing w:after="0"/>
              <w:rPr>
                <w:sz w:val="16"/>
                <w:szCs w:val="16"/>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6"/>
        </w:trPr>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4"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13"/>
          <w:szCs w:val="13"/>
          <w:b w:val="1"/>
          <w:bCs w:val="1"/>
          <w:color w:val="auto"/>
        </w:rPr>
        <w:t>SCHEDULE 6.02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Existing Liens</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1440" w:type="dxa"/>
            <w:vAlign w:val="bottom"/>
          </w:tcPr>
          <w:p>
            <w:pPr>
              <w:jc w:val="right"/>
              <w:ind w:right="153"/>
              <w:spacing w:after="0"/>
              <w:rPr>
                <w:sz w:val="20"/>
                <w:szCs w:val="20"/>
                <w:color w:val="auto"/>
              </w:rPr>
            </w:pPr>
            <w:r>
              <w:rPr>
                <w:rFonts w:ascii="Arial" w:cs="Arial" w:eastAsia="Arial" w:hAnsi="Arial"/>
                <w:sz w:val="13"/>
                <w:szCs w:val="13"/>
                <w:b w:val="1"/>
                <w:bCs w:val="1"/>
                <w:color w:val="auto"/>
              </w:rPr>
              <w:t>Filing Number(s)</w:t>
            </w:r>
          </w:p>
        </w:tc>
        <w:tc>
          <w:tcPr>
            <w:tcW w:w="860" w:type="dxa"/>
            <w:vAlign w:val="bottom"/>
          </w:tcPr>
          <w:p>
            <w:pPr>
              <w:spacing w:after="0"/>
              <w:rPr>
                <w:sz w:val="13"/>
                <w:szCs w:val="13"/>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3"/>
              </w:rPr>
              <w:t>Type of Lien</w:t>
            </w:r>
          </w:p>
        </w:tc>
        <w:tc>
          <w:tcPr>
            <w:tcW w:w="1760" w:type="dxa"/>
            <w:vAlign w:val="bottom"/>
            <w:gridSpan w:val="4"/>
          </w:tcPr>
          <w:p>
            <w:pPr>
              <w:ind w:left="240"/>
              <w:spacing w:after="0"/>
              <w:rPr>
                <w:sz w:val="20"/>
                <w:szCs w:val="20"/>
                <w:color w:val="auto"/>
              </w:rPr>
            </w:pPr>
            <w:r>
              <w:rPr>
                <w:rFonts w:ascii="Arial" w:cs="Arial" w:eastAsia="Arial" w:hAnsi="Arial"/>
                <w:sz w:val="13"/>
                <w:szCs w:val="13"/>
                <w:b w:val="1"/>
                <w:bCs w:val="1"/>
                <w:color w:val="auto"/>
              </w:rPr>
              <w:t>Name of Current</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Most Recent Filing</w:t>
            </w:r>
          </w:p>
        </w:tc>
        <w:tc>
          <w:tcPr>
            <w:tcW w:w="300" w:type="dxa"/>
            <w:vAlign w:val="bottom"/>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3"/>
                <w:szCs w:val="13"/>
                <w:b w:val="1"/>
                <w:bCs w:val="1"/>
                <w:color w:val="auto"/>
                <w:w w:val="96"/>
              </w:rPr>
              <w:t>Jurisdiction of Filing</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Secured Party</w:t>
            </w:r>
          </w:p>
        </w:tc>
        <w:tc>
          <w:tcPr>
            <w:tcW w:w="320" w:type="dxa"/>
            <w:vAlign w:val="bottom"/>
            <w:vMerge w:val="restart"/>
          </w:tcPr>
          <w:p>
            <w:pPr>
              <w:spacing w:after="0"/>
              <w:rPr>
                <w:sz w:val="11"/>
                <w:szCs w:val="11"/>
                <w:color w:val="auto"/>
              </w:rPr>
            </w:pPr>
          </w:p>
        </w:tc>
        <w:tc>
          <w:tcPr>
            <w:tcW w:w="134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2"/>
              </w:rPr>
              <w:t>Date</w:t>
            </w:r>
          </w:p>
        </w:tc>
        <w:tc>
          <w:tcPr>
            <w:tcW w:w="3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1440" w:type="dxa"/>
            <w:vAlign w:val="bottom"/>
          </w:tcPr>
          <w:p>
            <w:pPr>
              <w:jc w:val="center"/>
              <w:ind w:left="113"/>
              <w:spacing w:after="0"/>
              <w:rPr>
                <w:sz w:val="20"/>
                <w:szCs w:val="20"/>
                <w:color w:val="auto"/>
              </w:rPr>
            </w:pPr>
            <w:r>
              <w:rPr>
                <w:rFonts w:ascii="Arial" w:cs="Arial" w:eastAsia="Arial" w:hAnsi="Arial"/>
                <w:sz w:val="13"/>
                <w:szCs w:val="13"/>
                <w:color w:val="auto"/>
                <w:w w:val="92"/>
              </w:rPr>
              <w:t>2011063004616;</w:t>
            </w:r>
          </w:p>
        </w:tc>
        <w:tc>
          <w:tcPr>
            <w:tcW w:w="2280" w:type="dxa"/>
            <w:vAlign w:val="bottom"/>
            <w:gridSpan w:val="3"/>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tcPr>
          <w:p>
            <w:pPr>
              <w:jc w:val="center"/>
              <w:ind w:right="160"/>
              <w:spacing w:after="0"/>
              <w:rPr>
                <w:sz w:val="20"/>
                <w:szCs w:val="20"/>
                <w:color w:val="auto"/>
              </w:rPr>
            </w:pPr>
            <w:r>
              <w:rPr>
                <w:rFonts w:ascii="Arial" w:cs="Arial" w:eastAsia="Arial" w:hAnsi="Arial"/>
                <w:sz w:val="13"/>
                <w:szCs w:val="13"/>
                <w:color w:val="auto"/>
                <w:w w:val="94"/>
              </w:rPr>
              <w:t>Dell Financial Services</w:t>
            </w:r>
          </w:p>
        </w:tc>
        <w:tc>
          <w:tcPr>
            <w:tcW w:w="1340" w:type="dxa"/>
            <w:vAlign w:val="bottom"/>
          </w:tcPr>
          <w:p>
            <w:pPr>
              <w:jc w:val="center"/>
              <w:ind w:left="93"/>
              <w:spacing w:after="0"/>
              <w:rPr>
                <w:sz w:val="20"/>
                <w:szCs w:val="20"/>
                <w:color w:val="auto"/>
              </w:rPr>
            </w:pPr>
            <w:r>
              <w:rPr>
                <w:rFonts w:ascii="Arial" w:cs="Arial" w:eastAsia="Arial" w:hAnsi="Arial"/>
                <w:sz w:val="13"/>
                <w:szCs w:val="13"/>
                <w:color w:val="auto"/>
                <w:w w:val="93"/>
              </w:rPr>
              <w:t>5/31/2016</w:t>
            </w:r>
          </w:p>
        </w:tc>
        <w:tc>
          <w:tcPr>
            <w:tcW w:w="300" w:type="dxa"/>
            <w:vAlign w:val="bottom"/>
          </w:tcPr>
          <w:p>
            <w:pPr>
              <w:spacing w:after="0"/>
              <w:rPr>
                <w:sz w:val="18"/>
                <w:szCs w:val="18"/>
                <w:color w:val="auto"/>
              </w:rPr>
            </w:pPr>
          </w:p>
        </w:tc>
        <w:tc>
          <w:tcPr>
            <w:tcW w:w="1340" w:type="dxa"/>
            <w:vAlign w:val="bottom"/>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right"/>
              <w:ind w:right="113"/>
              <w:spacing w:after="0" w:line="137" w:lineRule="exact"/>
              <w:rPr>
                <w:sz w:val="20"/>
                <w:szCs w:val="20"/>
                <w:color w:val="auto"/>
              </w:rPr>
            </w:pPr>
            <w:r>
              <w:rPr>
                <w:rFonts w:ascii="Arial" w:cs="Arial" w:eastAsia="Arial" w:hAnsi="Arial"/>
                <w:sz w:val="13"/>
                <w:szCs w:val="13"/>
                <w:color w:val="auto"/>
              </w:rPr>
              <w:t>2016053101445</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400" w:type="dxa"/>
            <w:vAlign w:val="bottom"/>
          </w:tcPr>
          <w:p>
            <w:pPr>
              <w:spacing w:after="0"/>
              <w:rPr>
                <w:sz w:val="11"/>
                <w:szCs w:val="11"/>
                <w:color w:val="auto"/>
              </w:rPr>
            </w:pPr>
          </w:p>
        </w:tc>
        <w:tc>
          <w:tcPr>
            <w:tcW w:w="1360" w:type="dxa"/>
            <w:vAlign w:val="bottom"/>
            <w:gridSpan w:val="3"/>
          </w:tcPr>
          <w:p>
            <w:pPr>
              <w:jc w:val="center"/>
              <w:ind w:right="560"/>
              <w:spacing w:after="0" w:line="137" w:lineRule="exact"/>
              <w:rPr>
                <w:sz w:val="20"/>
                <w:szCs w:val="20"/>
                <w:color w:val="auto"/>
              </w:rPr>
            </w:pPr>
            <w:r>
              <w:rPr>
                <w:rFonts w:ascii="Arial" w:cs="Arial" w:eastAsia="Arial" w:hAnsi="Arial"/>
                <w:sz w:val="13"/>
                <w:szCs w:val="13"/>
                <w:color w:val="auto"/>
              </w:rPr>
              <w:t>L.L.C.</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3/26/2013</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2013012305580;</w:t>
            </w:r>
          </w:p>
        </w:tc>
        <w:tc>
          <w:tcPr>
            <w:tcW w:w="2280" w:type="dxa"/>
            <w:vAlign w:val="bottom"/>
            <w:gridSpan w:val="3"/>
            <w:vMerge w:val="continue"/>
          </w:tcPr>
          <w:p>
            <w:pPr>
              <w:spacing w:after="0"/>
              <w:rPr>
                <w:sz w:val="11"/>
                <w:szCs w:val="11"/>
                <w:color w:val="auto"/>
              </w:rPr>
            </w:pPr>
          </w:p>
        </w:tc>
        <w:tc>
          <w:tcPr>
            <w:tcW w:w="1760" w:type="dxa"/>
            <w:vAlign w:val="bottom"/>
            <w:gridSpan w:val="4"/>
          </w:tcPr>
          <w:p>
            <w:pPr>
              <w:jc w:val="center"/>
              <w:ind w:right="160"/>
              <w:spacing w:after="0" w:line="137" w:lineRule="exact"/>
              <w:rPr>
                <w:sz w:val="20"/>
                <w:szCs w:val="20"/>
                <w:color w:val="auto"/>
              </w:rPr>
            </w:pPr>
            <w:r>
              <w:rPr>
                <w:rFonts w:ascii="Arial" w:cs="Arial" w:eastAsia="Arial" w:hAnsi="Arial"/>
                <w:sz w:val="13"/>
                <w:szCs w:val="13"/>
                <w:color w:val="auto"/>
                <w:w w:val="96"/>
              </w:rPr>
              <w:t>Banc of America Leasing &amp;</w:t>
            </w: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2013032607039</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400" w:type="dxa"/>
            <w:vAlign w:val="bottom"/>
          </w:tcPr>
          <w:p>
            <w:pPr>
              <w:spacing w:after="0"/>
              <w:rPr>
                <w:sz w:val="11"/>
                <w:szCs w:val="11"/>
                <w:color w:val="auto"/>
              </w:rPr>
            </w:pPr>
          </w:p>
        </w:tc>
        <w:tc>
          <w:tcPr>
            <w:tcW w:w="1360" w:type="dxa"/>
            <w:vAlign w:val="bottom"/>
            <w:gridSpan w:val="3"/>
          </w:tcPr>
          <w:p>
            <w:pPr>
              <w:jc w:val="center"/>
              <w:ind w:right="560"/>
              <w:spacing w:after="0" w:line="137" w:lineRule="exact"/>
              <w:rPr>
                <w:sz w:val="20"/>
                <w:szCs w:val="20"/>
                <w:color w:val="auto"/>
              </w:rPr>
            </w:pPr>
            <w:r>
              <w:rPr>
                <w:rFonts w:ascii="Arial" w:cs="Arial" w:eastAsia="Arial" w:hAnsi="Arial"/>
                <w:sz w:val="13"/>
                <w:szCs w:val="13"/>
                <w:color w:val="auto"/>
              </w:rPr>
              <w:t>Capital, LLC</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2/12/2014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2014021205810</w:t>
            </w:r>
          </w:p>
        </w:tc>
        <w:tc>
          <w:tcPr>
            <w:tcW w:w="2280" w:type="dxa"/>
            <w:vAlign w:val="bottom"/>
            <w:gridSpan w:val="3"/>
            <w:vMerge w:val="continue"/>
          </w:tcPr>
          <w:p>
            <w:pPr>
              <w:spacing w:after="0"/>
              <w:rPr>
                <w:sz w:val="11"/>
                <w:szCs w:val="11"/>
                <w:color w:val="auto"/>
              </w:rPr>
            </w:pPr>
          </w:p>
        </w:tc>
        <w:tc>
          <w:tcPr>
            <w:tcW w:w="1760" w:type="dxa"/>
            <w:vAlign w:val="bottom"/>
            <w:gridSpan w:val="4"/>
          </w:tcPr>
          <w:p>
            <w:pPr>
              <w:jc w:val="center"/>
              <w:ind w:right="160"/>
              <w:spacing w:after="0" w:line="137" w:lineRule="exact"/>
              <w:rPr>
                <w:sz w:val="20"/>
                <w:szCs w:val="20"/>
                <w:color w:val="auto"/>
              </w:rPr>
            </w:pPr>
            <w:r>
              <w:rPr>
                <w:rFonts w:ascii="Arial" w:cs="Arial" w:eastAsia="Arial" w:hAnsi="Arial"/>
                <w:sz w:val="13"/>
                <w:szCs w:val="13"/>
                <w:color w:val="auto"/>
                <w:w w:val="94"/>
              </w:rPr>
              <w:t>Macquarie Equipment</w:t>
            </w: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vMerge w:val="restart"/>
          </w:tcPr>
          <w:p>
            <w:pPr>
              <w:jc w:val="center"/>
              <w:ind w:left="113"/>
              <w:spacing w:after="0"/>
              <w:rPr>
                <w:sz w:val="20"/>
                <w:szCs w:val="20"/>
                <w:color w:val="auto"/>
              </w:rPr>
            </w:pPr>
            <w:r>
              <w:rPr>
                <w:rFonts w:ascii="Arial" w:cs="Arial" w:eastAsia="Arial" w:hAnsi="Arial"/>
                <w:sz w:val="13"/>
                <w:szCs w:val="13"/>
                <w:color w:val="auto"/>
                <w:w w:val="92"/>
              </w:rPr>
              <w:t>2014060607643;</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400" w:type="dxa"/>
            <w:vAlign w:val="bottom"/>
          </w:tcPr>
          <w:p>
            <w:pPr>
              <w:spacing w:after="0"/>
              <w:rPr>
                <w:sz w:val="11"/>
                <w:szCs w:val="11"/>
                <w:color w:val="auto"/>
              </w:rPr>
            </w:pPr>
          </w:p>
        </w:tc>
        <w:tc>
          <w:tcPr>
            <w:tcW w:w="1360" w:type="dxa"/>
            <w:vAlign w:val="bottom"/>
            <w:gridSpan w:val="3"/>
          </w:tcPr>
          <w:p>
            <w:pPr>
              <w:jc w:val="center"/>
              <w:ind w:right="560"/>
              <w:spacing w:after="0" w:line="137" w:lineRule="exact"/>
              <w:rPr>
                <w:sz w:val="20"/>
                <w:szCs w:val="20"/>
                <w:color w:val="auto"/>
              </w:rPr>
            </w:pPr>
            <w:r>
              <w:rPr>
                <w:rFonts w:ascii="Arial" w:cs="Arial" w:eastAsia="Arial" w:hAnsi="Arial"/>
                <w:sz w:val="13"/>
                <w:szCs w:val="13"/>
                <w:color w:val="auto"/>
                <w:w w:val="91"/>
              </w:rPr>
              <w:t>Finance, Inc.</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6/24/2014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1760" w:type="dxa"/>
            <w:vAlign w:val="bottom"/>
            <w:gridSpan w:val="4"/>
          </w:tcPr>
          <w:p>
            <w:pPr>
              <w:jc w:val="center"/>
              <w:ind w:right="160"/>
              <w:spacing w:after="0" w:line="137" w:lineRule="exact"/>
              <w:rPr>
                <w:sz w:val="20"/>
                <w:szCs w:val="20"/>
                <w:color w:val="auto"/>
              </w:rPr>
            </w:pPr>
            <w:r>
              <w:rPr>
                <w:rFonts w:ascii="Arial" w:cs="Arial" w:eastAsia="Arial" w:hAnsi="Arial"/>
                <w:sz w:val="13"/>
                <w:szCs w:val="13"/>
                <w:color w:val="auto"/>
              </w:rPr>
              <w:t>VFI KR SPE I LLC</w:t>
            </w: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2014062407855</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rPr>
              <w:t>VFI KR SPE I LLC</w:t>
            </w:r>
          </w:p>
        </w:tc>
        <w:tc>
          <w:tcPr>
            <w:tcW w:w="1340" w:type="dxa"/>
            <w:vAlign w:val="bottom"/>
            <w:vMerge w:val="restart"/>
          </w:tcPr>
          <w:p>
            <w:pPr>
              <w:jc w:val="center"/>
              <w:ind w:left="73"/>
              <w:spacing w:after="0"/>
              <w:rPr>
                <w:sz w:val="20"/>
                <w:szCs w:val="20"/>
                <w:color w:val="auto"/>
              </w:rPr>
            </w:pPr>
            <w:r>
              <w:rPr>
                <w:rFonts w:ascii="Arial" w:cs="Arial" w:eastAsia="Arial" w:hAnsi="Arial"/>
                <w:sz w:val="13"/>
                <w:szCs w:val="13"/>
                <w:color w:val="auto"/>
                <w:w w:val="94"/>
              </w:rPr>
              <w:t>6/6/2014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2014060608873;</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2014062407879</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w w:val="96"/>
              </w:rPr>
              <w:t>Sterling National Bank</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8/15/2014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2014060608936;</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2014072405764;</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2014081404422;</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2014081901882</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w w:val="95"/>
              </w:rPr>
              <w:t>Bank of Bermingham</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8/15/2014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2014060609015;</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2014072307754;</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2014081901856</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w w:val="96"/>
              </w:rPr>
              <w:t>Prime Alliance Bank, Inc.</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7/24/2014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2014061105943;</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2014072406742;</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w w:val="92"/>
              </w:rPr>
              <w:t>Presidential Bank, FSB</w:t>
            </w:r>
          </w:p>
        </w:tc>
        <w:tc>
          <w:tcPr>
            <w:tcW w:w="1340" w:type="dxa"/>
            <w:vAlign w:val="bottom"/>
            <w:vMerge w:val="restart"/>
          </w:tcPr>
          <w:p>
            <w:pPr>
              <w:jc w:val="center"/>
              <w:ind w:left="73"/>
              <w:spacing w:after="0"/>
              <w:rPr>
                <w:sz w:val="20"/>
                <w:szCs w:val="20"/>
                <w:color w:val="auto"/>
              </w:rPr>
            </w:pPr>
            <w:r>
              <w:rPr>
                <w:rFonts w:ascii="Arial" w:cs="Arial" w:eastAsia="Arial" w:hAnsi="Arial"/>
                <w:sz w:val="13"/>
                <w:szCs w:val="13"/>
                <w:color w:val="auto"/>
                <w:w w:val="94"/>
              </w:rPr>
              <w:t>9/4/2014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2014081308199;</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2014082803811;</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2014090406390</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3"/>
                <w:szCs w:val="13"/>
                <w:color w:val="auto"/>
                <w:w w:val="95"/>
              </w:rPr>
              <w:t>UniFi Equipment Finance</w:t>
            </w:r>
          </w:p>
        </w:tc>
        <w:tc>
          <w:tcPr>
            <w:tcW w:w="1340" w:type="dxa"/>
            <w:vAlign w:val="bottom"/>
            <w:vMerge w:val="restart"/>
          </w:tcPr>
          <w:p>
            <w:pPr>
              <w:jc w:val="center"/>
              <w:ind w:left="73"/>
              <w:spacing w:after="0"/>
              <w:rPr>
                <w:sz w:val="20"/>
                <w:szCs w:val="20"/>
                <w:color w:val="auto"/>
              </w:rPr>
            </w:pPr>
            <w:r>
              <w:rPr>
                <w:rFonts w:ascii="Arial" w:cs="Arial" w:eastAsia="Arial" w:hAnsi="Arial"/>
                <w:sz w:val="13"/>
                <w:szCs w:val="13"/>
                <w:color w:val="auto"/>
                <w:w w:val="92"/>
              </w:rPr>
              <w:t>10/31/2014</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2"/>
              </w:rPr>
              <w:t>2014102906888;</w:t>
            </w:r>
          </w:p>
        </w:tc>
        <w:tc>
          <w:tcPr>
            <w:tcW w:w="2280" w:type="dxa"/>
            <w:vAlign w:val="bottom"/>
            <w:gridSpan w:val="3"/>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113"/>
              <w:spacing w:after="0" w:line="137" w:lineRule="exact"/>
              <w:rPr>
                <w:sz w:val="20"/>
                <w:szCs w:val="20"/>
                <w:color w:val="auto"/>
              </w:rPr>
            </w:pPr>
            <w:r>
              <w:rPr>
                <w:rFonts w:ascii="Arial" w:cs="Arial" w:eastAsia="Arial" w:hAnsi="Arial"/>
                <w:sz w:val="13"/>
                <w:szCs w:val="13"/>
                <w:color w:val="auto"/>
                <w:w w:val="91"/>
              </w:rPr>
              <w:t>2014110503036</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400" w:type="dxa"/>
            <w:vAlign w:val="bottom"/>
          </w:tcPr>
          <w:p>
            <w:pPr>
              <w:spacing w:after="0"/>
              <w:rPr>
                <w:sz w:val="11"/>
                <w:szCs w:val="11"/>
                <w:color w:val="auto"/>
              </w:rPr>
            </w:pPr>
          </w:p>
        </w:tc>
        <w:tc>
          <w:tcPr>
            <w:tcW w:w="1360" w:type="dxa"/>
            <w:vAlign w:val="bottom"/>
            <w:gridSpan w:val="3"/>
          </w:tcPr>
          <w:p>
            <w:pPr>
              <w:jc w:val="center"/>
              <w:ind w:right="560"/>
              <w:spacing w:after="0" w:line="137" w:lineRule="exact"/>
              <w:rPr>
                <w:sz w:val="20"/>
                <w:szCs w:val="20"/>
                <w:color w:val="auto"/>
              </w:rPr>
            </w:pPr>
            <w:r>
              <w:rPr>
                <w:rFonts w:ascii="Arial" w:cs="Arial" w:eastAsia="Arial" w:hAnsi="Arial"/>
                <w:sz w:val="13"/>
                <w:szCs w:val="13"/>
                <w:color w:val="auto"/>
                <w:w w:val="95"/>
              </w:rPr>
              <w:t>Inc.</w:t>
            </w:r>
          </w:p>
        </w:tc>
        <w:tc>
          <w:tcPr>
            <w:tcW w:w="13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7/29/2015</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tcPr>
          <w:p>
            <w:pPr>
              <w:jc w:val="center"/>
              <w:ind w:left="93"/>
              <w:spacing w:after="0" w:line="137" w:lineRule="exact"/>
              <w:rPr>
                <w:sz w:val="20"/>
                <w:szCs w:val="20"/>
                <w:color w:val="auto"/>
              </w:rPr>
            </w:pPr>
            <w:r>
              <w:rPr>
                <w:rFonts w:ascii="Arial" w:cs="Arial" w:eastAsia="Arial" w:hAnsi="Arial"/>
                <w:sz w:val="13"/>
                <w:szCs w:val="13"/>
                <w:color w:val="auto"/>
                <w:w w:val="93"/>
              </w:rPr>
              <w:t>2015073106092</w:t>
            </w:r>
          </w:p>
        </w:tc>
        <w:tc>
          <w:tcPr>
            <w:tcW w:w="2280" w:type="dxa"/>
            <w:vAlign w:val="bottom"/>
            <w:gridSpan w:val="3"/>
            <w:vMerge w:val="continue"/>
          </w:tcPr>
          <w:p>
            <w:pPr>
              <w:spacing w:after="0"/>
              <w:rPr>
                <w:sz w:val="11"/>
                <w:szCs w:val="11"/>
                <w:color w:val="auto"/>
              </w:rPr>
            </w:pPr>
          </w:p>
        </w:tc>
        <w:tc>
          <w:tcPr>
            <w:tcW w:w="1760" w:type="dxa"/>
            <w:vAlign w:val="bottom"/>
            <w:gridSpan w:val="4"/>
          </w:tcPr>
          <w:p>
            <w:pPr>
              <w:jc w:val="center"/>
              <w:ind w:right="160"/>
              <w:spacing w:after="0" w:line="137" w:lineRule="exact"/>
              <w:rPr>
                <w:sz w:val="20"/>
                <w:szCs w:val="20"/>
                <w:color w:val="auto"/>
              </w:rPr>
            </w:pPr>
            <w:r>
              <w:rPr>
                <w:rFonts w:ascii="Arial" w:cs="Arial" w:eastAsia="Arial" w:hAnsi="Arial"/>
                <w:sz w:val="13"/>
                <w:szCs w:val="13"/>
                <w:color w:val="auto"/>
                <w:w w:val="93"/>
              </w:rPr>
              <w:t>Western Equipment Finance,</w:t>
            </w: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vMerge w:val="restart"/>
          </w:tcPr>
          <w:p>
            <w:pPr>
              <w:jc w:val="center"/>
              <w:ind w:left="93"/>
              <w:spacing w:after="0"/>
              <w:rPr>
                <w:sz w:val="20"/>
                <w:szCs w:val="20"/>
                <w:color w:val="auto"/>
              </w:rPr>
            </w:pPr>
            <w:r>
              <w:rPr>
                <w:rFonts w:ascii="Arial" w:cs="Arial" w:eastAsia="Arial" w:hAnsi="Arial"/>
                <w:sz w:val="13"/>
                <w:szCs w:val="13"/>
                <w:color w:val="auto"/>
                <w:w w:val="93"/>
              </w:rPr>
              <w:t>2016030900985</w:t>
            </w:r>
          </w:p>
        </w:tc>
        <w:tc>
          <w:tcPr>
            <w:tcW w:w="2280" w:type="dxa"/>
            <w:vAlign w:val="bottom"/>
            <w:gridSpan w:val="3"/>
            <w:vMerge w:val="restart"/>
          </w:tcPr>
          <w:p>
            <w:pPr>
              <w:jc w:val="center"/>
              <w:ind w:left="93"/>
              <w:spacing w:after="0"/>
              <w:rPr>
                <w:sz w:val="20"/>
                <w:szCs w:val="20"/>
                <w:color w:val="auto"/>
              </w:rPr>
            </w:pPr>
            <w:r>
              <w:rPr>
                <w:rFonts w:ascii="Arial" w:cs="Arial" w:eastAsia="Arial" w:hAnsi="Arial"/>
                <w:sz w:val="13"/>
                <w:szCs w:val="13"/>
                <w:color w:val="auto"/>
                <w:w w:val="92"/>
              </w:rPr>
              <w:t>UCC Financing Statement</w:t>
            </w:r>
          </w:p>
        </w:tc>
        <w:tc>
          <w:tcPr>
            <w:tcW w:w="400" w:type="dxa"/>
            <w:vAlign w:val="bottom"/>
          </w:tcPr>
          <w:p>
            <w:pPr>
              <w:spacing w:after="0"/>
              <w:rPr>
                <w:sz w:val="11"/>
                <w:szCs w:val="11"/>
                <w:color w:val="auto"/>
              </w:rPr>
            </w:pPr>
          </w:p>
        </w:tc>
        <w:tc>
          <w:tcPr>
            <w:tcW w:w="1360" w:type="dxa"/>
            <w:vAlign w:val="bottom"/>
            <w:gridSpan w:val="3"/>
          </w:tcPr>
          <w:p>
            <w:pPr>
              <w:jc w:val="center"/>
              <w:ind w:right="560"/>
              <w:spacing w:after="0" w:line="137" w:lineRule="exact"/>
              <w:rPr>
                <w:sz w:val="20"/>
                <w:szCs w:val="20"/>
                <w:color w:val="auto"/>
              </w:rPr>
            </w:pPr>
            <w:r>
              <w:rPr>
                <w:rFonts w:ascii="Arial" w:cs="Arial" w:eastAsia="Arial" w:hAnsi="Arial"/>
                <w:sz w:val="13"/>
                <w:szCs w:val="13"/>
                <w:color w:val="auto"/>
                <w:w w:val="95"/>
              </w:rPr>
              <w:t>Inc.</w:t>
            </w:r>
          </w:p>
        </w:tc>
        <w:tc>
          <w:tcPr>
            <w:tcW w:w="1340" w:type="dxa"/>
            <w:vAlign w:val="bottom"/>
            <w:vMerge w:val="restart"/>
          </w:tcPr>
          <w:p>
            <w:pPr>
              <w:jc w:val="center"/>
              <w:ind w:left="73"/>
              <w:spacing w:after="0"/>
              <w:rPr>
                <w:sz w:val="20"/>
                <w:szCs w:val="20"/>
                <w:color w:val="auto"/>
              </w:rPr>
            </w:pPr>
            <w:r>
              <w:rPr>
                <w:rFonts w:ascii="Arial" w:cs="Arial" w:eastAsia="Arial" w:hAnsi="Arial"/>
                <w:sz w:val="13"/>
                <w:szCs w:val="13"/>
                <w:color w:val="auto"/>
                <w:w w:val="94"/>
              </w:rPr>
              <w:t>3/9/2016</w:t>
            </w:r>
          </w:p>
        </w:tc>
        <w:tc>
          <w:tcPr>
            <w:tcW w:w="300" w:type="dxa"/>
            <w:vAlign w:val="bottom"/>
          </w:tcPr>
          <w:p>
            <w:pPr>
              <w:spacing w:after="0"/>
              <w:rPr>
                <w:sz w:val="11"/>
                <w:szCs w:val="11"/>
                <w:color w:val="auto"/>
              </w:rPr>
            </w:pPr>
          </w:p>
        </w:tc>
        <w:tc>
          <w:tcPr>
            <w:tcW w:w="1340" w:type="dxa"/>
            <w:vAlign w:val="bottom"/>
            <w:vMerge w:val="restart"/>
          </w:tcPr>
          <w:p>
            <w:pPr>
              <w:ind w:left="680"/>
              <w:spacing w:after="0"/>
              <w:rPr>
                <w:sz w:val="20"/>
                <w:szCs w:val="20"/>
                <w:color w:val="auto"/>
              </w:rPr>
            </w:pPr>
            <w:r>
              <w:rPr>
                <w:rFonts w:ascii="Arial" w:cs="Arial" w:eastAsia="Arial" w:hAnsi="Arial"/>
                <w:sz w:val="13"/>
                <w:szCs w:val="13"/>
                <w:color w:val="auto"/>
              </w:rPr>
              <w:t>PA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1760" w:type="dxa"/>
            <w:vAlign w:val="bottom"/>
            <w:gridSpan w:val="4"/>
          </w:tcPr>
          <w:p>
            <w:pPr>
              <w:jc w:val="center"/>
              <w:ind w:right="160"/>
              <w:spacing w:after="0" w:line="137" w:lineRule="exact"/>
              <w:rPr>
                <w:sz w:val="20"/>
                <w:szCs w:val="20"/>
                <w:color w:val="auto"/>
              </w:rPr>
            </w:pPr>
            <w:r>
              <w:rPr>
                <w:rFonts w:ascii="Arial" w:cs="Arial" w:eastAsia="Arial" w:hAnsi="Arial"/>
                <w:sz w:val="13"/>
                <w:szCs w:val="13"/>
                <w:color w:val="auto"/>
                <w:w w:val="93"/>
              </w:rPr>
              <w:t>Western Equipment Finance,</w:t>
            </w: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color w:val="auto"/>
                <w:w w:val="95"/>
              </w:rPr>
              <w:t>Inc.</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gridSpan w:val="2"/>
          </w:tcPr>
          <w:p>
            <w:pPr>
              <w:jc w:val="right"/>
              <w:ind w:right="473"/>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4" w:right="1440" w:bottom="1440" w:gutter="0" w:footer="0" w:header="0"/>
        </w:sectPr>
      </w:pPr>
    </w:p>
    <w:bookmarkStart w:id="213" w:name="page214"/>
    <w:bookmarkEnd w:id="213"/>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80" w:type="dxa"/>
            <w:vAlign w:val="bottom"/>
            <w:vMerge w:val="restart"/>
          </w:tcPr>
          <w:p>
            <w:pPr>
              <w:jc w:val="right"/>
              <w:ind w:right="293"/>
              <w:spacing w:after="0"/>
              <w:rPr>
                <w:sz w:val="20"/>
                <w:szCs w:val="20"/>
                <w:color w:val="auto"/>
              </w:rPr>
            </w:pPr>
            <w:r>
              <w:rPr>
                <w:rFonts w:ascii="Arial" w:cs="Arial" w:eastAsia="Arial" w:hAnsi="Arial"/>
                <w:sz w:val="13"/>
                <w:szCs w:val="13"/>
                <w:color w:val="auto"/>
              </w:rPr>
              <w:t>2016032300617</w:t>
            </w:r>
          </w:p>
        </w:tc>
        <w:tc>
          <w:tcPr>
            <w:tcW w:w="1960" w:type="dxa"/>
            <w:vAlign w:val="bottom"/>
          </w:tcPr>
          <w:p>
            <w:pPr>
              <w:ind w:left="360"/>
              <w:spacing w:after="0"/>
              <w:rPr>
                <w:sz w:val="20"/>
                <w:szCs w:val="20"/>
                <w:color w:val="auto"/>
              </w:rPr>
            </w:pPr>
            <w:r>
              <w:rPr>
                <w:rFonts w:ascii="Arial" w:cs="Arial" w:eastAsia="Arial" w:hAnsi="Arial"/>
                <w:sz w:val="13"/>
                <w:szCs w:val="13"/>
                <w:color w:val="auto"/>
              </w:rPr>
              <w:t>UCC Financing Statement</w:t>
            </w:r>
          </w:p>
        </w:tc>
        <w:tc>
          <w:tcPr>
            <w:tcW w:w="2060" w:type="dxa"/>
            <w:vAlign w:val="bottom"/>
          </w:tcPr>
          <w:p>
            <w:pPr>
              <w:jc w:val="center"/>
              <w:ind w:right="73"/>
              <w:spacing w:after="0"/>
              <w:rPr>
                <w:sz w:val="20"/>
                <w:szCs w:val="20"/>
                <w:color w:val="auto"/>
              </w:rPr>
            </w:pPr>
            <w:r>
              <w:rPr>
                <w:rFonts w:ascii="Arial" w:cs="Arial" w:eastAsia="Arial" w:hAnsi="Arial"/>
                <w:sz w:val="13"/>
                <w:szCs w:val="13"/>
                <w:color w:val="auto"/>
                <w:w w:val="93"/>
              </w:rPr>
              <w:t>Western Equipment Finance,</w:t>
            </w:r>
          </w:p>
        </w:tc>
        <w:tc>
          <w:tcPr>
            <w:tcW w:w="1520" w:type="dxa"/>
            <w:vAlign w:val="bottom"/>
          </w:tcPr>
          <w:p>
            <w:pPr>
              <w:jc w:val="right"/>
              <w:ind w:right="573"/>
              <w:spacing w:after="0"/>
              <w:rPr>
                <w:sz w:val="20"/>
                <w:szCs w:val="20"/>
                <w:color w:val="auto"/>
              </w:rPr>
            </w:pPr>
            <w:r>
              <w:rPr>
                <w:rFonts w:ascii="Arial" w:cs="Arial" w:eastAsia="Arial" w:hAnsi="Arial"/>
                <w:sz w:val="13"/>
                <w:szCs w:val="13"/>
                <w:color w:val="auto"/>
              </w:rPr>
              <w:t>3/23/2016</w:t>
            </w:r>
          </w:p>
        </w:tc>
        <w:tc>
          <w:tcPr>
            <w:tcW w:w="1560" w:type="dxa"/>
            <w:vAlign w:val="bottom"/>
          </w:tcPr>
          <w:p>
            <w:pPr>
              <w:ind w:left="660"/>
              <w:spacing w:after="0"/>
              <w:rPr>
                <w:sz w:val="20"/>
                <w:szCs w:val="20"/>
                <w:color w:val="auto"/>
              </w:rPr>
            </w:pPr>
            <w:r>
              <w:rPr>
                <w:rFonts w:ascii="Arial" w:cs="Arial" w:eastAsia="Arial" w:hAnsi="Arial"/>
                <w:sz w:val="13"/>
                <w:szCs w:val="13"/>
                <w:color w:val="auto"/>
              </w:rPr>
              <w:t>PA</w:t>
            </w:r>
          </w:p>
        </w:tc>
        <w:tc>
          <w:tcPr>
            <w:tcW w:w="0" w:type="dxa"/>
            <w:vAlign w:val="bottom"/>
          </w:tcPr>
          <w:p>
            <w:pPr>
              <w:spacing w:after="0"/>
              <w:rPr>
                <w:sz w:val="1"/>
                <w:szCs w:val="1"/>
                <w:color w:val="auto"/>
              </w:rPr>
            </w:pPr>
          </w:p>
        </w:tc>
      </w:tr>
      <w:tr>
        <w:trPr>
          <w:trHeight w:val="171"/>
        </w:trPr>
        <w:tc>
          <w:tcPr>
            <w:tcW w:w="16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2060" w:type="dxa"/>
            <w:vAlign w:val="bottom"/>
          </w:tcPr>
          <w:p>
            <w:pPr>
              <w:jc w:val="center"/>
              <w:ind w:right="73"/>
              <w:spacing w:after="0"/>
              <w:rPr>
                <w:sz w:val="20"/>
                <w:szCs w:val="20"/>
                <w:color w:val="auto"/>
              </w:rPr>
            </w:pPr>
            <w:r>
              <w:rPr>
                <w:rFonts w:ascii="Arial" w:cs="Arial" w:eastAsia="Arial" w:hAnsi="Arial"/>
                <w:sz w:val="13"/>
                <w:szCs w:val="13"/>
                <w:color w:val="auto"/>
                <w:w w:val="95"/>
              </w:rPr>
              <w:t>Inc.</w:t>
            </w: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80" w:type="dxa"/>
            <w:vAlign w:val="bottom"/>
          </w:tcPr>
          <w:p>
            <w:pPr>
              <w:jc w:val="right"/>
              <w:ind w:right="293"/>
              <w:spacing w:after="0"/>
              <w:rPr>
                <w:sz w:val="20"/>
                <w:szCs w:val="20"/>
                <w:color w:val="auto"/>
              </w:rPr>
            </w:pPr>
            <w:r>
              <w:rPr>
                <w:rFonts w:ascii="Arial" w:cs="Arial" w:eastAsia="Arial" w:hAnsi="Arial"/>
                <w:sz w:val="13"/>
                <w:szCs w:val="13"/>
                <w:color w:val="auto"/>
              </w:rPr>
              <w:t>2016032301086</w:t>
            </w:r>
          </w:p>
        </w:tc>
        <w:tc>
          <w:tcPr>
            <w:tcW w:w="1960" w:type="dxa"/>
            <w:vAlign w:val="bottom"/>
          </w:tcPr>
          <w:p>
            <w:pPr>
              <w:ind w:left="360"/>
              <w:spacing w:after="0"/>
              <w:rPr>
                <w:sz w:val="20"/>
                <w:szCs w:val="20"/>
                <w:color w:val="auto"/>
              </w:rPr>
            </w:pPr>
            <w:r>
              <w:rPr>
                <w:rFonts w:ascii="Arial" w:cs="Arial" w:eastAsia="Arial" w:hAnsi="Arial"/>
                <w:sz w:val="13"/>
                <w:szCs w:val="13"/>
                <w:color w:val="auto"/>
              </w:rPr>
              <w:t>UCC Financing Statement</w:t>
            </w:r>
          </w:p>
        </w:tc>
        <w:tc>
          <w:tcPr>
            <w:tcW w:w="2060" w:type="dxa"/>
            <w:vAlign w:val="bottom"/>
          </w:tcPr>
          <w:p>
            <w:pPr>
              <w:jc w:val="center"/>
              <w:ind w:right="73"/>
              <w:spacing w:after="0"/>
              <w:rPr>
                <w:sz w:val="20"/>
                <w:szCs w:val="20"/>
                <w:color w:val="auto"/>
              </w:rPr>
            </w:pPr>
            <w:r>
              <w:rPr>
                <w:rFonts w:ascii="Arial" w:cs="Arial" w:eastAsia="Arial" w:hAnsi="Arial"/>
                <w:sz w:val="13"/>
                <w:szCs w:val="13"/>
                <w:color w:val="auto"/>
                <w:w w:val="96"/>
              </w:rPr>
              <w:t>DDI Leasing, Inc.</w:t>
            </w:r>
          </w:p>
        </w:tc>
        <w:tc>
          <w:tcPr>
            <w:tcW w:w="1520" w:type="dxa"/>
            <w:vAlign w:val="bottom"/>
          </w:tcPr>
          <w:p>
            <w:pPr>
              <w:jc w:val="right"/>
              <w:ind w:right="573"/>
              <w:spacing w:after="0"/>
              <w:rPr>
                <w:sz w:val="20"/>
                <w:szCs w:val="20"/>
                <w:color w:val="auto"/>
              </w:rPr>
            </w:pPr>
            <w:r>
              <w:rPr>
                <w:rFonts w:ascii="Arial" w:cs="Arial" w:eastAsia="Arial" w:hAnsi="Arial"/>
                <w:sz w:val="13"/>
                <w:szCs w:val="13"/>
                <w:color w:val="auto"/>
              </w:rPr>
              <w:t>3/23/2016</w:t>
            </w:r>
          </w:p>
        </w:tc>
        <w:tc>
          <w:tcPr>
            <w:tcW w:w="1560" w:type="dxa"/>
            <w:vAlign w:val="bottom"/>
          </w:tcPr>
          <w:p>
            <w:pPr>
              <w:ind w:left="660"/>
              <w:spacing w:after="0"/>
              <w:rPr>
                <w:sz w:val="20"/>
                <w:szCs w:val="20"/>
                <w:color w:val="auto"/>
              </w:rPr>
            </w:pPr>
            <w:r>
              <w:rPr>
                <w:rFonts w:ascii="Arial" w:cs="Arial" w:eastAsia="Arial" w:hAnsi="Arial"/>
                <w:sz w:val="13"/>
                <w:szCs w:val="13"/>
                <w:color w:val="auto"/>
              </w:rPr>
              <w:t>PA</w:t>
            </w:r>
          </w:p>
        </w:tc>
        <w:tc>
          <w:tcPr>
            <w:tcW w:w="0" w:type="dxa"/>
            <w:vAlign w:val="bottom"/>
          </w:tcPr>
          <w:p>
            <w:pPr>
              <w:spacing w:after="0"/>
              <w:rPr>
                <w:sz w:val="1"/>
                <w:szCs w:val="1"/>
                <w:color w:val="auto"/>
              </w:rPr>
            </w:pPr>
          </w:p>
        </w:tc>
      </w:tr>
      <w:tr>
        <w:trPr>
          <w:trHeight w:val="565"/>
        </w:trPr>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jc w:val="right"/>
              <w:ind w:right="1173"/>
              <w:spacing w:after="0"/>
              <w:rPr>
                <w:sz w:val="20"/>
                <w:szCs w:val="20"/>
                <w:color w:val="auto"/>
              </w:rPr>
            </w:pPr>
            <w:r>
              <w:rPr>
                <w:rFonts w:ascii="Arial" w:cs="Arial" w:eastAsia="Arial" w:hAnsi="Arial"/>
                <w:sz w:val="13"/>
                <w:szCs w:val="13"/>
                <w:color w:val="auto"/>
              </w:rPr>
              <w:t>35</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6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3" w:right="1440" w:bottom="1440" w:gutter="0" w:footer="0" w:header="0"/>
        </w:sectPr>
      </w:pPr>
    </w:p>
    <w:bookmarkStart w:id="214" w:name="page215"/>
    <w:bookmarkEnd w:id="214"/>
    <w:p>
      <w:pPr>
        <w:jc w:val="center"/>
        <w:ind w:right="-20"/>
        <w:spacing w:after="0"/>
        <w:rPr>
          <w:sz w:val="20"/>
          <w:szCs w:val="20"/>
          <w:color w:val="auto"/>
        </w:rPr>
      </w:pPr>
      <w:r>
        <w:rPr>
          <w:rFonts w:ascii="Arial" w:cs="Arial" w:eastAsia="Arial" w:hAnsi="Arial"/>
          <w:sz w:val="13"/>
          <w:szCs w:val="13"/>
          <w:b w:val="1"/>
          <w:bCs w:val="1"/>
          <w:color w:val="auto"/>
        </w:rPr>
        <w:t>SCHEDULE 6.04</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Investments</w:t>
      </w:r>
    </w:p>
    <w:p>
      <w:pPr>
        <w:spacing w:after="0" w:line="136" w:lineRule="exact"/>
        <w:rPr>
          <w:sz w:val="20"/>
          <w:szCs w:val="20"/>
          <w:color w:val="auto"/>
        </w:rPr>
      </w:pPr>
    </w:p>
    <w:p>
      <w:pPr>
        <w:ind w:left="360" w:hanging="236"/>
        <w:spacing w:after="0"/>
        <w:tabs>
          <w:tab w:leader="none" w:pos="36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100,000 shares (100% of issued and outstanding) in Stitch Networks Corporation</w:t>
      </w:r>
    </w:p>
    <w:p>
      <w:pPr>
        <w:spacing w:after="0" w:line="78" w:lineRule="exact"/>
        <w:rPr>
          <w:rFonts w:ascii="Arial" w:cs="Arial" w:eastAsia="Arial" w:hAnsi="Arial"/>
          <w:sz w:val="13"/>
          <w:szCs w:val="13"/>
          <w:color w:val="auto"/>
        </w:rPr>
      </w:pPr>
    </w:p>
    <w:p>
      <w:pPr>
        <w:ind w:left="360" w:hanging="236"/>
        <w:spacing w:after="0"/>
        <w:tabs>
          <w:tab w:leader="none" w:pos="36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1,000 shares (100% of issued and outstanding) in USAT, Inc.</w:t>
      </w:r>
    </w:p>
    <w:p>
      <w:pPr>
        <w:spacing w:after="0" w:line="87" w:lineRule="exact"/>
        <w:rPr>
          <w:rFonts w:ascii="Arial" w:cs="Arial" w:eastAsia="Arial" w:hAnsi="Arial"/>
          <w:sz w:val="13"/>
          <w:szCs w:val="13"/>
          <w:color w:val="auto"/>
        </w:rPr>
      </w:pPr>
    </w:p>
    <w:p>
      <w:pPr>
        <w:ind w:left="360" w:hanging="236"/>
        <w:spacing w:after="0"/>
        <w:tabs>
          <w:tab w:leader="none" w:pos="36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100% of membership interests in USAT Capital Corp, LLC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5" w:name="page216"/>
    <w:bookmarkEnd w:id="215"/>
    <w:p>
      <w:pPr>
        <w:jc w:val="center"/>
        <w:ind w:right="-20"/>
        <w:spacing w:after="0"/>
        <w:rPr>
          <w:sz w:val="20"/>
          <w:szCs w:val="20"/>
          <w:color w:val="auto"/>
        </w:rPr>
      </w:pPr>
      <w:r>
        <w:rPr>
          <w:rFonts w:ascii="Arial" w:cs="Arial" w:eastAsia="Arial" w:hAnsi="Arial"/>
          <w:sz w:val="13"/>
          <w:szCs w:val="13"/>
          <w:b w:val="1"/>
          <w:bCs w:val="1"/>
          <w:color w:val="auto"/>
        </w:rPr>
        <w:t>SCHEDULE 6.10</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Restrictions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46355</wp:posOffset>
            </wp:positionV>
            <wp:extent cx="5577205"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6" w:name="page217"/>
    <w:bookmarkEnd w:id="216"/>
    <w:p>
      <w:pPr>
        <w:jc w:val="center"/>
        <w:ind w:right="-20"/>
        <w:spacing w:after="0"/>
        <w:rPr>
          <w:sz w:val="20"/>
          <w:szCs w:val="20"/>
          <w:color w:val="auto"/>
        </w:rPr>
      </w:pPr>
      <w:r>
        <w:rPr>
          <w:rFonts w:ascii="Arial" w:cs="Arial" w:eastAsia="Arial" w:hAnsi="Arial"/>
          <w:sz w:val="13"/>
          <w:szCs w:val="13"/>
          <w:b w:val="1"/>
          <w:bCs w:val="1"/>
          <w:color w:val="auto"/>
        </w:rPr>
        <w:t>SCHEDULES TO JPMORGAN CHASE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USAT CAPITAL CORP, LLC</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7" w:name="page218"/>
    <w:bookmarkEnd w:id="217"/>
    <w:p>
      <w:pPr>
        <w:jc w:val="center"/>
        <w:ind w:right="-460"/>
        <w:spacing w:after="0"/>
        <w:rPr>
          <w:sz w:val="20"/>
          <w:szCs w:val="20"/>
          <w:color w:val="auto"/>
        </w:rPr>
      </w:pPr>
      <w:r>
        <w:rPr>
          <w:rFonts w:ascii="Arial" w:cs="Arial" w:eastAsia="Arial" w:hAnsi="Arial"/>
          <w:sz w:val="12"/>
          <w:szCs w:val="12"/>
          <w:b w:val="1"/>
          <w:bCs w:val="1"/>
          <w:color w:val="auto"/>
        </w:rPr>
        <w:t>SCHEDULE 3.05</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Properties, etc.</w:t>
      </w:r>
    </w:p>
    <w:p>
      <w:pPr>
        <w:spacing w:after="0" w:line="124" w:lineRule="exact"/>
        <w:rPr>
          <w:sz w:val="20"/>
          <w:szCs w:val="20"/>
          <w:color w:val="auto"/>
        </w:rPr>
      </w:pPr>
    </w:p>
    <w:p>
      <w:pPr>
        <w:ind w:left="560" w:right="4359" w:hanging="436"/>
        <w:spacing w:after="0" w:line="459" w:lineRule="auto"/>
        <w:tabs>
          <w:tab w:leader="none" w:pos="304" w:val="left"/>
        </w:tabs>
        <w:numPr>
          <w:ilvl w:val="0"/>
          <w:numId w:val="185"/>
        </w:numPr>
        <w:rPr>
          <w:rFonts w:ascii="Arial" w:cs="Arial" w:eastAsia="Arial" w:hAnsi="Arial"/>
          <w:sz w:val="12"/>
          <w:szCs w:val="12"/>
          <w:color w:val="auto"/>
        </w:rPr>
      </w:pPr>
      <w:r>
        <w:rPr>
          <w:rFonts w:ascii="Arial" w:cs="Arial" w:eastAsia="Arial" w:hAnsi="Arial"/>
          <w:sz w:val="12"/>
          <w:szCs w:val="12"/>
          <w:color w:val="auto"/>
        </w:rPr>
        <w:t>Address of each parcel of real property that is owned or leased by any Loan Party Principal office: 100 Deerfield Lane, Suite 300, Malvern, PA 19355</w:t>
      </w:r>
    </w:p>
    <w:p>
      <w:pPr>
        <w:spacing w:after="0" w:line="1" w:lineRule="exact"/>
        <w:rPr>
          <w:rFonts w:ascii="Arial" w:cs="Arial" w:eastAsia="Arial" w:hAnsi="Arial"/>
          <w:sz w:val="12"/>
          <w:szCs w:val="12"/>
          <w:color w:val="auto"/>
        </w:rPr>
      </w:pPr>
    </w:p>
    <w:p>
      <w:pPr>
        <w:ind w:left="560" w:right="4679" w:hanging="436"/>
        <w:spacing w:after="0" w:line="445" w:lineRule="auto"/>
        <w:tabs>
          <w:tab w:leader="none" w:pos="312"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Trademarks, tradenames, copyrights, patents and other intellectual property None</w:t>
      </w: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8" w:name="page219"/>
    <w:bookmarkEnd w:id="218"/>
    <w:p>
      <w:pPr>
        <w:jc w:val="right"/>
        <w:ind w:right="3959"/>
        <w:spacing w:after="0"/>
        <w:rPr>
          <w:sz w:val="20"/>
          <w:szCs w:val="20"/>
          <w:color w:val="auto"/>
        </w:rPr>
      </w:pPr>
      <w:r>
        <w:rPr>
          <w:rFonts w:ascii="Arial" w:cs="Arial" w:eastAsia="Arial" w:hAnsi="Arial"/>
          <w:sz w:val="15"/>
          <w:szCs w:val="15"/>
          <w:b w:val="1"/>
          <w:bCs w:val="1"/>
          <w:color w:val="auto"/>
        </w:rPr>
        <w:t>SCHEDULE 3.06</w:t>
      </w:r>
    </w:p>
    <w:p>
      <w:pPr>
        <w:spacing w:after="0" w:line="7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Disclosed Matters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None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19" w:name="page220"/>
    <w:bookmarkEnd w:id="219"/>
    <w:p>
      <w:pPr>
        <w:jc w:val="center"/>
        <w:ind w:right="-20"/>
        <w:spacing w:after="0"/>
        <w:rPr>
          <w:sz w:val="20"/>
          <w:szCs w:val="20"/>
          <w:color w:val="auto"/>
        </w:rPr>
      </w:pPr>
      <w:r>
        <w:rPr>
          <w:rFonts w:ascii="Arial" w:cs="Arial" w:eastAsia="Arial" w:hAnsi="Arial"/>
          <w:sz w:val="12"/>
          <w:szCs w:val="12"/>
          <w:b w:val="1"/>
          <w:bCs w:val="1"/>
          <w:color w:val="auto"/>
        </w:rPr>
        <w:t>SCHEDULE 3.09</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Taxes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13"/>
          <w:szCs w:val="13"/>
          <w:b w:val="1"/>
          <w:bCs w:val="1"/>
          <w:color w:val="auto"/>
        </w:rPr>
        <w:t>SCHEDULE 3.12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Material Agreements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3"/>
          <w:szCs w:val="13"/>
          <w:b w:val="1"/>
          <w:bCs w:val="1"/>
          <w:color w:val="auto"/>
        </w:rPr>
        <w:t>SCHEDULE 3.14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Insurance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Location Addresses: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Loc. #1 - 100 Deerfield Lane, Suite 300,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-91440</wp:posOffset>
            </wp:positionV>
            <wp:extent cx="5577205" cy="7467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7205" cy="74676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3"/>
          <w:szCs w:val="13"/>
          <w:color w:val="auto"/>
        </w:rPr>
        <w:t>Loc. #2 - ***</w:t>
      </w:r>
    </w:p>
    <w:p>
      <w:pPr>
        <w:ind w:left="220"/>
        <w:spacing w:after="0" w:line="234" w:lineRule="auto"/>
        <w:rPr>
          <w:sz w:val="20"/>
          <w:szCs w:val="20"/>
          <w:color w:val="auto"/>
        </w:rPr>
      </w:pPr>
      <w:r>
        <w:rPr>
          <w:rFonts w:ascii="Arial" w:cs="Arial" w:eastAsia="Arial" w:hAnsi="Arial"/>
          <w:sz w:val="13"/>
          <w:szCs w:val="13"/>
          <w:color w:val="auto"/>
        </w:rPr>
        <w:t>Loc. #3 - ***</w:t>
      </w:r>
    </w:p>
    <w:p>
      <w:pPr>
        <w:ind w:left="220"/>
        <w:spacing w:after="0" w:line="234" w:lineRule="auto"/>
        <w:rPr>
          <w:sz w:val="20"/>
          <w:szCs w:val="20"/>
          <w:color w:val="auto"/>
        </w:rPr>
      </w:pPr>
      <w:r>
        <w:rPr>
          <w:rFonts w:ascii="Arial" w:cs="Arial" w:eastAsia="Arial" w:hAnsi="Arial"/>
          <w:sz w:val="13"/>
          <w:szCs w:val="13"/>
          <w:color w:val="auto"/>
        </w:rPr>
        <w:t>Loc. #4 - ***</w:t>
      </w:r>
    </w:p>
    <w:p>
      <w:pPr>
        <w:ind w:left="220"/>
        <w:spacing w:after="0" w:line="235" w:lineRule="auto"/>
        <w:rPr>
          <w:sz w:val="20"/>
          <w:szCs w:val="20"/>
          <w:color w:val="auto"/>
        </w:rPr>
      </w:pPr>
      <w:r>
        <w:rPr>
          <w:rFonts w:ascii="Arial" w:cs="Arial" w:eastAsia="Arial" w:hAnsi="Arial"/>
          <w:sz w:val="13"/>
          <w:szCs w:val="13"/>
          <w:color w:val="auto"/>
        </w:rPr>
        <w:t>Loc. #5 - 3103 Phoenixville Pike, Malvern, PA, 19355</w:t>
      </w:r>
    </w:p>
    <w:p>
      <w:pPr>
        <w:ind w:left="220"/>
        <w:spacing w:after="0" w:line="234" w:lineRule="auto"/>
        <w:rPr>
          <w:sz w:val="20"/>
          <w:szCs w:val="20"/>
          <w:color w:val="auto"/>
        </w:rPr>
      </w:pPr>
      <w:r>
        <w:rPr>
          <w:rFonts w:ascii="Arial" w:cs="Arial" w:eastAsia="Arial" w:hAnsi="Arial"/>
          <w:sz w:val="13"/>
          <w:szCs w:val="13"/>
          <w:color w:val="auto"/>
        </w:rPr>
        <w:t>Loc. #6 – 1618 SW First Avenue, Suite 215, Portland OR 97201</w:t>
      </w:r>
    </w:p>
    <w:p>
      <w:pPr>
        <w:ind w:left="220"/>
        <w:spacing w:after="0" w:line="234" w:lineRule="auto"/>
        <w:rPr>
          <w:sz w:val="20"/>
          <w:szCs w:val="20"/>
          <w:color w:val="auto"/>
        </w:rPr>
      </w:pPr>
      <w:r>
        <w:rPr>
          <w:rFonts w:ascii="Arial" w:cs="Arial" w:eastAsia="Arial" w:hAnsi="Arial"/>
          <w:sz w:val="13"/>
          <w:szCs w:val="13"/>
          <w:color w:val="auto"/>
        </w:rPr>
        <w:t>Loc. #7 - ***</w:t>
      </w:r>
    </w:p>
    <w:p>
      <w:pPr>
        <w:ind w:left="220"/>
        <w:spacing w:after="0"/>
        <w:rPr>
          <w:sz w:val="20"/>
          <w:szCs w:val="20"/>
          <w:color w:val="auto"/>
        </w:rPr>
      </w:pPr>
      <w:r>
        <w:rPr>
          <w:rFonts w:ascii="Arial" w:cs="Arial" w:eastAsia="Arial" w:hAnsi="Arial"/>
          <w:sz w:val="13"/>
          <w:szCs w:val="13"/>
          <w:color w:val="auto"/>
        </w:rPr>
        <w:t>Loc. #8 – 3119 Phoenixville Pike, Malvern, PA 19355</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PROPERTY</w:t>
      </w:r>
    </w:p>
    <w:tbl>
      <w:tblPr>
        <w:tblLayout w:type="fixed"/>
        <w:tblInd w:w="130" w:type="dxa"/>
        <w:tblCellMar>
          <w:top w:w="0" w:type="dxa"/>
          <w:left w:w="0" w:type="dxa"/>
          <w:bottom w:w="0" w:type="dxa"/>
          <w:right w:w="0" w:type="dxa"/>
        </w:tblCellMar>
      </w:tblPr>
      <w:tr>
        <w:trPr>
          <w:trHeight w:val="121"/>
        </w:trPr>
        <w:tc>
          <w:tcPr>
            <w:tcW w:w="100" w:type="dxa"/>
            <w:vAlign w:val="bottom"/>
            <w:tcBorders>
              <w:top w:val="single" w:sz="8" w:color="auto"/>
              <w:left w:val="single" w:sz="8" w:color="auto"/>
              <w:bottom w:val="single" w:sz="8" w:color="auto"/>
            </w:tcBorders>
          </w:tcPr>
          <w:p>
            <w:pPr>
              <w:spacing w:after="0"/>
              <w:rPr>
                <w:sz w:val="10"/>
                <w:szCs w:val="10"/>
                <w:color w:val="auto"/>
              </w:rPr>
            </w:pPr>
          </w:p>
        </w:tc>
        <w:tc>
          <w:tcPr>
            <w:tcW w:w="2580" w:type="dxa"/>
            <w:vAlign w:val="bottom"/>
            <w:tcBorders>
              <w:top w:val="single" w:sz="8" w:color="auto"/>
              <w:bottom w:val="single" w:sz="8" w:color="auto"/>
              <w:right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3060" w:type="dxa"/>
            <w:vAlign w:val="bottom"/>
            <w:tcBorders>
              <w:top w:val="single" w:sz="8" w:color="auto"/>
              <w:bottom w:val="single" w:sz="8" w:color="auto"/>
              <w:right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2015-16</w:t>
            </w:r>
          </w:p>
        </w:tc>
        <w:tc>
          <w:tcPr>
            <w:tcW w:w="3060" w:type="dxa"/>
            <w:vAlign w:val="bottom"/>
            <w:tcBorders>
              <w:top w:val="single" w:sz="8" w:color="auto"/>
              <w:bottom w:val="single" w:sz="8" w:color="auto"/>
              <w:right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2016-17</w:t>
            </w:r>
          </w:p>
        </w:tc>
      </w:tr>
      <w:tr>
        <w:trPr>
          <w:trHeight w:val="115"/>
        </w:trPr>
        <w:tc>
          <w:tcPr>
            <w:tcW w:w="100" w:type="dxa"/>
            <w:vAlign w:val="bottom"/>
            <w:tcBorders>
              <w:left w:val="single" w:sz="8" w:color="auto"/>
            </w:tcBorders>
          </w:tcPr>
          <w:p>
            <w:pPr>
              <w:spacing w:after="0"/>
              <w:rPr>
                <w:sz w:val="10"/>
                <w:szCs w:val="10"/>
                <w:color w:val="auto"/>
              </w:rPr>
            </w:pPr>
          </w:p>
        </w:tc>
        <w:tc>
          <w:tcPr>
            <w:tcW w:w="2580" w:type="dxa"/>
            <w:vAlign w:val="bottom"/>
            <w:tcBorders>
              <w:right w:val="single" w:sz="8" w:color="auto"/>
            </w:tcBorders>
            <w:gridSpan w:val="3"/>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3060" w:type="dxa"/>
            <w:vAlign w:val="bottom"/>
            <w:tcBorders>
              <w:right w:val="single" w:sz="8" w:color="auto"/>
            </w:tcBorders>
            <w:gridSpan w:val="3"/>
          </w:tcPr>
          <w:p>
            <w:pPr>
              <w:ind w:left="80"/>
              <w:spacing w:after="0" w:line="115" w:lineRule="exact"/>
              <w:rPr>
                <w:sz w:val="20"/>
                <w:szCs w:val="20"/>
                <w:color w:val="auto"/>
              </w:rPr>
            </w:pPr>
            <w:r>
              <w:rPr>
                <w:rFonts w:ascii="Arial" w:cs="Arial" w:eastAsia="Arial" w:hAnsi="Arial"/>
                <w:sz w:val="13"/>
                <w:szCs w:val="13"/>
                <w:color w:val="auto"/>
              </w:rPr>
              <w:t>Chubb</w:t>
            </w:r>
          </w:p>
        </w:tc>
        <w:tc>
          <w:tcPr>
            <w:tcW w:w="3060" w:type="dxa"/>
            <w:vAlign w:val="bottom"/>
            <w:tcBorders>
              <w:right w:val="single" w:sz="8" w:color="auto"/>
            </w:tcBorders>
            <w:gridSpan w:val="3"/>
          </w:tcPr>
          <w:p>
            <w:pPr>
              <w:ind w:left="8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11/01/2015 – 11/01/2016</w:t>
            </w: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3060" w:type="dxa"/>
            <w:vAlign w:val="bottom"/>
            <w:tcBorders>
              <w:bottom w:val="single" w:sz="8" w:color="auto"/>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3060" w:type="dxa"/>
            <w:vAlign w:val="bottom"/>
            <w:tcBorders>
              <w:bottom w:val="single" w:sz="8" w:color="auto"/>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Blanket Personal Property and Leasehold</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Interest - Improvements and Betterments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Stock</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EDP Property</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w w:val="97"/>
              </w:rPr>
              <w:t>Blanket Business Income with Extra Expense</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Blanket Business Income with Extra Expense</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 Dependent Properties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Covered Premises - Blanket Limit Of</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Insurance</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Flood – Aggregate Limit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Earthquake – Aggregate Limit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Property In Transit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r>
      <w:tr>
        <w:trPr>
          <w:trHeight w:val="345"/>
        </w:trPr>
        <w:tc>
          <w:tcPr>
            <w:tcW w:w="2680" w:type="dxa"/>
            <w:vAlign w:val="bottom"/>
            <w:gridSpan w:val="4"/>
          </w:tcPr>
          <w:p>
            <w:pPr>
              <w:spacing w:after="0"/>
              <w:rPr>
                <w:sz w:val="20"/>
                <w:szCs w:val="20"/>
                <w:color w:val="auto"/>
              </w:rPr>
            </w:pPr>
            <w:r>
              <w:rPr>
                <w:rFonts w:ascii="Arial" w:cs="Arial" w:eastAsia="Arial" w:hAnsi="Arial"/>
                <w:sz w:val="13"/>
                <w:szCs w:val="13"/>
                <w:b w:val="1"/>
                <w:bCs w:val="1"/>
                <w:color w:val="auto"/>
              </w:rPr>
              <w:t>SECTION III</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44"/>
        </w:trPr>
        <w:tc>
          <w:tcPr>
            <w:tcW w:w="800" w:type="dxa"/>
            <w:vAlign w:val="bottom"/>
            <w:tcBorders>
              <w:top w:val="single" w:sz="8" w:color="auto"/>
              <w:bottom w:val="single" w:sz="8" w:color="auto"/>
            </w:tcBorders>
            <w:gridSpan w:val="3"/>
          </w:tcPr>
          <w:p>
            <w:pPr>
              <w:spacing w:after="0" w:line="144" w:lineRule="exact"/>
              <w:rPr>
                <w:sz w:val="20"/>
                <w:szCs w:val="20"/>
                <w:color w:val="auto"/>
              </w:rPr>
            </w:pPr>
            <w:r>
              <w:rPr>
                <w:rFonts w:ascii="Arial" w:cs="Arial" w:eastAsia="Arial" w:hAnsi="Arial"/>
                <w:sz w:val="13"/>
                <w:szCs w:val="13"/>
                <w:b w:val="1"/>
                <w:bCs w:val="1"/>
                <w:color w:val="auto"/>
              </w:rPr>
              <w:t>GENERAL</w:t>
            </w:r>
          </w:p>
        </w:tc>
        <w:tc>
          <w:tcPr>
            <w:tcW w:w="18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LIABILITY</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3060" w:type="dxa"/>
            <w:vAlign w:val="bottom"/>
            <w:tcBorders>
              <w:right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3060" w:type="dxa"/>
            <w:vAlign w:val="bottom"/>
            <w:tcBorders>
              <w:right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3060" w:type="dxa"/>
            <w:vAlign w:val="bottom"/>
            <w:tcBorders>
              <w:right w:val="single" w:sz="8" w:color="auto"/>
            </w:tcBorders>
            <w:gridSpan w:val="3"/>
          </w:tcPr>
          <w:p>
            <w:pPr>
              <w:ind w:left="80"/>
              <w:spacing w:after="0" w:line="105" w:lineRule="exact"/>
              <w:rPr>
                <w:sz w:val="20"/>
                <w:szCs w:val="20"/>
                <w:color w:val="auto"/>
              </w:rPr>
            </w:pPr>
            <w:r>
              <w:rPr>
                <w:rFonts w:ascii="Arial" w:cs="Arial" w:eastAsia="Arial" w:hAnsi="Arial"/>
                <w:sz w:val="12"/>
                <w:szCs w:val="12"/>
                <w:color w:val="auto"/>
              </w:rPr>
              <w:t>Chubb</w:t>
            </w:r>
          </w:p>
        </w:tc>
        <w:tc>
          <w:tcPr>
            <w:tcW w:w="3060" w:type="dxa"/>
            <w:vAlign w:val="bottom"/>
            <w:tcBorders>
              <w:right w:val="single" w:sz="8" w:color="auto"/>
            </w:tcBorders>
            <w:gridSpan w:val="3"/>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11/01/2015 – 11/01/2016</w:t>
            </w: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11/01/2016 – 11/01/2017</w:t>
            </w: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22" w:name="page223"/>
    <w:bookmarkEnd w:id="222"/>
    <w:tbl>
      <w:tblPr>
        <w:tblLayout w:type="fixed"/>
        <w:tblInd w:w="130" w:type="dxa"/>
        <w:tblCellMar>
          <w:top w:w="0" w:type="dxa"/>
          <w:left w:w="0" w:type="dxa"/>
          <w:bottom w:w="0" w:type="dxa"/>
          <w:right w:w="0" w:type="dxa"/>
        </w:tblCellMar>
      </w:tblPr>
      <w:tr>
        <w:trPr>
          <w:trHeight w:val="181"/>
        </w:trPr>
        <w:tc>
          <w:tcPr>
            <w:tcW w:w="100" w:type="dxa"/>
            <w:vAlign w:val="bottom"/>
            <w:tcBorders>
              <w:top w:val="single" w:sz="8" w:color="auto"/>
              <w:left w:val="single" w:sz="8" w:color="auto"/>
            </w:tcBorders>
          </w:tcPr>
          <w:p>
            <w:pPr>
              <w:spacing w:after="0"/>
              <w:rPr>
                <w:sz w:val="15"/>
                <w:szCs w:val="15"/>
                <w:color w:val="auto"/>
              </w:rPr>
            </w:pPr>
          </w:p>
        </w:tc>
        <w:tc>
          <w:tcPr>
            <w:tcW w:w="260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13"/>
                <w:szCs w:val="13"/>
                <w:color w:val="auto"/>
              </w:rPr>
              <w:t>Covered Entities</w:t>
            </w:r>
          </w:p>
        </w:tc>
        <w:tc>
          <w:tcPr>
            <w:tcW w:w="30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USA Technologies, Inc.</w:t>
            </w:r>
          </w:p>
        </w:tc>
        <w:tc>
          <w:tcPr>
            <w:tcW w:w="40" w:type="dxa"/>
            <w:vAlign w:val="bottom"/>
            <w:tcBorders>
              <w:top w:val="single" w:sz="8" w:color="auto"/>
            </w:tcBorders>
          </w:tcPr>
          <w:p>
            <w:pPr>
              <w:spacing w:after="0"/>
              <w:rPr>
                <w:sz w:val="15"/>
                <w:szCs w:val="15"/>
                <w:color w:val="auto"/>
              </w:rPr>
            </w:pPr>
          </w:p>
        </w:tc>
        <w:tc>
          <w:tcPr>
            <w:tcW w:w="30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66"/>
        </w:trPr>
        <w:tc>
          <w:tcPr>
            <w:tcW w:w="100" w:type="dxa"/>
            <w:vAlign w:val="bottom"/>
            <w:tcBorders>
              <w:left w:val="single" w:sz="8" w:color="auto"/>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gridSpan w:val="4"/>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Each Occurrence Limit</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General Aggregate</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Products/Completed Operations Aggr</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Medical Expenses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Premium Basis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Employee Benefits Liability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700" w:type="dxa"/>
            <w:vAlign w:val="bottom"/>
            <w:gridSpan w:val="5"/>
          </w:tcPr>
          <w:p>
            <w:pPr>
              <w:spacing w:after="0"/>
              <w:rPr>
                <w:sz w:val="20"/>
                <w:szCs w:val="20"/>
                <w:color w:val="auto"/>
              </w:rPr>
            </w:pPr>
            <w:r>
              <w:rPr>
                <w:rFonts w:ascii="Arial" w:cs="Arial" w:eastAsia="Arial" w:hAnsi="Arial"/>
                <w:sz w:val="13"/>
                <w:szCs w:val="13"/>
                <w:b w:val="1"/>
                <w:bCs w:val="1"/>
                <w:color w:val="auto"/>
              </w:rPr>
              <w:t>SECTION IV</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80" w:type="dxa"/>
            <w:vAlign w:val="bottom"/>
            <w:tcBorders>
              <w:top w:val="single" w:sz="8" w:color="auto"/>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ERRORS &amp;</w:t>
            </w:r>
          </w:p>
        </w:tc>
        <w:tc>
          <w:tcPr>
            <w:tcW w:w="19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OMISSIONS</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520" w:type="dxa"/>
            <w:vAlign w:val="bottom"/>
            <w:gridSpan w:val="4"/>
          </w:tcPr>
          <w:p>
            <w:pPr>
              <w:ind w:left="60"/>
              <w:spacing w:after="0" w:line="108" w:lineRule="exact"/>
              <w:rPr>
                <w:sz w:val="20"/>
                <w:szCs w:val="20"/>
                <w:color w:val="auto"/>
              </w:rPr>
            </w:pPr>
            <w:r>
              <w:rPr>
                <w:rFonts w:ascii="Arial" w:cs="Arial" w:eastAsia="Arial" w:hAnsi="Arial"/>
                <w:sz w:val="12"/>
                <w:szCs w:val="12"/>
                <w:b w:val="1"/>
                <w:bCs w:val="1"/>
                <w:color w:val="auto"/>
                <w:w w:val="99"/>
              </w:rPr>
              <w:t>2015-16</w:t>
            </w:r>
          </w:p>
        </w:tc>
        <w:tc>
          <w:tcPr>
            <w:tcW w:w="252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gridSpan w:val="5"/>
          </w:tcPr>
          <w:p>
            <w:pPr>
              <w:ind w:left="80"/>
              <w:spacing w:after="0" w:line="108" w:lineRule="exact"/>
              <w:rPr>
                <w:sz w:val="20"/>
                <w:szCs w:val="20"/>
                <w:color w:val="auto"/>
              </w:rPr>
            </w:pPr>
            <w:r>
              <w:rPr>
                <w:rFonts w:ascii="Arial" w:cs="Arial" w:eastAsia="Arial" w:hAnsi="Arial"/>
                <w:sz w:val="12"/>
                <w:szCs w:val="12"/>
                <w:b w:val="1"/>
                <w:bCs w:val="1"/>
                <w:color w:val="auto"/>
              </w:rPr>
              <w:t>2016-2017</w:t>
            </w:r>
          </w:p>
        </w:tc>
        <w:tc>
          <w:tcPr>
            <w:tcW w:w="0" w:type="dxa"/>
            <w:vAlign w:val="bottom"/>
          </w:tcPr>
          <w:p>
            <w:pPr>
              <w:spacing w:after="0"/>
              <w:rPr>
                <w:sz w:val="1"/>
                <w:szCs w:val="1"/>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3040" w:type="dxa"/>
            <w:vAlign w:val="bottom"/>
            <w:tcBorders>
              <w:right w:val="single" w:sz="8" w:color="auto"/>
            </w:tcBorders>
            <w:gridSpan w:val="5"/>
          </w:tcPr>
          <w:p>
            <w:pPr>
              <w:ind w:left="60"/>
              <w:spacing w:after="0" w:line="105" w:lineRule="exact"/>
              <w:rPr>
                <w:sz w:val="20"/>
                <w:szCs w:val="20"/>
                <w:color w:val="auto"/>
              </w:rPr>
            </w:pPr>
            <w:r>
              <w:rPr>
                <w:rFonts w:ascii="Arial" w:cs="Arial" w:eastAsia="Arial" w:hAnsi="Arial"/>
                <w:sz w:val="12"/>
                <w:szCs w:val="12"/>
                <w:color w:val="auto"/>
              </w:rPr>
              <w:t>Chubb</w:t>
            </w:r>
          </w:p>
        </w:tc>
        <w:tc>
          <w:tcPr>
            <w:tcW w:w="40" w:type="dxa"/>
            <w:vAlign w:val="bottom"/>
          </w:tcPr>
          <w:p>
            <w:pPr>
              <w:spacing w:after="0"/>
              <w:rPr>
                <w:sz w:val="9"/>
                <w:szCs w:val="9"/>
                <w:color w:val="auto"/>
              </w:rPr>
            </w:pPr>
          </w:p>
        </w:tc>
        <w:tc>
          <w:tcPr>
            <w:tcW w:w="3020" w:type="dxa"/>
            <w:vAlign w:val="bottom"/>
            <w:tcBorders>
              <w:right w:val="single" w:sz="8" w:color="auto"/>
            </w:tcBorders>
            <w:gridSpan w:val="4"/>
          </w:tcPr>
          <w:p>
            <w:pPr>
              <w:ind w:left="40"/>
              <w:spacing w:after="0" w:line="105" w:lineRule="exact"/>
              <w:rPr>
                <w:sz w:val="20"/>
                <w:szCs w:val="20"/>
                <w:color w:val="auto"/>
              </w:rPr>
            </w:pPr>
            <w:r>
              <w:rPr>
                <w:rFonts w:ascii="Arial" w:cs="Arial" w:eastAsia="Arial" w:hAnsi="Arial"/>
                <w:sz w:val="12"/>
                <w:szCs w:val="12"/>
                <w:color w:val="auto"/>
              </w:rPr>
              <w:t>Chubb</w:t>
            </w: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30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11/01/2015 – 11/01/2016</w:t>
            </w:r>
          </w:p>
        </w:tc>
        <w:tc>
          <w:tcPr>
            <w:tcW w:w="40" w:type="dxa"/>
            <w:vAlign w:val="bottom"/>
            <w:tcBorders>
              <w:bottom w:val="single" w:sz="8" w:color="auto"/>
            </w:tcBorders>
          </w:tcPr>
          <w:p>
            <w:pPr>
              <w:spacing w:after="0"/>
              <w:rPr>
                <w:sz w:val="13"/>
                <w:szCs w:val="13"/>
                <w:color w:val="auto"/>
              </w:rPr>
            </w:pPr>
          </w:p>
        </w:tc>
        <w:tc>
          <w:tcPr>
            <w:tcW w:w="302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3"/>
                <w:szCs w:val="13"/>
                <w:color w:val="auto"/>
              </w:rPr>
              <w:t>11/01/2016 – 11/01/2017</w:t>
            </w: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Covered Entities</w:t>
            </w:r>
          </w:p>
        </w:tc>
        <w:tc>
          <w:tcPr>
            <w:tcW w:w="3040" w:type="dxa"/>
            <w:vAlign w:val="bottom"/>
            <w:tcBorders>
              <w:bottom w:val="single" w:sz="8" w:color="auto"/>
              <w:right w:val="single" w:sz="8" w:color="auto"/>
            </w:tcBorders>
            <w:gridSpan w:val="5"/>
          </w:tcPr>
          <w:p>
            <w:pPr>
              <w:ind w:left="60"/>
              <w:spacing w:after="0" w:line="126" w:lineRule="exact"/>
              <w:rPr>
                <w:sz w:val="20"/>
                <w:szCs w:val="20"/>
                <w:color w:val="auto"/>
              </w:rPr>
            </w:pPr>
            <w:r>
              <w:rPr>
                <w:rFonts w:ascii="Arial" w:cs="Arial" w:eastAsia="Arial" w:hAnsi="Arial"/>
                <w:sz w:val="13"/>
                <w:szCs w:val="13"/>
                <w:color w:val="auto"/>
              </w:rPr>
              <w:t>USA Technologies, Inc.</w:t>
            </w:r>
          </w:p>
        </w:tc>
        <w:tc>
          <w:tcPr>
            <w:tcW w:w="40" w:type="dxa"/>
            <w:vAlign w:val="bottom"/>
            <w:tcBorders>
              <w:bottom w:val="single" w:sz="8" w:color="auto"/>
            </w:tcBorders>
          </w:tcPr>
          <w:p>
            <w:pPr>
              <w:spacing w:after="0"/>
              <w:rPr>
                <w:sz w:val="10"/>
                <w:szCs w:val="10"/>
                <w:color w:val="auto"/>
              </w:rPr>
            </w:pPr>
          </w:p>
        </w:tc>
        <w:tc>
          <w:tcPr>
            <w:tcW w:w="3020" w:type="dxa"/>
            <w:vAlign w:val="bottom"/>
            <w:tcBorders>
              <w:bottom w:val="single" w:sz="8" w:color="auto"/>
              <w:right w:val="single" w:sz="8" w:color="auto"/>
            </w:tcBorders>
            <w:gridSpan w:val="4"/>
          </w:tcPr>
          <w:p>
            <w:pPr>
              <w:ind w:left="40"/>
              <w:spacing w:after="0" w:line="126" w:lineRule="exact"/>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Information and Network Technology</w:t>
            </w:r>
          </w:p>
        </w:tc>
        <w:tc>
          <w:tcPr>
            <w:tcW w:w="500" w:type="dxa"/>
            <w:vAlign w:val="bottom"/>
            <w:gridSpan w:val="3"/>
          </w:tcPr>
          <w:p>
            <w:pPr>
              <w:ind w:left="60"/>
              <w:spacing w:after="0" w:line="10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480" w:type="dxa"/>
            <w:vAlign w:val="bottom"/>
            <w:gridSpan w:val="3"/>
          </w:tcPr>
          <w:p>
            <w:pPr>
              <w:ind w:left="80"/>
              <w:spacing w:after="0" w:line="10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spacing w:after="0" w:line="137" w:lineRule="exact"/>
              <w:rPr>
                <w:sz w:val="20"/>
                <w:szCs w:val="20"/>
                <w:color w:val="auto"/>
              </w:rPr>
            </w:pPr>
            <w:r>
              <w:rPr>
                <w:rFonts w:ascii="Arial" w:cs="Arial" w:eastAsia="Arial" w:hAnsi="Arial"/>
                <w:sz w:val="13"/>
                <w:szCs w:val="13"/>
                <w:color w:val="auto"/>
              </w:rPr>
              <w:t>Blended Liability Insurance: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100"/>
              <w:spacing w:after="0" w:line="137" w:lineRule="exact"/>
              <w:rPr>
                <w:sz w:val="20"/>
                <w:szCs w:val="20"/>
                <w:color w:val="auto"/>
              </w:rPr>
            </w:pPr>
            <w:r>
              <w:rPr>
                <w:rFonts w:ascii="Arial" w:cs="Arial" w:eastAsia="Arial" w:hAnsi="Arial"/>
                <w:sz w:val="13"/>
                <w:szCs w:val="13"/>
                <w:color w:val="auto"/>
              </w:rPr>
              <w:t>Product or Service Financial Injury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80"/>
              <w:spacing w:after="0" w:line="137" w:lineRule="exact"/>
              <w:rPr>
                <w:sz w:val="20"/>
                <w:szCs w:val="20"/>
                <w:color w:val="auto"/>
              </w:rPr>
            </w:pPr>
            <w:r>
              <w:rPr>
                <w:rFonts w:ascii="Arial" w:cs="Arial" w:eastAsia="Arial" w:hAnsi="Arial"/>
                <w:sz w:val="13"/>
                <w:szCs w:val="13"/>
                <w:color w:val="auto"/>
              </w:rPr>
              <w:t>Technology Related Injury: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600" w:type="dxa"/>
            <w:vAlign w:val="bottom"/>
            <w:tcBorders>
              <w:right w:val="single" w:sz="8" w:color="auto"/>
            </w:tcBorders>
            <w:gridSpan w:val="4"/>
          </w:tcPr>
          <w:p>
            <w:pPr>
              <w:ind w:left="200"/>
              <w:spacing w:after="0" w:line="137" w:lineRule="exact"/>
              <w:rPr>
                <w:sz w:val="20"/>
                <w:szCs w:val="20"/>
                <w:color w:val="auto"/>
              </w:rPr>
            </w:pPr>
            <w:r>
              <w:rPr>
                <w:rFonts w:ascii="Arial" w:cs="Arial" w:eastAsia="Arial" w:hAnsi="Arial"/>
                <w:sz w:val="13"/>
                <w:szCs w:val="13"/>
                <w:color w:val="auto"/>
              </w:rPr>
              <w:t>Personal/Reputation/Media</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gridSpan w:val="4"/>
          </w:tcPr>
          <w:p>
            <w:pPr>
              <w:ind w:left="200"/>
              <w:spacing w:after="0"/>
              <w:rPr>
                <w:sz w:val="20"/>
                <w:szCs w:val="20"/>
                <w:color w:val="auto"/>
              </w:rPr>
            </w:pPr>
            <w:r>
              <w:rPr>
                <w:rFonts w:ascii="Arial" w:cs="Arial" w:eastAsia="Arial" w:hAnsi="Arial"/>
                <w:sz w:val="13"/>
                <w:szCs w:val="13"/>
                <w:color w:val="auto"/>
              </w:rPr>
              <w:t>Privacy</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left w:val="single" w:sz="8" w:color="auto"/>
            </w:tcBorders>
          </w:tcPr>
          <w:p>
            <w:pPr>
              <w:spacing w:after="0"/>
              <w:rPr>
                <w:sz w:val="13"/>
                <w:szCs w:val="13"/>
                <w:color w:val="auto"/>
              </w:rPr>
            </w:pPr>
          </w:p>
        </w:tc>
        <w:tc>
          <w:tcPr>
            <w:tcW w:w="260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Privacy Remediation Expenses</w:t>
            </w:r>
          </w:p>
        </w:tc>
        <w:tc>
          <w:tcPr>
            <w:tcW w:w="50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1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Premium Basis</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Professional Liability Territory</w:t>
            </w:r>
          </w:p>
        </w:tc>
        <w:tc>
          <w:tcPr>
            <w:tcW w:w="50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700" w:type="dxa"/>
            <w:vAlign w:val="bottom"/>
            <w:gridSpan w:val="5"/>
          </w:tcPr>
          <w:p>
            <w:pPr>
              <w:spacing w:after="0"/>
              <w:rPr>
                <w:sz w:val="20"/>
                <w:szCs w:val="20"/>
                <w:color w:val="auto"/>
              </w:rPr>
            </w:pPr>
            <w:r>
              <w:rPr>
                <w:rFonts w:ascii="Arial" w:cs="Arial" w:eastAsia="Arial" w:hAnsi="Arial"/>
                <w:sz w:val="13"/>
                <w:szCs w:val="13"/>
                <w:b w:val="1"/>
                <w:bCs w:val="1"/>
                <w:color w:val="auto"/>
              </w:rPr>
              <w:t>SECTION V</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40" w:type="dxa"/>
            <w:vAlign w:val="bottom"/>
            <w:tcBorders>
              <w:top w:val="single" w:sz="8" w:color="auto"/>
              <w:bottom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w w:val="82"/>
              </w:rPr>
              <w:t>AUTOMOBILE</w:t>
            </w:r>
          </w:p>
        </w:tc>
        <w:tc>
          <w:tcPr>
            <w:tcW w:w="1960" w:type="dxa"/>
            <w:vAlign w:val="bottom"/>
            <w:tcBorders>
              <w:bottom w:val="single" w:sz="8" w:color="auto"/>
            </w:tcBorders>
            <w:gridSpan w:val="3"/>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3040" w:type="dxa"/>
            <w:vAlign w:val="bottom"/>
            <w:tcBorders>
              <w:right w:val="single" w:sz="8" w:color="auto"/>
            </w:tcBorders>
            <w:gridSpan w:val="5"/>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640" w:type="dxa"/>
            <w:vAlign w:val="bottom"/>
            <w:gridSpan w:val="4"/>
          </w:tcPr>
          <w:p>
            <w:pPr>
              <w:ind w:left="40"/>
              <w:spacing w:after="0" w:line="108" w:lineRule="exact"/>
              <w:rPr>
                <w:sz w:val="20"/>
                <w:szCs w:val="20"/>
                <w:color w:val="auto"/>
              </w:rPr>
            </w:pPr>
            <w:r>
              <w:rPr>
                <w:rFonts w:ascii="Arial" w:cs="Arial" w:eastAsia="Arial" w:hAnsi="Arial"/>
                <w:sz w:val="12"/>
                <w:szCs w:val="12"/>
                <w:b w:val="1"/>
                <w:bCs w:val="1"/>
                <w:color w:val="auto"/>
              </w:rPr>
              <w:t>2016-17</w:t>
            </w: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600" w:type="dxa"/>
            <w:vAlign w:val="bottom"/>
            <w:tcBorders>
              <w:right w:val="single" w:sz="8" w:color="auto"/>
            </w:tcBorders>
            <w:gridSpan w:val="4"/>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Chubb</w:t>
            </w:r>
          </w:p>
        </w:tc>
        <w:tc>
          <w:tcPr>
            <w:tcW w:w="3060" w:type="dxa"/>
            <w:vAlign w:val="bottom"/>
            <w:tcBorders>
              <w:right w:val="single" w:sz="8" w:color="auto"/>
            </w:tcBorders>
            <w:gridSpan w:val="5"/>
          </w:tcPr>
          <w:p>
            <w:pPr>
              <w:ind w:left="40"/>
              <w:spacing w:after="0" w:line="105" w:lineRule="exact"/>
              <w:rPr>
                <w:sz w:val="20"/>
                <w:szCs w:val="20"/>
                <w:color w:val="auto"/>
              </w:rPr>
            </w:pPr>
            <w:r>
              <w:rPr>
                <w:rFonts w:ascii="Arial" w:cs="Arial" w:eastAsia="Arial" w:hAnsi="Arial"/>
                <w:sz w:val="12"/>
                <w:szCs w:val="12"/>
                <w:color w:val="auto"/>
              </w:rPr>
              <w:t>Chubb</w:t>
            </w: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11/01/2016 – 11/01/2017</w:t>
            </w:r>
          </w:p>
        </w:tc>
        <w:tc>
          <w:tcPr>
            <w:tcW w:w="3060" w:type="dxa"/>
            <w:vAlign w:val="bottom"/>
            <w:tcBorders>
              <w:bottom w:val="single" w:sz="8" w:color="auto"/>
              <w:right w:val="single" w:sz="8" w:color="auto"/>
            </w:tcBorders>
            <w:gridSpan w:val="5"/>
          </w:tcPr>
          <w:p>
            <w:pPr>
              <w:ind w:left="40"/>
              <w:spacing w:after="0"/>
              <w:rPr>
                <w:sz w:val="20"/>
                <w:szCs w:val="20"/>
                <w:color w:val="auto"/>
              </w:rPr>
            </w:pPr>
            <w:r>
              <w:rPr>
                <w:rFonts w:ascii="Arial" w:cs="Arial" w:eastAsia="Arial" w:hAnsi="Arial"/>
                <w:sz w:val="13"/>
                <w:szCs w:val="13"/>
                <w:color w:val="auto"/>
              </w:rPr>
              <w:t>11/01/2016– 11/01/2017</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23" w:name="page224"/>
    <w:bookmarkEnd w:id="223"/>
    <w:tbl>
      <w:tblPr>
        <w:tblLayout w:type="fixed"/>
        <w:tblInd w:w="130" w:type="dxa"/>
        <w:tblCellMar>
          <w:top w:w="0" w:type="dxa"/>
          <w:left w:w="0" w:type="dxa"/>
          <w:bottom w:w="0" w:type="dxa"/>
          <w:right w:w="0" w:type="dxa"/>
        </w:tblCellMar>
      </w:tblPr>
      <w:tr>
        <w:trPr>
          <w:trHeight w:val="181"/>
        </w:trPr>
        <w:tc>
          <w:tcPr>
            <w:tcW w:w="2440" w:type="dxa"/>
            <w:vAlign w:val="bottom"/>
            <w:tcBorders>
              <w:top w:val="single" w:sz="8" w:color="auto"/>
              <w:left w:val="single" w:sz="8" w:color="auto"/>
            </w:tcBorders>
            <w:gridSpan w:val="2"/>
            <w:vMerge w:val="restart"/>
          </w:tcPr>
          <w:p>
            <w:pPr>
              <w:ind w:left="100"/>
              <w:spacing w:after="0"/>
              <w:rPr>
                <w:sz w:val="20"/>
                <w:szCs w:val="20"/>
                <w:color w:val="auto"/>
              </w:rPr>
            </w:pPr>
            <w:r>
              <w:rPr>
                <w:rFonts w:ascii="Arial" w:cs="Arial" w:eastAsia="Arial" w:hAnsi="Arial"/>
                <w:sz w:val="13"/>
                <w:szCs w:val="13"/>
                <w:color w:val="auto"/>
              </w:rPr>
              <w:t>Covered Entities</w:t>
            </w:r>
          </w:p>
        </w:tc>
        <w:tc>
          <w:tcPr>
            <w:tcW w:w="280" w:type="dxa"/>
            <w:vAlign w:val="bottom"/>
            <w:tcBorders>
              <w:top w:val="single" w:sz="8" w:color="auto"/>
              <w:right w:val="single" w:sz="8" w:color="auto"/>
            </w:tcBorders>
          </w:tcPr>
          <w:p>
            <w:pPr>
              <w:spacing w:after="0"/>
              <w:rPr>
                <w:sz w:val="15"/>
                <w:szCs w:val="15"/>
                <w:color w:val="auto"/>
              </w:rPr>
            </w:pPr>
          </w:p>
        </w:tc>
        <w:tc>
          <w:tcPr>
            <w:tcW w:w="300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USA Technologies, Inc.</w:t>
            </w:r>
          </w:p>
        </w:tc>
        <w:tc>
          <w:tcPr>
            <w:tcW w:w="30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66"/>
        </w:trPr>
        <w:tc>
          <w:tcPr>
            <w:tcW w:w="2440" w:type="dxa"/>
            <w:vAlign w:val="bottom"/>
            <w:tcBorders>
              <w:left w:val="single" w:sz="8" w:color="auto"/>
              <w:bottom w:val="single" w:sz="8" w:color="auto"/>
            </w:tcBorders>
            <w:gridSpan w:val="2"/>
            <w:vMerge w:val="continue"/>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Non-Owned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Hired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Hired Auto Physical Damage</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Auto Liability</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44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3"/>
                <w:szCs w:val="13"/>
                <w:color w:val="auto"/>
              </w:rPr>
              <w:t>Schedule of Vehicles</w:t>
            </w:r>
          </w:p>
        </w:tc>
        <w:tc>
          <w:tcPr>
            <w:tcW w:w="280" w:type="dxa"/>
            <w:vAlign w:val="bottom"/>
            <w:tcBorders>
              <w:bottom w:val="single" w:sz="8" w:color="auto"/>
              <w:right w:val="single" w:sz="8" w:color="auto"/>
            </w:tcBorders>
          </w:tcPr>
          <w:p>
            <w:pPr>
              <w:spacing w:after="0"/>
              <w:rPr>
                <w:sz w:val="14"/>
                <w:szCs w:val="14"/>
                <w:color w:val="auto"/>
              </w:rPr>
            </w:pP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2440" w:type="dxa"/>
            <w:vAlign w:val="bottom"/>
            <w:tcBorders>
              <w:left w:val="single" w:sz="8" w:color="auto"/>
              <w:bottom w:val="single" w:sz="8" w:color="auto"/>
            </w:tcBorders>
            <w:gridSpan w:val="2"/>
          </w:tcPr>
          <w:p>
            <w:pPr>
              <w:ind w:left="100"/>
              <w:spacing w:after="0" w:line="127" w:lineRule="exact"/>
              <w:rPr>
                <w:sz w:val="20"/>
                <w:szCs w:val="20"/>
                <w:color w:val="auto"/>
              </w:rPr>
            </w:pPr>
            <w:r>
              <w:rPr>
                <w:rFonts w:ascii="Arial" w:cs="Arial" w:eastAsia="Arial" w:hAnsi="Arial"/>
                <w:sz w:val="13"/>
                <w:szCs w:val="13"/>
                <w:color w:val="auto"/>
              </w:rPr>
              <w:t>Schedule of Drivers</w:t>
            </w:r>
          </w:p>
        </w:tc>
        <w:tc>
          <w:tcPr>
            <w:tcW w:w="280" w:type="dxa"/>
            <w:vAlign w:val="bottom"/>
            <w:tcBorders>
              <w:bottom w:val="single" w:sz="8" w:color="auto"/>
              <w:right w:val="single" w:sz="8" w:color="auto"/>
            </w:tcBorders>
          </w:tcPr>
          <w:p>
            <w:pPr>
              <w:spacing w:after="0"/>
              <w:rPr>
                <w:sz w:val="11"/>
                <w:szCs w:val="11"/>
                <w:color w:val="auto"/>
              </w:rPr>
            </w:pPr>
          </w:p>
        </w:tc>
        <w:tc>
          <w:tcPr>
            <w:tcW w:w="2940" w:type="dxa"/>
            <w:vAlign w:val="bottom"/>
            <w:tcBorders>
              <w:bottom w:val="single" w:sz="8" w:color="auto"/>
            </w:tcBorders>
          </w:tcPr>
          <w:p>
            <w:pPr>
              <w:ind w:left="60"/>
              <w:spacing w:after="0" w:line="127"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ind w:left="60"/>
              <w:spacing w:after="0" w:line="12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Uninsured/Underinsured Motorist Liab</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First Party Benefits</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Extraordinary Medical Benefits</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Comprehensive Deductible</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Collision Deductible</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Rental Reimbursement</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Auto Broad Form Endorsement</w:t>
            </w:r>
          </w:p>
        </w:tc>
        <w:tc>
          <w:tcPr>
            <w:tcW w:w="280" w:type="dxa"/>
            <w:vAlign w:val="bottom"/>
            <w:tcBorders>
              <w:bottom w:val="single" w:sz="8" w:color="auto"/>
              <w:right w:val="single" w:sz="8" w:color="auto"/>
            </w:tcBorders>
          </w:tcPr>
          <w:p>
            <w:pPr>
              <w:spacing w:after="0"/>
              <w:rPr>
                <w:sz w:val="10"/>
                <w:szCs w:val="10"/>
                <w:color w:val="auto"/>
              </w:rPr>
            </w:pPr>
          </w:p>
        </w:tc>
        <w:tc>
          <w:tcPr>
            <w:tcW w:w="294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6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2"/>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SECTION VI</w:t>
            </w:r>
          </w:p>
        </w:tc>
        <w:tc>
          <w:tcPr>
            <w:tcW w:w="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WORKERS</w:t>
            </w:r>
          </w:p>
        </w:tc>
        <w:tc>
          <w:tcPr>
            <w:tcW w:w="16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COMPENSATION</w:t>
            </w:r>
          </w:p>
        </w:tc>
        <w:tc>
          <w:tcPr>
            <w:tcW w:w="2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80" w:type="dxa"/>
            <w:vAlign w:val="bottom"/>
            <w:tcBorders>
              <w:left w:val="single" w:sz="8" w:color="auto"/>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3220" w:type="dxa"/>
            <w:vAlign w:val="bottom"/>
            <w:tcBorders>
              <w:bottom w:val="single" w:sz="8" w:color="auto"/>
              <w:right w:val="single" w:sz="8" w:color="auto"/>
            </w:tcBorders>
            <w:gridSpan w:val="2"/>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20"/>
              <w:spacing w:after="0" w:line="108" w:lineRule="exact"/>
              <w:rPr>
                <w:sz w:val="20"/>
                <w:szCs w:val="20"/>
                <w:color w:val="auto"/>
              </w:rPr>
            </w:pPr>
            <w:r>
              <w:rPr>
                <w:rFonts w:ascii="Arial" w:cs="Arial" w:eastAsia="Arial" w:hAnsi="Arial"/>
                <w:sz w:val="12"/>
                <w:szCs w:val="12"/>
                <w:b w:val="1"/>
                <w:bCs w:val="1"/>
                <w:color w:val="auto"/>
              </w:rPr>
              <w:t>2016-17</w:t>
            </w:r>
          </w:p>
        </w:tc>
        <w:tc>
          <w:tcPr>
            <w:tcW w:w="0" w:type="dxa"/>
            <w:vAlign w:val="bottom"/>
          </w:tcPr>
          <w:p>
            <w:pPr>
              <w:spacing w:after="0"/>
              <w:rPr>
                <w:sz w:val="1"/>
                <w:szCs w:val="1"/>
                <w:color w:val="auto"/>
              </w:rPr>
            </w:pPr>
          </w:p>
        </w:tc>
      </w:tr>
      <w:tr>
        <w:trPr>
          <w:trHeight w:val="115"/>
        </w:trPr>
        <w:tc>
          <w:tcPr>
            <w:tcW w:w="2440" w:type="dxa"/>
            <w:vAlign w:val="bottom"/>
            <w:tcBorders>
              <w:left w:val="single" w:sz="8" w:color="auto"/>
              <w:right w:val="single" w:sz="8" w:color="auto"/>
            </w:tcBorders>
            <w:gridSpan w:val="2"/>
          </w:tcPr>
          <w:p>
            <w:pPr>
              <w:ind w:left="100"/>
              <w:spacing w:after="0" w:line="115" w:lineRule="exact"/>
              <w:rPr>
                <w:sz w:val="20"/>
                <w:szCs w:val="20"/>
                <w:color w:val="auto"/>
              </w:rPr>
            </w:pPr>
            <w:r>
              <w:rPr>
                <w:rFonts w:ascii="Arial" w:cs="Arial" w:eastAsia="Arial" w:hAnsi="Arial"/>
                <w:sz w:val="13"/>
                <w:szCs w:val="13"/>
                <w:color w:val="auto"/>
              </w:rPr>
              <w:t>Insurance Company/Policy Period</w:t>
            </w:r>
          </w:p>
        </w:tc>
        <w:tc>
          <w:tcPr>
            <w:tcW w:w="3220" w:type="dxa"/>
            <w:vAlign w:val="bottom"/>
            <w:tcBorders>
              <w:right w:val="single" w:sz="8" w:color="auto"/>
            </w:tcBorders>
            <w:gridSpan w:val="2"/>
          </w:tcPr>
          <w:p>
            <w:pPr>
              <w:ind w:left="80"/>
              <w:spacing w:after="0" w:line="115" w:lineRule="exact"/>
              <w:rPr>
                <w:sz w:val="20"/>
                <w:szCs w:val="20"/>
                <w:color w:val="auto"/>
              </w:rPr>
            </w:pPr>
            <w:r>
              <w:rPr>
                <w:rFonts w:ascii="Arial" w:cs="Arial" w:eastAsia="Arial" w:hAnsi="Arial"/>
                <w:sz w:val="13"/>
                <w:szCs w:val="13"/>
                <w:color w:val="auto"/>
              </w:rPr>
              <w:t>Chubb</w:t>
            </w:r>
          </w:p>
        </w:tc>
        <w:tc>
          <w:tcPr>
            <w:tcW w:w="60" w:type="dxa"/>
            <w:vAlign w:val="bottom"/>
          </w:tcPr>
          <w:p>
            <w:pPr>
              <w:spacing w:after="0"/>
              <w:rPr>
                <w:sz w:val="10"/>
                <w:szCs w:val="10"/>
                <w:color w:val="auto"/>
              </w:rPr>
            </w:pPr>
          </w:p>
        </w:tc>
        <w:tc>
          <w:tcPr>
            <w:tcW w:w="308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rPr>
              <w:t>Chubb</w:t>
            </w:r>
          </w:p>
        </w:tc>
        <w:tc>
          <w:tcPr>
            <w:tcW w:w="0" w:type="dxa"/>
            <w:vAlign w:val="bottom"/>
          </w:tcPr>
          <w:p>
            <w:pPr>
              <w:spacing w:after="0"/>
              <w:rPr>
                <w:sz w:val="1"/>
                <w:szCs w:val="1"/>
                <w:color w:val="auto"/>
              </w:rPr>
            </w:pPr>
          </w:p>
        </w:tc>
      </w:tr>
      <w:tr>
        <w:trPr>
          <w:trHeight w:val="158"/>
        </w:trPr>
        <w:tc>
          <w:tcPr>
            <w:tcW w:w="780" w:type="dxa"/>
            <w:vAlign w:val="bottom"/>
            <w:tcBorders>
              <w:left w:val="single" w:sz="8" w:color="auto"/>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3"/>
                <w:szCs w:val="13"/>
                <w:color w:val="auto"/>
              </w:rPr>
              <w:t>11/01/2015 – 11/01/2016</w:t>
            </w: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11/01/2016 – 11/01/2017</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right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Covered Entities</w:t>
            </w:r>
          </w:p>
        </w:tc>
        <w:tc>
          <w:tcPr>
            <w:tcW w:w="3220" w:type="dxa"/>
            <w:vAlign w:val="bottom"/>
            <w:tcBorders>
              <w:bottom w:val="single" w:sz="8" w:color="auto"/>
              <w:right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USA Technologies, Inc.</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bottom w:val="single" w:sz="8" w:color="auto"/>
              <w:right w:val="single" w:sz="8" w:color="auto"/>
            </w:tcBorders>
            <w:gridSpan w:val="2"/>
          </w:tcPr>
          <w:p>
            <w:pPr>
              <w:ind w:left="100"/>
              <w:spacing w:after="0" w:line="126" w:lineRule="exact"/>
              <w:rPr>
                <w:sz w:val="20"/>
                <w:szCs w:val="20"/>
                <w:color w:val="auto"/>
              </w:rPr>
            </w:pPr>
            <w:r>
              <w:rPr>
                <w:rFonts w:ascii="Arial" w:cs="Arial" w:eastAsia="Arial" w:hAnsi="Arial"/>
                <w:sz w:val="13"/>
                <w:szCs w:val="13"/>
                <w:color w:val="auto"/>
              </w:rPr>
              <w:t>Limits</w:t>
            </w:r>
          </w:p>
        </w:tc>
        <w:tc>
          <w:tcPr>
            <w:tcW w:w="3220" w:type="dxa"/>
            <w:vAlign w:val="bottom"/>
            <w:tcBorders>
              <w:bottom w:val="single" w:sz="8" w:color="auto"/>
              <w:right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Covered States</w:t>
            </w: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1"/>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Note - WA, WY, ND, &amp; OH are</w:t>
            </w: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440" w:type="dxa"/>
            <w:vAlign w:val="bottom"/>
            <w:tcBorders>
              <w:left w:val="single" w:sz="8" w:color="auto"/>
              <w:right w:val="single" w:sz="8" w:color="auto"/>
            </w:tcBorders>
            <w:gridSpan w:val="2"/>
          </w:tcPr>
          <w:p>
            <w:pPr>
              <w:ind w:left="100"/>
              <w:spacing w:after="0" w:line="137" w:lineRule="exact"/>
              <w:rPr>
                <w:sz w:val="20"/>
                <w:szCs w:val="20"/>
                <w:color w:val="auto"/>
              </w:rPr>
            </w:pPr>
            <w:r>
              <w:rPr>
                <w:rFonts w:ascii="Arial" w:cs="Arial" w:eastAsia="Arial" w:hAnsi="Arial"/>
                <w:sz w:val="13"/>
                <w:szCs w:val="13"/>
                <w:color w:val="auto"/>
              </w:rPr>
              <w:t>Monopolistic States requiring workers</w:t>
            </w: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40" w:type="dxa"/>
            <w:vAlign w:val="bottom"/>
            <w:tcBorders>
              <w:left w:val="single" w:sz="8" w:color="auto"/>
              <w:right w:val="single" w:sz="8" w:color="auto"/>
            </w:tcBorders>
            <w:gridSpan w:val="2"/>
          </w:tcPr>
          <w:p>
            <w:pPr>
              <w:ind w:left="100"/>
              <w:spacing w:after="0" w:line="137" w:lineRule="exact"/>
              <w:rPr>
                <w:sz w:val="20"/>
                <w:szCs w:val="20"/>
                <w:color w:val="auto"/>
              </w:rPr>
            </w:pPr>
            <w:r>
              <w:rPr>
                <w:rFonts w:ascii="Arial" w:cs="Arial" w:eastAsia="Arial" w:hAnsi="Arial"/>
                <w:sz w:val="13"/>
                <w:szCs w:val="13"/>
                <w:color w:val="auto"/>
                <w:w w:val="97"/>
              </w:rPr>
              <w:t>compensation coverage to be purchased</w:t>
            </w: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directly from the state.</w:t>
            </w:r>
          </w:p>
        </w:tc>
        <w:tc>
          <w:tcPr>
            <w:tcW w:w="28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4"/>
        </w:trPr>
        <w:tc>
          <w:tcPr>
            <w:tcW w:w="78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24" w:name="page225"/>
    <w:bookmarkEnd w:id="224"/>
    <w:p>
      <w:pPr>
        <w:ind w:left="120"/>
        <w:spacing w:after="0"/>
        <w:rPr>
          <w:sz w:val="20"/>
          <w:szCs w:val="20"/>
          <w:color w:val="auto"/>
        </w:rPr>
      </w:pPr>
      <w:r>
        <w:rPr>
          <w:rFonts w:ascii="Arial" w:cs="Arial" w:eastAsia="Arial" w:hAnsi="Arial"/>
          <w:sz w:val="13"/>
          <w:szCs w:val="13"/>
          <w:b w:val="1"/>
          <w:bCs w:val="1"/>
          <w:u w:val="single" w:color="auto"/>
          <w:color w:val="auto"/>
        </w:rPr>
        <w:t>SECTION VII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UMBRELLA</w:t>
      </w:r>
    </w:p>
    <w:tbl>
      <w:tblPr>
        <w:tblLayout w:type="fixed"/>
        <w:tblInd w:w="130" w:type="dxa"/>
        <w:tblCellMar>
          <w:top w:w="0" w:type="dxa"/>
          <w:left w:w="0" w:type="dxa"/>
          <w:bottom w:w="0" w:type="dxa"/>
          <w:right w:w="0" w:type="dxa"/>
        </w:tblCellMar>
      </w:tblPr>
      <w:tr>
        <w:trPr>
          <w:trHeight w:val="114"/>
        </w:trPr>
        <w:tc>
          <w:tcPr>
            <w:tcW w:w="100" w:type="dxa"/>
            <w:vAlign w:val="bottom"/>
            <w:tcBorders>
              <w:top w:val="single" w:sz="8" w:color="auto"/>
              <w:left w:val="single" w:sz="8" w:color="auto"/>
            </w:tcBorders>
          </w:tcPr>
          <w:p>
            <w:pPr>
              <w:spacing w:after="0"/>
              <w:rPr>
                <w:sz w:val="9"/>
                <w:szCs w:val="9"/>
                <w:color w:val="auto"/>
              </w:rPr>
            </w:pPr>
          </w:p>
        </w:tc>
        <w:tc>
          <w:tcPr>
            <w:tcW w:w="2420" w:type="dxa"/>
            <w:vAlign w:val="bottom"/>
            <w:tcBorders>
              <w:top w:val="single" w:sz="8" w:color="auto"/>
              <w:right w:val="single" w:sz="8" w:color="auto"/>
            </w:tcBorders>
            <w:gridSpan w:val="2"/>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318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2015-16</w:t>
            </w:r>
          </w:p>
        </w:tc>
        <w:tc>
          <w:tcPr>
            <w:tcW w:w="310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20" w:type="dxa"/>
            <w:vAlign w:val="bottom"/>
            <w:tcBorders>
              <w:right w:val="single" w:sz="8" w:color="auto"/>
            </w:tcBorders>
            <w:gridSpan w:val="2"/>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3120" w:type="dxa"/>
            <w:vAlign w:val="bottom"/>
            <w:tcBorders>
              <w:right w:val="single" w:sz="8" w:color="auto"/>
            </w:tcBorders>
            <w:gridSpan w:val="2"/>
          </w:tcPr>
          <w:p>
            <w:pPr>
              <w:spacing w:after="0" w:line="105" w:lineRule="exact"/>
              <w:rPr>
                <w:sz w:val="20"/>
                <w:szCs w:val="20"/>
                <w:color w:val="auto"/>
              </w:rPr>
            </w:pPr>
            <w:r>
              <w:rPr>
                <w:rFonts w:ascii="Arial" w:cs="Arial" w:eastAsia="Arial" w:hAnsi="Arial"/>
                <w:sz w:val="12"/>
                <w:szCs w:val="12"/>
                <w:color w:val="auto"/>
              </w:rPr>
              <w:t>Chubb</w:t>
            </w:r>
          </w:p>
        </w:tc>
        <w:tc>
          <w:tcPr>
            <w:tcW w:w="3100" w:type="dxa"/>
            <w:vAlign w:val="bottom"/>
            <w:tcBorders>
              <w:right w:val="single" w:sz="8" w:color="auto"/>
            </w:tcBorders>
            <w:gridSpan w:val="3"/>
          </w:tcPr>
          <w:p>
            <w:pPr>
              <w:ind w:left="6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31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USA Technologies, Inc.</w:t>
            </w:r>
          </w:p>
        </w:tc>
        <w:tc>
          <w:tcPr>
            <w:tcW w:w="3100" w:type="dxa"/>
            <w:vAlign w:val="bottom"/>
            <w:tcBorders>
              <w:bottom w:val="single" w:sz="8" w:color="auto"/>
              <w:right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Limit</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Underlying Coverage</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225" w:name="page226"/>
    <w:bookmarkEnd w:id="225"/>
    <w:p>
      <w:pPr>
        <w:ind w:left="120"/>
        <w:spacing w:after="0"/>
        <w:rPr>
          <w:sz w:val="20"/>
          <w:szCs w:val="20"/>
          <w:color w:val="auto"/>
        </w:rPr>
      </w:pPr>
      <w:r>
        <w:rPr>
          <w:rFonts w:ascii="Arial" w:cs="Arial" w:eastAsia="Arial" w:hAnsi="Arial"/>
          <w:sz w:val="13"/>
          <w:szCs w:val="13"/>
          <w:b w:val="1"/>
          <w:bCs w:val="1"/>
          <w:u w:val="single" w:color="auto"/>
          <w:color w:val="auto"/>
        </w:rPr>
        <w:t>SECTION VIII</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INTERNATIONAL/GLOBAL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Premises Summary:</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36"/>
        </w:trPr>
        <w:tc>
          <w:tcPr>
            <w:tcW w:w="100" w:type="dxa"/>
            <w:vAlign w:val="bottom"/>
            <w:tcBorders>
              <w:top w:val="single" w:sz="8" w:color="auto"/>
              <w:left w:val="single" w:sz="8" w:color="auto"/>
              <w:bottom w:val="single" w:sz="8" w:color="auto"/>
            </w:tcBorders>
          </w:tcPr>
          <w:p>
            <w:pPr>
              <w:spacing w:after="0"/>
              <w:rPr>
                <w:sz w:val="11"/>
                <w:szCs w:val="11"/>
                <w:color w:val="auto"/>
              </w:rPr>
            </w:pPr>
          </w:p>
        </w:tc>
        <w:tc>
          <w:tcPr>
            <w:tcW w:w="2440" w:type="dxa"/>
            <w:vAlign w:val="bottom"/>
            <w:tcBorders>
              <w:top w:val="single" w:sz="8" w:color="auto"/>
              <w:bottom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rPr>
              <w:t xml:space="preserve">Location </w:t>
            </w:r>
            <w:r>
              <w:rPr>
                <w:rFonts w:ascii="Arial" w:cs="Arial" w:eastAsia="Arial" w:hAnsi="Arial"/>
                <w:sz w:val="13"/>
                <w:szCs w:val="13"/>
                <w:color w:val="auto"/>
              </w:rPr>
              <w:t>Loc. #1 – ***</w:t>
            </w:r>
          </w:p>
        </w:tc>
        <w:tc>
          <w:tcPr>
            <w:tcW w:w="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3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480" w:type="dxa"/>
            <w:vAlign w:val="bottom"/>
            <w:tcBorders>
              <w:top w:val="single" w:sz="8" w:color="auto"/>
              <w:bottom w:val="single" w:sz="8" w:color="auto"/>
              <w:right w:val="single" w:sz="8" w:color="auto"/>
            </w:tcBorders>
          </w:tcPr>
          <w:p>
            <w:pPr>
              <w:spacing w:after="0"/>
              <w:rPr>
                <w:sz w:val="11"/>
                <w:szCs w:val="11"/>
                <w:color w:val="auto"/>
              </w:rPr>
            </w:pPr>
          </w:p>
        </w:tc>
      </w:tr>
      <w:tr>
        <w:trPr>
          <w:trHeight w:val="137"/>
        </w:trPr>
        <w:tc>
          <w:tcPr>
            <w:tcW w:w="1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860" w:type="dxa"/>
            <w:vAlign w:val="bottom"/>
            <w:gridSpan w:val="4"/>
          </w:tcPr>
          <w:p>
            <w:pPr>
              <w:ind w:left="60"/>
              <w:spacing w:after="0" w:line="108" w:lineRule="exact"/>
              <w:rPr>
                <w:sz w:val="20"/>
                <w:szCs w:val="20"/>
                <w:color w:val="auto"/>
              </w:rPr>
            </w:pPr>
            <w:r>
              <w:rPr>
                <w:rFonts w:ascii="Arial" w:cs="Arial" w:eastAsia="Arial" w:hAnsi="Arial"/>
                <w:sz w:val="12"/>
                <w:szCs w:val="12"/>
                <w:b w:val="1"/>
                <w:bCs w:val="1"/>
                <w:color w:val="auto"/>
              </w:rPr>
              <w:t>2015-16</w:t>
            </w:r>
          </w:p>
        </w:tc>
        <w:tc>
          <w:tcPr>
            <w:tcW w:w="1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66"/>
        </w:trPr>
        <w:tc>
          <w:tcPr>
            <w:tcW w:w="100" w:type="dxa"/>
            <w:vAlign w:val="bottom"/>
            <w:tcBorders>
              <w:left w:val="single" w:sz="8" w:color="auto"/>
              <w:bottom w:val="single" w:sz="8" w:color="auto"/>
            </w:tcBorders>
          </w:tcPr>
          <w:p>
            <w:pPr>
              <w:spacing w:after="0"/>
              <w:rPr>
                <w:sz w:val="14"/>
                <w:szCs w:val="14"/>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USA Technologies, Inc.</w:t>
            </w: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USA Technologies, Inc.</w:t>
            </w:r>
          </w:p>
        </w:tc>
      </w:tr>
      <w:tr>
        <w:trPr>
          <w:trHeight w:val="110"/>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10"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gridSpan w:val="5"/>
          </w:tcPr>
          <w:p>
            <w:pPr>
              <w:ind w:left="60"/>
              <w:spacing w:after="0" w:line="110"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29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0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color w:val="auto"/>
              </w:rPr>
              <w:t>11/01/2015 – 11/01/2016</w:t>
            </w:r>
          </w:p>
        </w:tc>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11/01/2016 – 11/01/2017</w:t>
            </w: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05" w:lineRule="exact"/>
              <w:rPr>
                <w:sz w:val="20"/>
                <w:szCs w:val="20"/>
                <w:color w:val="auto"/>
              </w:rPr>
            </w:pPr>
            <w:r>
              <w:rPr>
                <w:rFonts w:ascii="Arial" w:cs="Arial" w:eastAsia="Arial" w:hAnsi="Arial"/>
                <w:sz w:val="12"/>
                <w:szCs w:val="12"/>
                <w:color w:val="auto"/>
              </w:rPr>
              <w:t>Personal Property (Replacement cost)</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8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2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Property Deductible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Neighbors and Tenants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Limit of Insurance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Aggregate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Products/Completed Operations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Medical Expenses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 Owned, Hired &amp; Non-owned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Hired Auto Medical</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w w:val="99"/>
              </w:rPr>
              <w:t>Foreign Voluntary Workers Compensation</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Repatriation Expense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Exposure Basis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SECTION IX</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780" w:type="dxa"/>
            <w:vAlign w:val="bottom"/>
            <w:tcBorders>
              <w:left w:val="single" w:sz="8" w:color="auto"/>
            </w:tcBorders>
            <w:gridSpan w:val="3"/>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4"/>
        </w:trPr>
        <w:tc>
          <w:tcPr>
            <w:tcW w:w="25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SURETY - ERISA</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60" w:type="dxa"/>
            <w:vAlign w:val="bottom"/>
            <w:gridSpan w:val="5"/>
          </w:tcPr>
          <w:p>
            <w:pPr>
              <w:ind w:left="60"/>
              <w:spacing w:after="0" w:line="108" w:lineRule="exact"/>
              <w:rPr>
                <w:sz w:val="20"/>
                <w:szCs w:val="20"/>
                <w:color w:val="auto"/>
              </w:rPr>
            </w:pPr>
            <w:r>
              <w:rPr>
                <w:rFonts w:ascii="Arial" w:cs="Arial" w:eastAsia="Arial" w:hAnsi="Arial"/>
                <w:sz w:val="12"/>
                <w:szCs w:val="12"/>
                <w:b w:val="1"/>
                <w:bCs w:val="1"/>
                <w:color w:val="auto"/>
              </w:rPr>
              <w:t>2014-2017</w:t>
            </w:r>
          </w:p>
        </w:tc>
        <w:tc>
          <w:tcPr>
            <w:tcW w:w="23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3060" w:type="dxa"/>
            <w:vAlign w:val="bottom"/>
            <w:tcBorders>
              <w:right w:val="single" w:sz="8" w:color="auto"/>
            </w:tcBorders>
            <w:gridSpan w:val="5"/>
          </w:tcPr>
          <w:p>
            <w:pPr>
              <w:spacing w:after="0" w:line="105" w:lineRule="exact"/>
              <w:rPr>
                <w:sz w:val="20"/>
                <w:szCs w:val="20"/>
                <w:color w:val="auto"/>
              </w:rPr>
            </w:pPr>
            <w:r>
              <w:rPr>
                <w:rFonts w:ascii="Arial" w:cs="Arial" w:eastAsia="Arial" w:hAnsi="Arial"/>
                <w:sz w:val="12"/>
                <w:szCs w:val="12"/>
                <w:color w:val="auto"/>
              </w:rPr>
              <w:t>Westfield Insurance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3"/>
                <w:szCs w:val="13"/>
                <w:color w:val="auto"/>
              </w:rPr>
              <w:t>11/18/2014 – 11/18/2017</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Fiduciary Liability</w:t>
            </w:r>
          </w:p>
        </w:tc>
        <w:tc>
          <w:tcPr>
            <w:tcW w:w="32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Plan Name</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 401(k) Plan</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Policy Term</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3Yr (expires 11/18/2017)</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26" w:name="page227"/>
    <w:bookmarkEnd w:id="226"/>
    <w:p>
      <w:pPr>
        <w:ind w:left="120"/>
        <w:spacing w:after="0"/>
        <w:rPr>
          <w:sz w:val="20"/>
          <w:szCs w:val="20"/>
          <w:color w:val="auto"/>
        </w:rPr>
      </w:pPr>
      <w:r>
        <w:rPr>
          <w:rFonts w:ascii="Arial" w:cs="Arial" w:eastAsia="Arial" w:hAnsi="Arial"/>
          <w:sz w:val="13"/>
          <w:szCs w:val="13"/>
          <w:color w:val="auto"/>
        </w:rPr>
        <w:t>* Limit must be equal to a minimum of *** of the amount invested in the plan subject to $*** Min and $*** Max. As of 9/30/2015 the plan balance was $.</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70"/>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CRIME</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0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160" w:type="dxa"/>
            <w:vAlign w:val="bottom"/>
            <w:gridSpan w:val="5"/>
          </w:tcPr>
          <w:p>
            <w:pPr>
              <w:ind w:left="80"/>
              <w:spacing w:after="0" w:line="108" w:lineRule="exact"/>
              <w:rPr>
                <w:sz w:val="20"/>
                <w:szCs w:val="20"/>
                <w:color w:val="auto"/>
              </w:rPr>
            </w:pPr>
            <w:r>
              <w:rPr>
                <w:rFonts w:ascii="Arial" w:cs="Arial" w:eastAsia="Arial" w:hAnsi="Arial"/>
                <w:sz w:val="12"/>
                <w:szCs w:val="12"/>
                <w:b w:val="1"/>
                <w:bCs w:val="1"/>
                <w:color w:val="auto"/>
              </w:rPr>
              <w:t>2016-2017</w:t>
            </w: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w:t>
            </w: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3640" w:type="dxa"/>
            <w:vAlign w:val="bottom"/>
            <w:tcBorders>
              <w:right w:val="single" w:sz="8" w:color="auto"/>
            </w:tcBorders>
            <w:gridSpan w:val="6"/>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Period</w:t>
            </w:r>
          </w:p>
        </w:tc>
        <w:tc>
          <w:tcPr>
            <w:tcW w:w="3320" w:type="dxa"/>
            <w:vAlign w:val="bottom"/>
            <w:tcBorders>
              <w:bottom w:val="single" w:sz="8" w:color="auto"/>
              <w:right w:val="single" w:sz="8" w:color="auto"/>
            </w:tcBorders>
            <w:gridSpan w:val="6"/>
          </w:tcPr>
          <w:p>
            <w:pPr>
              <w:ind w:left="60"/>
              <w:spacing w:after="0"/>
              <w:rPr>
                <w:sz w:val="20"/>
                <w:szCs w:val="20"/>
                <w:color w:val="auto"/>
              </w:rPr>
            </w:pPr>
            <w:r>
              <w:rPr>
                <w:rFonts w:ascii="Arial" w:cs="Arial" w:eastAsia="Arial" w:hAnsi="Arial"/>
                <w:sz w:val="13"/>
                <w:szCs w:val="13"/>
                <w:color w:val="auto"/>
              </w:rPr>
              <w:t>11/01/2015 – 11/01/2016</w:t>
            </w:r>
          </w:p>
        </w:tc>
        <w:tc>
          <w:tcPr>
            <w:tcW w:w="3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Employee Dishonesty</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Premises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In Transit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Forgery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Computer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Funds Transfer Fraud</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0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Money Order and Counterfeit</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0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Currency Fraud 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Client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Expense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SECTION X</w:t>
            </w:r>
          </w:p>
        </w:tc>
        <w:tc>
          <w:tcPr>
            <w:tcW w:w="1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44"/>
        </w:trPr>
        <w:tc>
          <w:tcPr>
            <w:tcW w:w="18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INLAND MARINE</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62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2014-2015</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gridSpan w:val="4"/>
          </w:tcPr>
          <w:p>
            <w:pPr>
              <w:ind w:left="80"/>
              <w:spacing w:after="0" w:line="108" w:lineRule="exact"/>
              <w:rPr>
                <w:sz w:val="20"/>
                <w:szCs w:val="20"/>
                <w:color w:val="auto"/>
              </w:rPr>
            </w:pPr>
            <w:r>
              <w:rPr>
                <w:rFonts w:ascii="Arial" w:cs="Arial" w:eastAsia="Arial" w:hAnsi="Arial"/>
                <w:sz w:val="12"/>
                <w:szCs w:val="12"/>
                <w:b w:val="1"/>
                <w:bCs w:val="1"/>
                <w:color w:val="auto"/>
              </w:rPr>
              <w:t>2015-2016</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6"/>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560" w:type="dxa"/>
            <w:vAlign w:val="bottom"/>
            <w:gridSpan w:val="2"/>
          </w:tcPr>
          <w:p>
            <w:pPr>
              <w:spacing w:after="0" w:line="105" w:lineRule="exact"/>
              <w:rPr>
                <w:sz w:val="20"/>
                <w:szCs w:val="20"/>
                <w:color w:val="auto"/>
              </w:rPr>
            </w:pPr>
            <w:r>
              <w:rPr>
                <w:rFonts w:ascii="Arial" w:cs="Arial" w:eastAsia="Arial" w:hAnsi="Arial"/>
                <w:sz w:val="12"/>
                <w:szCs w:val="12"/>
                <w:color w:val="auto"/>
              </w:rPr>
              <w:t>Chubb</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gridSpan w:val="4"/>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06/20/2014 – 06/20/2015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06/20/2015 – 06/20/2016</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Devices</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Loss Payee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3"/>
                <w:szCs w:val="13"/>
                <w:color w:val="auto"/>
              </w:rPr>
              <w:t>Varilease Finance, Inc. and Its Assigns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4"/>
          </w:tcPr>
          <w:p>
            <w:pPr>
              <w:ind w:left="80"/>
              <w:spacing w:after="0" w:line="126" w:lineRule="exact"/>
              <w:rPr>
                <w:sz w:val="20"/>
                <w:szCs w:val="20"/>
                <w:color w:val="auto"/>
              </w:rPr>
            </w:pPr>
            <w:r>
              <w:rPr>
                <w:rFonts w:ascii="Arial" w:cs="Arial" w:eastAsia="Arial" w:hAnsi="Arial"/>
                <w:sz w:val="13"/>
                <w:szCs w:val="13"/>
                <w:color w:val="auto"/>
              </w:rPr>
              <w:t>Varilease Finance, Inc. and Its Assigns</w:t>
            </w:r>
          </w:p>
        </w:tc>
      </w:tr>
      <w:tr>
        <w:trPr>
          <w:trHeight w:val="372"/>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OCEAN MARINE</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115"/>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gridSpan w:val="4"/>
          </w:tcPr>
          <w:p>
            <w:pPr>
              <w:ind w:left="80"/>
              <w:spacing w:after="0" w:line="108" w:lineRule="exact"/>
              <w:rPr>
                <w:sz w:val="20"/>
                <w:szCs w:val="20"/>
                <w:color w:val="auto"/>
              </w:rPr>
            </w:pPr>
            <w:r>
              <w:rPr>
                <w:rFonts w:ascii="Arial" w:cs="Arial" w:eastAsia="Arial" w:hAnsi="Arial"/>
                <w:sz w:val="12"/>
                <w:szCs w:val="12"/>
                <w:b w:val="1"/>
                <w:bCs w:val="1"/>
                <w:color w:val="auto"/>
              </w:rPr>
              <w:t>2016-2017</w:t>
            </w:r>
          </w:p>
        </w:tc>
      </w:tr>
      <w:tr>
        <w:trPr>
          <w:trHeight w:val="115"/>
        </w:trPr>
        <w:tc>
          <w:tcPr>
            <w:tcW w:w="100" w:type="dxa"/>
            <w:vAlign w:val="bottom"/>
            <w:tcBorders>
              <w:left w:val="single" w:sz="8" w:color="auto"/>
            </w:tcBorders>
          </w:tcPr>
          <w:p>
            <w:pPr>
              <w:spacing w:after="0"/>
              <w:rPr>
                <w:sz w:val="10"/>
                <w:szCs w:val="10"/>
                <w:color w:val="auto"/>
              </w:rPr>
            </w:pPr>
          </w:p>
        </w:tc>
        <w:tc>
          <w:tcPr>
            <w:tcW w:w="2440" w:type="dxa"/>
            <w:vAlign w:val="bottom"/>
            <w:tcBorders>
              <w:right w:val="single" w:sz="8" w:color="auto"/>
            </w:tcBorders>
            <w:gridSpan w:val="6"/>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60" w:type="dxa"/>
            <w:vAlign w:val="bottom"/>
          </w:tcPr>
          <w:p>
            <w:pPr>
              <w:spacing w:after="0"/>
              <w:rPr>
                <w:sz w:val="10"/>
                <w:szCs w:val="10"/>
                <w:color w:val="auto"/>
              </w:rPr>
            </w:pPr>
          </w:p>
        </w:tc>
        <w:tc>
          <w:tcPr>
            <w:tcW w:w="2560" w:type="dxa"/>
            <w:vAlign w:val="bottom"/>
            <w:gridSpan w:val="2"/>
          </w:tcPr>
          <w:p>
            <w:pPr>
              <w:spacing w:after="0" w:line="115" w:lineRule="exact"/>
              <w:rPr>
                <w:sz w:val="20"/>
                <w:szCs w:val="20"/>
                <w:color w:val="auto"/>
              </w:rPr>
            </w:pPr>
            <w:r>
              <w:rPr>
                <w:rFonts w:ascii="Arial" w:cs="Arial" w:eastAsia="Arial" w:hAnsi="Arial"/>
                <w:sz w:val="13"/>
                <w:szCs w:val="13"/>
                <w:color w:val="auto"/>
              </w:rPr>
              <w:t>Chubb</w:t>
            </w: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Any One Conveyance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227" w:name="page228"/>
    <w:bookmarkEnd w:id="227"/>
    <w:tbl>
      <w:tblPr>
        <w:tblLayout w:type="fixed"/>
        <w:tblInd w:w="130" w:type="dxa"/>
        <w:tblCellMar>
          <w:top w:w="0" w:type="dxa"/>
          <w:left w:w="0" w:type="dxa"/>
          <w:bottom w:w="0" w:type="dxa"/>
          <w:right w:w="0" w:type="dxa"/>
        </w:tblCellMar>
      </w:tblPr>
      <w:tr>
        <w:trPr>
          <w:trHeight w:val="181"/>
        </w:trPr>
        <w:tc>
          <w:tcPr>
            <w:tcW w:w="100" w:type="dxa"/>
            <w:vAlign w:val="bottom"/>
            <w:tcBorders>
              <w:top w:val="single" w:sz="8" w:color="auto"/>
              <w:left w:val="single" w:sz="8" w:color="auto"/>
            </w:tcBorders>
          </w:tcPr>
          <w:p>
            <w:pPr>
              <w:spacing w:after="0"/>
              <w:rPr>
                <w:sz w:val="15"/>
                <w:szCs w:val="15"/>
                <w:color w:val="auto"/>
              </w:rPr>
            </w:pPr>
          </w:p>
        </w:tc>
        <w:tc>
          <w:tcPr>
            <w:tcW w:w="1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3"/>
                <w:szCs w:val="13"/>
                <w:color w:val="auto"/>
              </w:rPr>
              <w:t>Sublimits:</w:t>
            </w: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ind w:right="16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tcBorders>
          </w:tcPr>
          <w:p>
            <w:pPr>
              <w:jc w:val="right"/>
              <w:ind w:right="1054"/>
              <w:spacing w:after="0"/>
              <w:rPr>
                <w:sz w:val="20"/>
                <w:szCs w:val="20"/>
                <w:color w:val="auto"/>
              </w:rPr>
            </w:pPr>
            <w:r>
              <w:rPr>
                <w:rFonts w:ascii="Arial" w:cs="Arial" w:eastAsia="Arial" w:hAnsi="Arial"/>
                <w:sz w:val="13"/>
                <w:szCs w:val="13"/>
                <w:color w:val="auto"/>
              </w:rPr>
              <w:t>***</w:t>
            </w:r>
          </w:p>
        </w:tc>
        <w:tc>
          <w:tcPr>
            <w:tcW w:w="17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On Deck Bill Of Lading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Mail or Parcel Post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Messenger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Barge Limit</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920" w:type="dxa"/>
            <w:vAlign w:val="bottom"/>
            <w:gridSpan w:val="3"/>
          </w:tcPr>
          <w:p>
            <w:pPr>
              <w:spacing w:after="0" w:line="105" w:lineRule="exact"/>
              <w:rPr>
                <w:sz w:val="20"/>
                <w:szCs w:val="20"/>
                <w:color w:val="auto"/>
              </w:rPr>
            </w:pPr>
            <w:r>
              <w:rPr>
                <w:rFonts w:ascii="Arial" w:cs="Arial" w:eastAsia="Arial" w:hAnsi="Arial"/>
                <w:sz w:val="12"/>
                <w:szCs w:val="12"/>
                <w:color w:val="auto"/>
              </w:rPr>
              <w:t>Additional Coverage:</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940" w:type="dxa"/>
            <w:vAlign w:val="bottom"/>
            <w:gridSpan w:val="2"/>
          </w:tcPr>
          <w:p>
            <w:pPr>
              <w:jc w:val="right"/>
              <w:ind w:right="166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380" w:type="dxa"/>
            <w:vAlign w:val="bottom"/>
          </w:tcPr>
          <w:p>
            <w:pPr>
              <w:jc w:val="right"/>
              <w:ind w:right="1054"/>
              <w:spacing w:after="0" w:line="105" w:lineRule="exact"/>
              <w:rPr>
                <w:sz w:val="20"/>
                <w:szCs w:val="20"/>
                <w:color w:val="auto"/>
              </w:rPr>
            </w:pPr>
            <w:r>
              <w:rPr>
                <w:rFonts w:ascii="Arial" w:cs="Arial" w:eastAsia="Arial" w:hAnsi="Arial"/>
                <w:sz w:val="12"/>
                <w:szCs w:val="12"/>
                <w:color w:val="auto"/>
              </w:rPr>
              <w:t>***</w:t>
            </w: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Consolidation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Exhibition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Extra Expense</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Salesperson Samples</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War Risk</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Merchandise Insured</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20" w:type="dxa"/>
            <w:vAlign w:val="bottom"/>
            <w:gridSpan w:val="4"/>
          </w:tcPr>
          <w:p>
            <w:pPr>
              <w:spacing w:after="0"/>
              <w:rPr>
                <w:sz w:val="20"/>
                <w:szCs w:val="20"/>
                <w:color w:val="auto"/>
              </w:rPr>
            </w:pPr>
            <w:r>
              <w:rPr>
                <w:rFonts w:ascii="Arial" w:cs="Arial" w:eastAsia="Arial" w:hAnsi="Arial"/>
                <w:sz w:val="13"/>
                <w:szCs w:val="13"/>
                <w:b w:val="1"/>
                <w:bCs w:val="1"/>
                <w:color w:val="auto"/>
              </w:rPr>
              <w:t>SECTION XI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PREMIUM</w:t>
            </w:r>
          </w:p>
        </w:tc>
        <w:tc>
          <w:tcPr>
            <w:tcW w:w="1240" w:type="dxa"/>
            <w:vAlign w:val="bottom"/>
          </w:tcPr>
          <w:p>
            <w:pPr>
              <w:spacing w:after="0"/>
              <w:rPr>
                <w:sz w:val="20"/>
                <w:szCs w:val="20"/>
                <w:color w:val="auto"/>
              </w:rPr>
            </w:pPr>
            <w:r>
              <w:rPr>
                <w:rFonts w:ascii="Arial" w:cs="Arial" w:eastAsia="Arial" w:hAnsi="Arial"/>
                <w:sz w:val="13"/>
                <w:szCs w:val="13"/>
                <w:b w:val="1"/>
                <w:bCs w:val="1"/>
                <w:color w:val="auto"/>
                <w:w w:val="97"/>
              </w:rPr>
              <w:t>SUMMARY – Chubb</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40" w:type="dxa"/>
            <w:vAlign w:val="bottom"/>
            <w:tcBorders>
              <w:right w:val="single" w:sz="8" w:color="auto"/>
            </w:tcBorders>
            <w:gridSpan w:val="4"/>
          </w:tcPr>
          <w:p>
            <w:pPr>
              <w:ind w:left="80"/>
              <w:spacing w:after="0" w:line="117" w:lineRule="exact"/>
              <w:rPr>
                <w:sz w:val="20"/>
                <w:szCs w:val="20"/>
                <w:color w:val="auto"/>
              </w:rPr>
            </w:pPr>
            <w:r>
              <w:rPr>
                <w:rFonts w:ascii="Arial" w:cs="Arial" w:eastAsia="Arial" w:hAnsi="Arial"/>
                <w:sz w:val="13"/>
                <w:szCs w:val="13"/>
                <w:b w:val="1"/>
                <w:bCs w:val="1"/>
                <w:color w:val="auto"/>
              </w:rPr>
              <w:t>2015-2016</w:t>
            </w:r>
          </w:p>
        </w:tc>
        <w:tc>
          <w:tcPr>
            <w:tcW w:w="1200" w:type="dxa"/>
            <w:vAlign w:val="bottom"/>
            <w:gridSpan w:val="4"/>
          </w:tcPr>
          <w:p>
            <w:pPr>
              <w:ind w:left="80"/>
              <w:spacing w:after="0" w:line="117" w:lineRule="exact"/>
              <w:rPr>
                <w:sz w:val="20"/>
                <w:szCs w:val="20"/>
                <w:color w:val="auto"/>
              </w:rPr>
            </w:pPr>
            <w:r>
              <w:rPr>
                <w:rFonts w:ascii="Arial" w:cs="Arial" w:eastAsia="Arial" w:hAnsi="Arial"/>
                <w:sz w:val="13"/>
                <w:szCs w:val="13"/>
                <w:b w:val="1"/>
                <w:bCs w:val="1"/>
                <w:color w:val="auto"/>
              </w:rPr>
              <w:t>2016-2017</w:t>
            </w:r>
          </w:p>
        </w:tc>
        <w:tc>
          <w:tcPr>
            <w:tcW w:w="1380" w:type="dxa"/>
            <w:vAlign w:val="bottom"/>
            <w:tcBorders>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00" w:type="dxa"/>
            <w:vAlign w:val="bottom"/>
            <w:tcBorders>
              <w:left w:val="single" w:sz="8" w:color="auto"/>
            </w:tcBorders>
          </w:tcPr>
          <w:p>
            <w:pPr>
              <w:spacing w:after="0"/>
              <w:rPr>
                <w:sz w:val="4"/>
                <w:szCs w:val="4"/>
                <w:color w:val="auto"/>
              </w:rPr>
            </w:pPr>
          </w:p>
        </w:tc>
        <w:tc>
          <w:tcPr>
            <w:tcW w:w="192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spacing w:after="0" w:line="117" w:lineRule="exact"/>
              <w:rPr>
                <w:sz w:val="20"/>
                <w:szCs w:val="20"/>
                <w:color w:val="auto"/>
              </w:rPr>
            </w:pPr>
            <w:r>
              <w:rPr>
                <w:rFonts w:ascii="Arial" w:cs="Arial" w:eastAsia="Arial" w:hAnsi="Arial"/>
                <w:sz w:val="13"/>
                <w:szCs w:val="13"/>
                <w:b w:val="1"/>
                <w:bCs w:val="1"/>
                <w:color w:val="auto"/>
              </w:rPr>
              <w:t>Chubb</w:t>
            </w:r>
          </w:p>
        </w:tc>
        <w:tc>
          <w:tcPr>
            <w:tcW w:w="1780" w:type="dxa"/>
            <w:vAlign w:val="bottom"/>
            <w:tcBorders>
              <w:right w:val="single" w:sz="8" w:color="auto"/>
            </w:tcBorders>
            <w:vMerge w:val="restart"/>
          </w:tcPr>
          <w:p>
            <w:pPr>
              <w:spacing w:after="0"/>
              <w:rPr>
                <w:sz w:val="4"/>
                <w:szCs w:val="4"/>
                <w:color w:val="auto"/>
              </w:rPr>
            </w:pPr>
          </w:p>
        </w:tc>
        <w:tc>
          <w:tcPr>
            <w:tcW w:w="2580" w:type="dxa"/>
            <w:vAlign w:val="bottom"/>
            <w:tcBorders>
              <w:right w:val="single" w:sz="8" w:color="auto"/>
            </w:tcBorders>
            <w:gridSpan w:val="5"/>
            <w:vMerge w:val="restart"/>
          </w:tcPr>
          <w:p>
            <w:pPr>
              <w:ind w:left="80"/>
              <w:spacing w:after="0" w:line="117" w:lineRule="exact"/>
              <w:rPr>
                <w:sz w:val="20"/>
                <w:szCs w:val="20"/>
                <w:color w:val="auto"/>
              </w:rPr>
            </w:pPr>
            <w:r>
              <w:rPr>
                <w:rFonts w:ascii="Arial" w:cs="Arial" w:eastAsia="Arial" w:hAnsi="Arial"/>
                <w:sz w:val="13"/>
                <w:szCs w:val="13"/>
                <w:b w:val="1"/>
                <w:bCs w:val="1"/>
                <w:color w:val="auto"/>
              </w:rPr>
              <w:t>Chubb</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780" w:type="dxa"/>
            <w:vAlign w:val="bottom"/>
            <w:tcBorders>
              <w:right w:val="single" w:sz="8" w:color="auto"/>
            </w:tcBorders>
            <w:vMerge w:val="continue"/>
          </w:tcPr>
          <w:p>
            <w:pPr>
              <w:spacing w:after="0"/>
              <w:rPr>
                <w:sz w:val="3"/>
                <w:szCs w:val="3"/>
                <w:color w:val="auto"/>
              </w:rPr>
            </w:pPr>
          </w:p>
        </w:tc>
        <w:tc>
          <w:tcPr>
            <w:tcW w:w="2580" w:type="dxa"/>
            <w:vAlign w:val="bottom"/>
            <w:tcBorders>
              <w:right w:val="single" w:sz="8" w:color="auto"/>
            </w:tcBorders>
            <w:gridSpan w:val="5"/>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3" w:lineRule="exact"/>
              <w:rPr>
                <w:sz w:val="20"/>
                <w:szCs w:val="20"/>
                <w:color w:val="auto"/>
              </w:rPr>
            </w:pPr>
            <w:r>
              <w:rPr>
                <w:rFonts w:ascii="Arial" w:cs="Arial" w:eastAsia="Arial" w:hAnsi="Arial"/>
                <w:sz w:val="13"/>
                <w:szCs w:val="13"/>
                <w:color w:val="auto"/>
              </w:rPr>
              <w:t>Property</w:t>
            </w:r>
          </w:p>
        </w:tc>
        <w:tc>
          <w:tcPr>
            <w:tcW w:w="50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E&amp;O/Cyber</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Workers Compensation</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Umbrella</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Property</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Ocean Cargo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Basis</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28" w:name="page229"/>
    <w:bookmarkEnd w:id="228"/>
    <w:p>
      <w:pPr>
        <w:jc w:val="center"/>
        <w:spacing w:after="0"/>
        <w:rPr>
          <w:sz w:val="20"/>
          <w:szCs w:val="20"/>
          <w:color w:val="auto"/>
        </w:rPr>
      </w:pPr>
      <w:r>
        <w:rPr>
          <w:rFonts w:ascii="Arial" w:cs="Arial" w:eastAsia="Arial" w:hAnsi="Arial"/>
          <w:sz w:val="13"/>
          <w:szCs w:val="13"/>
          <w:b w:val="1"/>
          <w:bCs w:val="1"/>
          <w:color w:val="auto"/>
        </w:rPr>
        <w:t>SCHEDULE 3.15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Capitalization and Subsidiaries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Membership interests - 100% held by USA Technologies,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4" w:right="1440" w:bottom="1440" w:gutter="0" w:footer="0" w:header="0"/>
        </w:sectPr>
      </w:pPr>
    </w:p>
    <w:bookmarkStart w:id="229" w:name="page230"/>
    <w:bookmarkEnd w:id="229"/>
    <w:p>
      <w:pPr>
        <w:jc w:val="center"/>
        <w:spacing w:after="0"/>
        <w:rPr>
          <w:sz w:val="20"/>
          <w:szCs w:val="20"/>
          <w:color w:val="auto"/>
        </w:rPr>
      </w:pPr>
      <w:r>
        <w:rPr>
          <w:rFonts w:ascii="Arial" w:cs="Arial" w:eastAsia="Arial" w:hAnsi="Arial"/>
          <w:sz w:val="13"/>
          <w:szCs w:val="13"/>
          <w:b w:val="1"/>
          <w:bCs w:val="1"/>
          <w:color w:val="auto"/>
        </w:rPr>
        <w:t>SCHEDULE 6.01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Existing Indebtedness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2"/>
          <w:szCs w:val="12"/>
          <w:b w:val="1"/>
          <w:bCs w:val="1"/>
          <w:color w:val="auto"/>
        </w:rPr>
        <w:t>SCHEDULE 6.02</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Existing Liens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3"/>
          <w:szCs w:val="13"/>
          <w:b w:val="1"/>
          <w:bCs w:val="1"/>
          <w:color w:val="auto"/>
        </w:rPr>
        <w:t>SCHEDULE 6.04</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Investments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3"/>
          <w:szCs w:val="13"/>
          <w:b w:val="1"/>
          <w:bCs w:val="1"/>
          <w:color w:val="auto"/>
        </w:rPr>
        <w:t>SCHEDULE 6.10</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Restrictions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3" w:name="page234"/>
    <w:bookmarkEnd w:id="233"/>
    <w:p>
      <w:pPr>
        <w:jc w:val="center"/>
        <w:ind w:right="-20"/>
        <w:spacing w:after="0"/>
        <w:rPr>
          <w:sz w:val="20"/>
          <w:szCs w:val="20"/>
          <w:color w:val="auto"/>
        </w:rPr>
      </w:pPr>
      <w:r>
        <w:rPr>
          <w:rFonts w:ascii="Arial" w:cs="Arial" w:eastAsia="Arial" w:hAnsi="Arial"/>
          <w:sz w:val="13"/>
          <w:szCs w:val="13"/>
          <w:b w:val="1"/>
          <w:bCs w:val="1"/>
          <w:color w:val="auto"/>
        </w:rPr>
        <w:t>SCHEDULES TO JPMORGAN CHASE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STITCH NETWORKS CORPORATION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4" w:name="page235"/>
    <w:bookmarkEnd w:id="234"/>
    <w:p>
      <w:pPr>
        <w:jc w:val="center"/>
        <w:ind w:right="-460"/>
        <w:spacing w:after="0"/>
        <w:rPr>
          <w:sz w:val="20"/>
          <w:szCs w:val="20"/>
          <w:color w:val="auto"/>
        </w:rPr>
      </w:pPr>
      <w:r>
        <w:rPr>
          <w:rFonts w:ascii="Arial" w:cs="Arial" w:eastAsia="Arial" w:hAnsi="Arial"/>
          <w:sz w:val="12"/>
          <w:szCs w:val="12"/>
          <w:b w:val="1"/>
          <w:bCs w:val="1"/>
          <w:color w:val="auto"/>
        </w:rPr>
        <w:t>SCHEDULE 3.05</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Properties, etc.</w:t>
      </w:r>
    </w:p>
    <w:p>
      <w:pPr>
        <w:spacing w:after="0" w:line="124" w:lineRule="exact"/>
        <w:rPr>
          <w:sz w:val="20"/>
          <w:szCs w:val="20"/>
          <w:color w:val="auto"/>
        </w:rPr>
      </w:pPr>
    </w:p>
    <w:p>
      <w:pPr>
        <w:ind w:left="560" w:right="4359" w:hanging="436"/>
        <w:spacing w:after="0" w:line="459" w:lineRule="auto"/>
        <w:tabs>
          <w:tab w:leader="none" w:pos="304" w:val="left"/>
        </w:tabs>
        <w:numPr>
          <w:ilvl w:val="0"/>
          <w:numId w:val="186"/>
        </w:numPr>
        <w:rPr>
          <w:rFonts w:ascii="Arial" w:cs="Arial" w:eastAsia="Arial" w:hAnsi="Arial"/>
          <w:sz w:val="12"/>
          <w:szCs w:val="12"/>
          <w:color w:val="auto"/>
        </w:rPr>
      </w:pPr>
      <w:r>
        <w:rPr>
          <w:rFonts w:ascii="Arial" w:cs="Arial" w:eastAsia="Arial" w:hAnsi="Arial"/>
          <w:sz w:val="12"/>
          <w:szCs w:val="12"/>
          <w:color w:val="auto"/>
        </w:rPr>
        <w:t>Address of each parcel of real property that is owned or leased by any Loan Party Principal office: 100 Deerfield Lane, Suite 300, Malvern, PA 19355</w:t>
      </w:r>
    </w:p>
    <w:p>
      <w:pPr>
        <w:spacing w:after="0" w:line="1" w:lineRule="exact"/>
        <w:rPr>
          <w:rFonts w:ascii="Arial" w:cs="Arial" w:eastAsia="Arial" w:hAnsi="Arial"/>
          <w:sz w:val="12"/>
          <w:szCs w:val="12"/>
          <w:color w:val="auto"/>
        </w:rPr>
      </w:pPr>
    </w:p>
    <w:p>
      <w:pPr>
        <w:ind w:left="560" w:right="4679" w:hanging="436"/>
        <w:spacing w:after="0" w:line="445" w:lineRule="auto"/>
        <w:tabs>
          <w:tab w:leader="none" w:pos="312"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Trademarks, tradenames, copyrights, patents and other intellectual property None</w:t>
      </w: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5" w:name="page236"/>
    <w:bookmarkEnd w:id="235"/>
    <w:p>
      <w:pPr>
        <w:jc w:val="right"/>
        <w:ind w:right="3959"/>
        <w:spacing w:after="0"/>
        <w:rPr>
          <w:sz w:val="20"/>
          <w:szCs w:val="20"/>
          <w:color w:val="auto"/>
        </w:rPr>
      </w:pPr>
      <w:r>
        <w:rPr>
          <w:rFonts w:ascii="Arial" w:cs="Arial" w:eastAsia="Arial" w:hAnsi="Arial"/>
          <w:sz w:val="15"/>
          <w:szCs w:val="15"/>
          <w:b w:val="1"/>
          <w:bCs w:val="1"/>
          <w:color w:val="auto"/>
        </w:rPr>
        <w:t>SCHEDULE 3.06</w:t>
      </w:r>
    </w:p>
    <w:p>
      <w:pPr>
        <w:spacing w:after="0" w:line="7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Disclosed Matters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None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13"/>
          <w:szCs w:val="13"/>
          <w:b w:val="1"/>
          <w:bCs w:val="1"/>
          <w:color w:val="auto"/>
        </w:rPr>
        <w:t>SCHEDULE 3.09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Taxes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3.12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Material Agreements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13"/>
          <w:szCs w:val="13"/>
          <w:b w:val="1"/>
          <w:bCs w:val="1"/>
          <w:color w:val="auto"/>
        </w:rPr>
        <w:t>SCHEDULE 3.14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Insurance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Location Addresses: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Loc. #1 - 100 Deerfield Lane, Suite 300,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-91440</wp:posOffset>
            </wp:positionV>
            <wp:extent cx="5577205" cy="7467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77205" cy="74676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3"/>
          <w:szCs w:val="13"/>
          <w:color w:val="auto"/>
        </w:rPr>
        <w:t>Loc. #2 - ***</w:t>
      </w:r>
    </w:p>
    <w:p>
      <w:pPr>
        <w:ind w:left="220"/>
        <w:spacing w:after="0" w:line="234" w:lineRule="auto"/>
        <w:rPr>
          <w:sz w:val="20"/>
          <w:szCs w:val="20"/>
          <w:color w:val="auto"/>
        </w:rPr>
      </w:pPr>
      <w:r>
        <w:rPr>
          <w:rFonts w:ascii="Arial" w:cs="Arial" w:eastAsia="Arial" w:hAnsi="Arial"/>
          <w:sz w:val="13"/>
          <w:szCs w:val="13"/>
          <w:color w:val="auto"/>
        </w:rPr>
        <w:t>Loc. #3 - ***</w:t>
      </w:r>
    </w:p>
    <w:p>
      <w:pPr>
        <w:ind w:left="220"/>
        <w:spacing w:after="0" w:line="234" w:lineRule="auto"/>
        <w:rPr>
          <w:sz w:val="20"/>
          <w:szCs w:val="20"/>
          <w:color w:val="auto"/>
        </w:rPr>
      </w:pPr>
      <w:r>
        <w:rPr>
          <w:rFonts w:ascii="Arial" w:cs="Arial" w:eastAsia="Arial" w:hAnsi="Arial"/>
          <w:sz w:val="13"/>
          <w:szCs w:val="13"/>
          <w:color w:val="auto"/>
        </w:rPr>
        <w:t>Loc. #4 - ***</w:t>
      </w:r>
    </w:p>
    <w:p>
      <w:pPr>
        <w:ind w:left="220"/>
        <w:spacing w:after="0" w:line="235" w:lineRule="auto"/>
        <w:rPr>
          <w:sz w:val="20"/>
          <w:szCs w:val="20"/>
          <w:color w:val="auto"/>
        </w:rPr>
      </w:pPr>
      <w:r>
        <w:rPr>
          <w:rFonts w:ascii="Arial" w:cs="Arial" w:eastAsia="Arial" w:hAnsi="Arial"/>
          <w:sz w:val="13"/>
          <w:szCs w:val="13"/>
          <w:color w:val="auto"/>
        </w:rPr>
        <w:t>Loc. #5 - 3103 Phoenixville Pike, Malvern, PA, 19355</w:t>
      </w:r>
    </w:p>
    <w:p>
      <w:pPr>
        <w:ind w:left="220"/>
        <w:spacing w:after="0" w:line="234" w:lineRule="auto"/>
        <w:rPr>
          <w:sz w:val="20"/>
          <w:szCs w:val="20"/>
          <w:color w:val="auto"/>
        </w:rPr>
      </w:pPr>
      <w:r>
        <w:rPr>
          <w:rFonts w:ascii="Arial" w:cs="Arial" w:eastAsia="Arial" w:hAnsi="Arial"/>
          <w:sz w:val="13"/>
          <w:szCs w:val="13"/>
          <w:color w:val="auto"/>
        </w:rPr>
        <w:t>Loc. #6 – 1618 SW First Avenue, Suite 215, Portland OR 97201</w:t>
      </w:r>
    </w:p>
    <w:p>
      <w:pPr>
        <w:ind w:left="220"/>
        <w:spacing w:after="0" w:line="234" w:lineRule="auto"/>
        <w:rPr>
          <w:sz w:val="20"/>
          <w:szCs w:val="20"/>
          <w:color w:val="auto"/>
        </w:rPr>
      </w:pPr>
      <w:r>
        <w:rPr>
          <w:rFonts w:ascii="Arial" w:cs="Arial" w:eastAsia="Arial" w:hAnsi="Arial"/>
          <w:sz w:val="13"/>
          <w:szCs w:val="13"/>
          <w:color w:val="auto"/>
        </w:rPr>
        <w:t>Loc. #7 - ***</w:t>
      </w:r>
    </w:p>
    <w:p>
      <w:pPr>
        <w:ind w:left="220"/>
        <w:spacing w:after="0"/>
        <w:rPr>
          <w:sz w:val="20"/>
          <w:szCs w:val="20"/>
          <w:color w:val="auto"/>
        </w:rPr>
      </w:pPr>
      <w:r>
        <w:rPr>
          <w:rFonts w:ascii="Arial" w:cs="Arial" w:eastAsia="Arial" w:hAnsi="Arial"/>
          <w:sz w:val="13"/>
          <w:szCs w:val="13"/>
          <w:color w:val="auto"/>
        </w:rPr>
        <w:t>Loc. #8 – 3119 Phoenixville Pike, Malvern, PA 19355</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PROPERTY</w:t>
      </w:r>
    </w:p>
    <w:tbl>
      <w:tblPr>
        <w:tblLayout w:type="fixed"/>
        <w:tblInd w:w="130" w:type="dxa"/>
        <w:tblCellMar>
          <w:top w:w="0" w:type="dxa"/>
          <w:left w:w="0" w:type="dxa"/>
          <w:bottom w:w="0" w:type="dxa"/>
          <w:right w:w="0" w:type="dxa"/>
        </w:tblCellMar>
      </w:tblPr>
      <w:tr>
        <w:trPr>
          <w:trHeight w:val="121"/>
        </w:trPr>
        <w:tc>
          <w:tcPr>
            <w:tcW w:w="2680" w:type="dxa"/>
            <w:vAlign w:val="bottom"/>
            <w:tcBorders>
              <w:top w:val="single" w:sz="8" w:color="auto"/>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3"/>
                <w:szCs w:val="13"/>
                <w:b w:val="1"/>
                <w:bCs w:val="1"/>
                <w:color w:val="auto"/>
              </w:rPr>
              <w:t>Description</w:t>
            </w:r>
          </w:p>
        </w:tc>
        <w:tc>
          <w:tcPr>
            <w:tcW w:w="3060" w:type="dxa"/>
            <w:vAlign w:val="bottom"/>
            <w:tcBorders>
              <w:top w:val="single" w:sz="8" w:color="auto"/>
              <w:bottom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b w:val="1"/>
                <w:bCs w:val="1"/>
                <w:color w:val="auto"/>
              </w:rPr>
              <w:t>2015-16</w:t>
            </w:r>
          </w:p>
        </w:tc>
        <w:tc>
          <w:tcPr>
            <w:tcW w:w="3060" w:type="dxa"/>
            <w:vAlign w:val="bottom"/>
            <w:tcBorders>
              <w:top w:val="single" w:sz="8" w:color="auto"/>
              <w:bottom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b w:val="1"/>
                <w:bCs w:val="1"/>
                <w:color w:val="auto"/>
              </w:rPr>
              <w:t>2016-17</w:t>
            </w:r>
          </w:p>
        </w:tc>
      </w:tr>
      <w:tr>
        <w:trPr>
          <w:trHeight w:val="115"/>
        </w:trPr>
        <w:tc>
          <w:tcPr>
            <w:tcW w:w="268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Insurance Company/Policy Period</w:t>
            </w:r>
          </w:p>
        </w:tc>
        <w:tc>
          <w:tcPr>
            <w:tcW w:w="3060" w:type="dxa"/>
            <w:vAlign w:val="bottom"/>
            <w:tcBorders>
              <w:right w:val="single" w:sz="8" w:color="auto"/>
            </w:tcBorders>
          </w:tcPr>
          <w:p>
            <w:pPr>
              <w:ind w:left="80"/>
              <w:spacing w:after="0" w:line="115" w:lineRule="exact"/>
              <w:rPr>
                <w:sz w:val="20"/>
                <w:szCs w:val="20"/>
                <w:color w:val="auto"/>
              </w:rPr>
            </w:pPr>
            <w:r>
              <w:rPr>
                <w:rFonts w:ascii="Arial" w:cs="Arial" w:eastAsia="Arial" w:hAnsi="Arial"/>
                <w:sz w:val="13"/>
                <w:szCs w:val="13"/>
                <w:color w:val="auto"/>
              </w:rPr>
              <w:t>Chubb</w:t>
            </w:r>
          </w:p>
        </w:tc>
        <w:tc>
          <w:tcPr>
            <w:tcW w:w="3060" w:type="dxa"/>
            <w:vAlign w:val="bottom"/>
            <w:tcBorders>
              <w:right w:val="single" w:sz="8" w:color="auto"/>
            </w:tcBorders>
          </w:tcPr>
          <w:p>
            <w:pPr>
              <w:ind w:left="8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11/01/2015 – 11/01/2016</w:t>
            </w:r>
          </w:p>
        </w:tc>
        <w:tc>
          <w:tcPr>
            <w:tcW w:w="3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Covered Entities</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USA Technologies, Inc.</w:t>
            </w:r>
          </w:p>
        </w:tc>
      </w:tr>
      <w:tr>
        <w:trPr>
          <w:trHeight w:val="104"/>
        </w:trPr>
        <w:tc>
          <w:tcPr>
            <w:tcW w:w="268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2"/>
                <w:szCs w:val="12"/>
                <w:color w:val="auto"/>
              </w:rPr>
              <w:t>Blanket Personal Property and Leasehold</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r>
      <w:tr>
        <w:trPr>
          <w:trHeight w:val="158"/>
        </w:trPr>
        <w:tc>
          <w:tcPr>
            <w:tcW w:w="2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Interest - Improvements and Betterments</w:t>
            </w:r>
          </w:p>
        </w:tc>
        <w:tc>
          <w:tcPr>
            <w:tcW w:w="306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spacing w:after="0"/>
              <w:rPr>
                <w:sz w:val="13"/>
                <w:szCs w:val="13"/>
                <w:color w:val="auto"/>
              </w:rPr>
            </w:pP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Blanket Stock</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Blanket EDP Property</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w w:val="97"/>
              </w:rPr>
              <w:t>Blanket Business Income with Extra Expense</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r>
        <w:trPr>
          <w:trHeight w:val="104"/>
        </w:trPr>
        <w:tc>
          <w:tcPr>
            <w:tcW w:w="268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2"/>
                <w:szCs w:val="12"/>
                <w:color w:val="auto"/>
              </w:rPr>
              <w:t>Blanket Business Income with Extra Expense</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r>
      <w:tr>
        <w:trPr>
          <w:trHeight w:val="158"/>
        </w:trPr>
        <w:tc>
          <w:tcPr>
            <w:tcW w:w="2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 Dependent Properties</w:t>
            </w:r>
          </w:p>
        </w:tc>
        <w:tc>
          <w:tcPr>
            <w:tcW w:w="306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spacing w:after="0"/>
              <w:rPr>
                <w:sz w:val="13"/>
                <w:szCs w:val="13"/>
                <w:color w:val="auto"/>
              </w:rPr>
            </w:pPr>
          </w:p>
        </w:tc>
      </w:tr>
      <w:tr>
        <w:trPr>
          <w:trHeight w:val="104"/>
        </w:trPr>
        <w:tc>
          <w:tcPr>
            <w:tcW w:w="268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2"/>
                <w:szCs w:val="12"/>
                <w:color w:val="auto"/>
              </w:rPr>
              <w:t>Covered Premises - Blanket Limit Of</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c>
          <w:tcPr>
            <w:tcW w:w="3060" w:type="dxa"/>
            <w:vAlign w:val="bottom"/>
            <w:tcBorders>
              <w:right w:val="single" w:sz="8" w:color="auto"/>
            </w:tcBorders>
          </w:tcPr>
          <w:p>
            <w:pPr>
              <w:ind w:left="80"/>
              <w:spacing w:after="0" w:line="105" w:lineRule="exact"/>
              <w:rPr>
                <w:sz w:val="20"/>
                <w:szCs w:val="20"/>
                <w:color w:val="auto"/>
              </w:rPr>
            </w:pPr>
            <w:r>
              <w:rPr>
                <w:rFonts w:ascii="Arial" w:cs="Arial" w:eastAsia="Arial" w:hAnsi="Arial"/>
                <w:sz w:val="12"/>
                <w:szCs w:val="12"/>
                <w:color w:val="auto"/>
              </w:rPr>
              <w:t>***</w:t>
            </w:r>
          </w:p>
        </w:tc>
      </w:tr>
      <w:tr>
        <w:trPr>
          <w:trHeight w:val="158"/>
        </w:trPr>
        <w:tc>
          <w:tcPr>
            <w:tcW w:w="2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Insurance</w:t>
            </w:r>
          </w:p>
        </w:tc>
        <w:tc>
          <w:tcPr>
            <w:tcW w:w="306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tcPr>
          <w:p>
            <w:pPr>
              <w:spacing w:after="0"/>
              <w:rPr>
                <w:sz w:val="13"/>
                <w:szCs w:val="13"/>
                <w:color w:val="auto"/>
              </w:rPr>
            </w:pP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Flood – Aggregate Limit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Earthquake – Aggregate Limit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r>
        <w:trPr>
          <w:trHeight w:val="126"/>
        </w:trPr>
        <w:tc>
          <w:tcPr>
            <w:tcW w:w="268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color w:val="auto"/>
              </w:rPr>
              <w:t>Property In Transit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c>
          <w:tcPr>
            <w:tcW w:w="306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3"/>
                <w:szCs w:val="13"/>
                <w:color w:val="auto"/>
              </w:rPr>
              <w:t>***</w:t>
            </w: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8" w:name="page239"/>
    <w:bookmarkEnd w:id="238"/>
    <w:p>
      <w:pPr>
        <w:ind w:left="120"/>
        <w:spacing w:after="0"/>
        <w:rPr>
          <w:sz w:val="20"/>
          <w:szCs w:val="20"/>
          <w:color w:val="auto"/>
        </w:rPr>
      </w:pPr>
      <w:r>
        <w:rPr>
          <w:rFonts w:ascii="Arial" w:cs="Arial" w:eastAsia="Arial" w:hAnsi="Arial"/>
          <w:sz w:val="13"/>
          <w:szCs w:val="13"/>
          <w:b w:val="1"/>
          <w:bCs w:val="1"/>
          <w:u w:val="single" w:color="auto"/>
          <w:color w:val="auto"/>
        </w:rPr>
        <w:t>SECTION III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GENERAL LIABILITY</w:t>
      </w:r>
    </w:p>
    <w:tbl>
      <w:tblPr>
        <w:tblLayout w:type="fixed"/>
        <w:tblInd w:w="130" w:type="dxa"/>
        <w:tblCellMar>
          <w:top w:w="0" w:type="dxa"/>
          <w:left w:w="0" w:type="dxa"/>
          <w:bottom w:w="0" w:type="dxa"/>
          <w:right w:w="0" w:type="dxa"/>
        </w:tblCellMar>
      </w:tblPr>
      <w:tr>
        <w:trPr>
          <w:trHeight w:val="114"/>
        </w:trPr>
        <w:tc>
          <w:tcPr>
            <w:tcW w:w="100" w:type="dxa"/>
            <w:vAlign w:val="bottom"/>
            <w:tcBorders>
              <w:top w:val="single" w:sz="8" w:color="auto"/>
              <w:left w:val="single" w:sz="8" w:color="auto"/>
            </w:tcBorders>
          </w:tcPr>
          <w:p>
            <w:pPr>
              <w:spacing w:after="0"/>
              <w:rPr>
                <w:sz w:val="9"/>
                <w:szCs w:val="9"/>
                <w:color w:val="auto"/>
              </w:rPr>
            </w:pPr>
          </w:p>
        </w:tc>
        <w:tc>
          <w:tcPr>
            <w:tcW w:w="2580" w:type="dxa"/>
            <w:vAlign w:val="bottom"/>
            <w:tcBorders>
              <w:top w:val="single" w:sz="8" w:color="auto"/>
              <w:right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3060" w:type="dxa"/>
            <w:vAlign w:val="bottom"/>
            <w:tcBorders>
              <w:top w:val="single" w:sz="8" w:color="auto"/>
              <w:right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2015-16</w:t>
            </w:r>
          </w:p>
        </w:tc>
        <w:tc>
          <w:tcPr>
            <w:tcW w:w="640" w:type="dxa"/>
            <w:vAlign w:val="bottom"/>
            <w:tcBorders>
              <w:top w:val="single" w:sz="8" w:color="auto"/>
            </w:tcBorders>
            <w:gridSpan w:val="3"/>
          </w:tcPr>
          <w:p>
            <w:pPr>
              <w:ind w:left="80"/>
              <w:spacing w:after="0" w:line="114" w:lineRule="exact"/>
              <w:rPr>
                <w:sz w:val="20"/>
                <w:szCs w:val="20"/>
                <w:color w:val="auto"/>
              </w:rPr>
            </w:pPr>
            <w:r>
              <w:rPr>
                <w:rFonts w:ascii="Arial" w:cs="Arial" w:eastAsia="Arial" w:hAnsi="Arial"/>
                <w:sz w:val="13"/>
                <w:szCs w:val="13"/>
                <w:b w:val="1"/>
                <w:bCs w:val="1"/>
                <w:color w:val="auto"/>
              </w:rPr>
              <w:t>2016-17</w:t>
            </w:r>
          </w:p>
        </w:tc>
        <w:tc>
          <w:tcPr>
            <w:tcW w:w="2420" w:type="dxa"/>
            <w:vAlign w:val="bottom"/>
            <w:tcBorders>
              <w:top w:val="single" w:sz="8" w:color="auto"/>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3060" w:type="dxa"/>
            <w:vAlign w:val="bottom"/>
            <w:tcBorders>
              <w:right w:val="single" w:sz="8" w:color="auto"/>
            </w:tcBorders>
            <w:gridSpan w:val="3"/>
          </w:tcPr>
          <w:p>
            <w:pPr>
              <w:ind w:left="80"/>
              <w:spacing w:after="0" w:line="105" w:lineRule="exact"/>
              <w:rPr>
                <w:sz w:val="20"/>
                <w:szCs w:val="20"/>
                <w:color w:val="auto"/>
              </w:rPr>
            </w:pPr>
            <w:r>
              <w:rPr>
                <w:rFonts w:ascii="Arial" w:cs="Arial" w:eastAsia="Arial" w:hAnsi="Arial"/>
                <w:sz w:val="12"/>
                <w:szCs w:val="12"/>
                <w:color w:val="auto"/>
              </w:rPr>
              <w:t>Chubb</w:t>
            </w:r>
          </w:p>
        </w:tc>
        <w:tc>
          <w:tcPr>
            <w:tcW w:w="3060" w:type="dxa"/>
            <w:vAlign w:val="bottom"/>
            <w:tcBorders>
              <w:right w:val="single" w:sz="8" w:color="auto"/>
            </w:tcBorders>
            <w:gridSpan w:val="4"/>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11/01/2015 – 11/01/2016</w:t>
            </w:r>
          </w:p>
        </w:tc>
        <w:tc>
          <w:tcPr>
            <w:tcW w:w="306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3060" w:type="dxa"/>
            <w:vAlign w:val="bottom"/>
            <w:tcBorders>
              <w:bottom w:val="single" w:sz="8" w:color="auto"/>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3060" w:type="dxa"/>
            <w:vAlign w:val="bottom"/>
            <w:tcBorders>
              <w:bottom w:val="single" w:sz="8" w:color="auto"/>
              <w:right w:val="single" w:sz="8" w:color="auto"/>
            </w:tcBorders>
            <w:gridSpan w:val="4"/>
          </w:tcPr>
          <w:p>
            <w:pPr>
              <w:ind w:left="8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Each Occurrence Limit</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Aggregate</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Products/Completed Operations Aggr</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Medical Expenses</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Premium Basis</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Employee Benefits Liability</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472"/>
        </w:trPr>
        <w:tc>
          <w:tcPr>
            <w:tcW w:w="2680" w:type="dxa"/>
            <w:vAlign w:val="bottom"/>
            <w:gridSpan w:val="4"/>
          </w:tcPr>
          <w:p>
            <w:pPr>
              <w:spacing w:after="0"/>
              <w:rPr>
                <w:sz w:val="20"/>
                <w:szCs w:val="20"/>
                <w:color w:val="auto"/>
              </w:rPr>
            </w:pPr>
            <w:r>
              <w:rPr>
                <w:rFonts w:ascii="Arial" w:cs="Arial" w:eastAsia="Arial" w:hAnsi="Arial"/>
                <w:sz w:val="13"/>
                <w:szCs w:val="13"/>
                <w:b w:val="1"/>
                <w:bCs w:val="1"/>
                <w:color w:val="auto"/>
              </w:rPr>
              <w:t>SECTION IV</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44"/>
        </w:trPr>
        <w:tc>
          <w:tcPr>
            <w:tcW w:w="780" w:type="dxa"/>
            <w:vAlign w:val="bottom"/>
            <w:tcBorders>
              <w:top w:val="single" w:sz="8" w:color="auto"/>
              <w:bottom w:val="single" w:sz="8" w:color="auto"/>
            </w:tcBorders>
            <w:gridSpan w:val="3"/>
          </w:tcPr>
          <w:p>
            <w:pPr>
              <w:spacing w:after="0" w:line="144" w:lineRule="exact"/>
              <w:rPr>
                <w:sz w:val="20"/>
                <w:szCs w:val="20"/>
                <w:color w:val="auto"/>
              </w:rPr>
            </w:pPr>
            <w:r>
              <w:rPr>
                <w:rFonts w:ascii="Arial" w:cs="Arial" w:eastAsia="Arial" w:hAnsi="Arial"/>
                <w:sz w:val="13"/>
                <w:szCs w:val="13"/>
                <w:b w:val="1"/>
                <w:bCs w:val="1"/>
                <w:color w:val="auto"/>
              </w:rPr>
              <w:t>ERRORS &amp;</w:t>
            </w:r>
          </w:p>
        </w:tc>
        <w:tc>
          <w:tcPr>
            <w:tcW w:w="19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OMISSIONS</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3060" w:type="dxa"/>
            <w:vAlign w:val="bottom"/>
            <w:tcBorders>
              <w:right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3060" w:type="dxa"/>
            <w:vAlign w:val="bottom"/>
            <w:tcBorders>
              <w:right w:val="single" w:sz="8" w:color="auto"/>
            </w:tcBorders>
            <w:gridSpan w:val="4"/>
          </w:tcPr>
          <w:p>
            <w:pPr>
              <w:ind w:left="80"/>
              <w:spacing w:after="0" w:line="108" w:lineRule="exact"/>
              <w:rPr>
                <w:sz w:val="20"/>
                <w:szCs w:val="20"/>
                <w:color w:val="auto"/>
              </w:rPr>
            </w:pPr>
            <w:r>
              <w:rPr>
                <w:rFonts w:ascii="Arial" w:cs="Arial" w:eastAsia="Arial" w:hAnsi="Arial"/>
                <w:sz w:val="12"/>
                <w:szCs w:val="12"/>
                <w:b w:val="1"/>
                <w:bCs w:val="1"/>
                <w:color w:val="auto"/>
              </w:rPr>
              <w:t>2016-2017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3060" w:type="dxa"/>
            <w:vAlign w:val="bottom"/>
            <w:tcBorders>
              <w:right w:val="single" w:sz="8" w:color="auto"/>
            </w:tcBorders>
            <w:gridSpan w:val="3"/>
          </w:tcPr>
          <w:p>
            <w:pPr>
              <w:ind w:left="80"/>
              <w:spacing w:after="0" w:line="105" w:lineRule="exact"/>
              <w:rPr>
                <w:sz w:val="20"/>
                <w:szCs w:val="20"/>
                <w:color w:val="auto"/>
              </w:rPr>
            </w:pPr>
            <w:r>
              <w:rPr>
                <w:rFonts w:ascii="Arial" w:cs="Arial" w:eastAsia="Arial" w:hAnsi="Arial"/>
                <w:sz w:val="12"/>
                <w:szCs w:val="12"/>
                <w:color w:val="auto"/>
              </w:rPr>
              <w:t>Chubb</w:t>
            </w:r>
          </w:p>
        </w:tc>
        <w:tc>
          <w:tcPr>
            <w:tcW w:w="3060" w:type="dxa"/>
            <w:vAlign w:val="bottom"/>
            <w:tcBorders>
              <w:right w:val="single" w:sz="8" w:color="auto"/>
            </w:tcBorders>
            <w:gridSpan w:val="4"/>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3"/>
                <w:szCs w:val="13"/>
                <w:color w:val="auto"/>
              </w:rPr>
              <w:t>11/01/2015 – 11/01/2016</w:t>
            </w:r>
          </w:p>
        </w:tc>
        <w:tc>
          <w:tcPr>
            <w:tcW w:w="306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3060" w:type="dxa"/>
            <w:vAlign w:val="bottom"/>
            <w:tcBorders>
              <w:bottom w:val="single" w:sz="8" w:color="auto"/>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3060" w:type="dxa"/>
            <w:vAlign w:val="bottom"/>
            <w:tcBorders>
              <w:bottom w:val="single" w:sz="8" w:color="auto"/>
              <w:right w:val="single" w:sz="8" w:color="auto"/>
            </w:tcBorders>
            <w:gridSpan w:val="4"/>
          </w:tcPr>
          <w:p>
            <w:pPr>
              <w:ind w:left="80"/>
              <w:spacing w:after="0" w:line="126" w:lineRule="exact"/>
              <w:rPr>
                <w:sz w:val="20"/>
                <w:szCs w:val="20"/>
                <w:color w:val="auto"/>
              </w:rPr>
            </w:pPr>
            <w:r>
              <w:rPr>
                <w:rFonts w:ascii="Arial" w:cs="Arial" w:eastAsia="Arial" w:hAnsi="Arial"/>
                <w:sz w:val="13"/>
                <w:szCs w:val="13"/>
                <w:color w:val="auto"/>
              </w:rPr>
              <w:t>USA Technologies, Inc.</w:t>
            </w:r>
          </w:p>
        </w:tc>
      </w:tr>
      <w:tr>
        <w:trPr>
          <w:trHeight w:val="104"/>
        </w:trPr>
        <w:tc>
          <w:tcPr>
            <w:tcW w:w="100" w:type="dxa"/>
            <w:vAlign w:val="bottom"/>
            <w:tcBorders>
              <w:left w:val="single" w:sz="8" w:color="auto"/>
            </w:tcBorders>
          </w:tcPr>
          <w:p>
            <w:pPr>
              <w:spacing w:after="0"/>
              <w:rPr>
                <w:sz w:val="9"/>
                <w:szCs w:val="9"/>
                <w:color w:val="auto"/>
              </w:rPr>
            </w:pPr>
          </w:p>
        </w:tc>
        <w:tc>
          <w:tcPr>
            <w:tcW w:w="258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Information and Network Technology</w:t>
            </w: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254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580" w:type="dxa"/>
            <w:vAlign w:val="bottom"/>
            <w:tcBorders>
              <w:right w:val="single" w:sz="8" w:color="auto"/>
            </w:tcBorders>
            <w:gridSpan w:val="3"/>
          </w:tcPr>
          <w:p>
            <w:pPr>
              <w:spacing w:after="0" w:line="137" w:lineRule="exact"/>
              <w:rPr>
                <w:sz w:val="20"/>
                <w:szCs w:val="20"/>
                <w:color w:val="auto"/>
              </w:rPr>
            </w:pPr>
            <w:r>
              <w:rPr>
                <w:rFonts w:ascii="Arial" w:cs="Arial" w:eastAsia="Arial" w:hAnsi="Arial"/>
                <w:sz w:val="13"/>
                <w:szCs w:val="13"/>
                <w:color w:val="auto"/>
              </w:rPr>
              <w:t>Blended Liability Insurance: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580" w:type="dxa"/>
            <w:vAlign w:val="bottom"/>
            <w:tcBorders>
              <w:right w:val="single" w:sz="8" w:color="auto"/>
            </w:tcBorders>
            <w:gridSpan w:val="3"/>
          </w:tcPr>
          <w:p>
            <w:pPr>
              <w:ind w:left="100"/>
              <w:spacing w:after="0" w:line="137" w:lineRule="exact"/>
              <w:rPr>
                <w:sz w:val="20"/>
                <w:szCs w:val="20"/>
                <w:color w:val="auto"/>
              </w:rPr>
            </w:pPr>
            <w:r>
              <w:rPr>
                <w:rFonts w:ascii="Arial" w:cs="Arial" w:eastAsia="Arial" w:hAnsi="Arial"/>
                <w:sz w:val="13"/>
                <w:szCs w:val="13"/>
                <w:color w:val="auto"/>
              </w:rPr>
              <w:t>Product or Service Financial Injury</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580" w:type="dxa"/>
            <w:vAlign w:val="bottom"/>
            <w:tcBorders>
              <w:right w:val="single" w:sz="8" w:color="auto"/>
            </w:tcBorders>
            <w:gridSpan w:val="3"/>
          </w:tcPr>
          <w:p>
            <w:pPr>
              <w:ind w:left="80"/>
              <w:spacing w:after="0" w:line="137" w:lineRule="exact"/>
              <w:rPr>
                <w:sz w:val="20"/>
                <w:szCs w:val="20"/>
                <w:color w:val="auto"/>
              </w:rPr>
            </w:pPr>
            <w:r>
              <w:rPr>
                <w:rFonts w:ascii="Arial" w:cs="Arial" w:eastAsia="Arial" w:hAnsi="Arial"/>
                <w:sz w:val="13"/>
                <w:szCs w:val="13"/>
                <w:color w:val="auto"/>
              </w:rPr>
              <w:t>Technology Related Injury:</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2580" w:type="dxa"/>
            <w:vAlign w:val="bottom"/>
            <w:tcBorders>
              <w:right w:val="single" w:sz="8" w:color="auto"/>
            </w:tcBorders>
            <w:gridSpan w:val="3"/>
          </w:tcPr>
          <w:p>
            <w:pPr>
              <w:ind w:left="200"/>
              <w:spacing w:after="0" w:line="137" w:lineRule="exact"/>
              <w:rPr>
                <w:sz w:val="20"/>
                <w:szCs w:val="20"/>
                <w:color w:val="auto"/>
              </w:rPr>
            </w:pPr>
            <w:r>
              <w:rPr>
                <w:rFonts w:ascii="Arial" w:cs="Arial" w:eastAsia="Arial" w:hAnsi="Arial"/>
                <w:sz w:val="13"/>
                <w:szCs w:val="13"/>
                <w:color w:val="auto"/>
              </w:rPr>
              <w:t>Personal/Reputation/Media</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3"/>
                <w:szCs w:val="13"/>
                <w:color w:val="auto"/>
              </w:rPr>
              <w:t>Privacy</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spacing w:after="0"/>
              <w:rPr>
                <w:sz w:val="13"/>
                <w:szCs w:val="13"/>
                <w:color w:val="auto"/>
              </w:rPr>
            </w:pPr>
          </w:p>
        </w:tc>
      </w:tr>
      <w:tr>
        <w:trPr>
          <w:trHeight w:val="160"/>
        </w:trPr>
        <w:tc>
          <w:tcPr>
            <w:tcW w:w="100" w:type="dxa"/>
            <w:vAlign w:val="bottom"/>
            <w:tcBorders>
              <w:left w:val="single" w:sz="8" w:color="auto"/>
            </w:tcBorders>
          </w:tcPr>
          <w:p>
            <w:pPr>
              <w:spacing w:after="0"/>
              <w:rPr>
                <w:sz w:val="13"/>
                <w:szCs w:val="13"/>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Privacy Remediation Expenses</w:t>
            </w:r>
          </w:p>
        </w:tc>
        <w:tc>
          <w:tcPr>
            <w:tcW w:w="5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540" w:type="dxa"/>
            <w:vAlign w:val="bottom"/>
            <w:tcBorders>
              <w:right w:val="single" w:sz="8" w:color="auto"/>
            </w:tcBorders>
          </w:tcPr>
          <w:p>
            <w:pPr>
              <w:spacing w:after="0"/>
              <w:rPr>
                <w:sz w:val="13"/>
                <w:szCs w:val="13"/>
                <w:color w:val="auto"/>
              </w:rPr>
            </w:pPr>
          </w:p>
        </w:tc>
        <w:tc>
          <w:tcPr>
            <w:tcW w:w="5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420" w:type="dxa"/>
            <w:vAlign w:val="bottom"/>
            <w:tcBorders>
              <w:right w:val="single" w:sz="8" w:color="auto"/>
            </w:tcBorders>
          </w:tcPr>
          <w:p>
            <w:pPr>
              <w:spacing w:after="0"/>
              <w:rPr>
                <w:sz w:val="13"/>
                <w:szCs w:val="13"/>
                <w:color w:val="auto"/>
              </w:rPr>
            </w:pPr>
          </w:p>
        </w:tc>
      </w:tr>
      <w:tr>
        <w:trPr>
          <w:trHeight w:val="376"/>
        </w:trPr>
        <w:tc>
          <w:tcPr>
            <w:tcW w:w="1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Premium Basis</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Professional Liability Territory</w:t>
            </w: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5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9" w:name="page240"/>
    <w:bookmarkEnd w:id="239"/>
    <w:p>
      <w:pPr>
        <w:ind w:left="120"/>
        <w:spacing w:after="0"/>
        <w:rPr>
          <w:sz w:val="20"/>
          <w:szCs w:val="20"/>
          <w:color w:val="auto"/>
        </w:rPr>
      </w:pPr>
      <w:r>
        <w:rPr>
          <w:rFonts w:ascii="Arial" w:cs="Arial" w:eastAsia="Arial" w:hAnsi="Arial"/>
          <w:sz w:val="13"/>
          <w:szCs w:val="13"/>
          <w:b w:val="1"/>
          <w:bCs w:val="1"/>
          <w:u w:val="single" w:color="auto"/>
          <w:color w:val="auto"/>
        </w:rPr>
        <w:t>SECTION V</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AUTOMOBILE</w:t>
      </w:r>
    </w:p>
    <w:tbl>
      <w:tblPr>
        <w:tblLayout w:type="fixed"/>
        <w:tblInd w:w="130" w:type="dxa"/>
        <w:tblCellMar>
          <w:top w:w="0" w:type="dxa"/>
          <w:left w:w="0" w:type="dxa"/>
          <w:bottom w:w="0" w:type="dxa"/>
          <w:right w:w="0" w:type="dxa"/>
        </w:tblCellMar>
      </w:tblPr>
      <w:tr>
        <w:trPr>
          <w:trHeight w:val="114"/>
        </w:trPr>
        <w:tc>
          <w:tcPr>
            <w:tcW w:w="100" w:type="dxa"/>
            <w:vAlign w:val="bottom"/>
            <w:tcBorders>
              <w:top w:val="single" w:sz="8" w:color="auto"/>
              <w:left w:val="single" w:sz="8" w:color="auto"/>
            </w:tcBorders>
          </w:tcPr>
          <w:p>
            <w:pPr>
              <w:spacing w:after="0"/>
              <w:rPr>
                <w:sz w:val="9"/>
                <w:szCs w:val="9"/>
                <w:color w:val="auto"/>
              </w:rPr>
            </w:pPr>
          </w:p>
        </w:tc>
        <w:tc>
          <w:tcPr>
            <w:tcW w:w="234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280" w:type="dxa"/>
            <w:vAlign w:val="bottom"/>
            <w:tcBorders>
              <w:top w:val="single" w:sz="8" w:color="auto"/>
              <w:right w:val="single" w:sz="8" w:color="auto"/>
            </w:tcBorders>
          </w:tcPr>
          <w:p>
            <w:pPr>
              <w:spacing w:after="0"/>
              <w:rPr>
                <w:sz w:val="9"/>
                <w:szCs w:val="9"/>
                <w:color w:val="auto"/>
              </w:rPr>
            </w:pPr>
          </w:p>
        </w:tc>
        <w:tc>
          <w:tcPr>
            <w:tcW w:w="2940" w:type="dxa"/>
            <w:vAlign w:val="bottom"/>
            <w:tcBorders>
              <w:top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2015-16</w:t>
            </w:r>
          </w:p>
        </w:tc>
        <w:tc>
          <w:tcPr>
            <w:tcW w:w="60" w:type="dxa"/>
            <w:vAlign w:val="bottom"/>
            <w:tcBorders>
              <w:top w:val="single" w:sz="8" w:color="auto"/>
              <w:right w:val="single" w:sz="8" w:color="auto"/>
            </w:tcBorders>
          </w:tcPr>
          <w:p>
            <w:pPr>
              <w:spacing w:after="0"/>
              <w:rPr>
                <w:sz w:val="9"/>
                <w:szCs w:val="9"/>
                <w:color w:val="auto"/>
              </w:rPr>
            </w:pPr>
          </w:p>
        </w:tc>
        <w:tc>
          <w:tcPr>
            <w:tcW w:w="308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340" w:type="dxa"/>
            <w:vAlign w:val="bottom"/>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2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Chubb</w:t>
            </w:r>
          </w:p>
        </w:tc>
        <w:tc>
          <w:tcPr>
            <w:tcW w:w="3080" w:type="dxa"/>
            <w:vAlign w:val="bottom"/>
            <w:tcBorders>
              <w:right w:val="single" w:sz="8" w:color="auto"/>
            </w:tcBorders>
            <w:gridSpan w:val="3"/>
          </w:tcPr>
          <w:p>
            <w:pPr>
              <w:ind w:left="6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11/01/2016 – 11/01/2017</w:t>
            </w:r>
          </w:p>
        </w:tc>
        <w:tc>
          <w:tcPr>
            <w:tcW w:w="30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color w:val="auto"/>
              </w:rPr>
              <w:t>11/01/2016–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9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USA Technologies, Inc.</w:t>
            </w:r>
          </w:p>
        </w:tc>
        <w:tc>
          <w:tcPr>
            <w:tcW w:w="3080" w:type="dxa"/>
            <w:vAlign w:val="bottom"/>
            <w:tcBorders>
              <w:bottom w:val="single" w:sz="8" w:color="auto"/>
              <w:right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Non-Owned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Hired Auto Liability</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Hired Auto Physical Damage</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 Liability</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61"/>
        </w:trPr>
        <w:tc>
          <w:tcPr>
            <w:tcW w:w="100" w:type="dxa"/>
            <w:vAlign w:val="bottom"/>
            <w:tcBorders>
              <w:left w:val="single" w:sz="8" w:color="auto"/>
              <w:bottom w:val="single" w:sz="8" w:color="auto"/>
            </w:tcBorders>
          </w:tcPr>
          <w:p>
            <w:pPr>
              <w:spacing w:after="0"/>
              <w:rPr>
                <w:sz w:val="14"/>
                <w:szCs w:val="14"/>
                <w:color w:val="auto"/>
              </w:rPr>
            </w:pP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Schedule of Vehicles</w:t>
            </w:r>
          </w:p>
        </w:tc>
        <w:tc>
          <w:tcPr>
            <w:tcW w:w="2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4"/>
                <w:szCs w:val="14"/>
                <w:color w:val="auto"/>
              </w:rPr>
            </w:pPr>
          </w:p>
        </w:tc>
      </w:tr>
      <w:tr>
        <w:trPr>
          <w:trHeight w:val="127"/>
        </w:trPr>
        <w:tc>
          <w:tcPr>
            <w:tcW w:w="100" w:type="dxa"/>
            <w:vAlign w:val="bottom"/>
            <w:tcBorders>
              <w:left w:val="single" w:sz="8" w:color="auto"/>
              <w:bottom w:val="single" w:sz="8" w:color="auto"/>
            </w:tcBorders>
          </w:tcPr>
          <w:p>
            <w:pPr>
              <w:spacing w:after="0"/>
              <w:rPr>
                <w:sz w:val="11"/>
                <w:szCs w:val="11"/>
                <w:color w:val="auto"/>
              </w:rPr>
            </w:pPr>
          </w:p>
        </w:tc>
        <w:tc>
          <w:tcPr>
            <w:tcW w:w="2340" w:type="dxa"/>
            <w:vAlign w:val="bottom"/>
            <w:tcBorders>
              <w:bottom w:val="single" w:sz="8" w:color="auto"/>
            </w:tcBorders>
            <w:gridSpan w:val="3"/>
          </w:tcPr>
          <w:p>
            <w:pPr>
              <w:spacing w:after="0" w:line="127" w:lineRule="exact"/>
              <w:rPr>
                <w:sz w:val="20"/>
                <w:szCs w:val="20"/>
                <w:color w:val="auto"/>
              </w:rPr>
            </w:pPr>
            <w:r>
              <w:rPr>
                <w:rFonts w:ascii="Arial" w:cs="Arial" w:eastAsia="Arial" w:hAnsi="Arial"/>
                <w:sz w:val="13"/>
                <w:szCs w:val="13"/>
                <w:color w:val="auto"/>
              </w:rPr>
              <w:t>Schedule of Drivers</w:t>
            </w:r>
          </w:p>
        </w:tc>
        <w:tc>
          <w:tcPr>
            <w:tcW w:w="2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gridSpan w:val="2"/>
          </w:tcPr>
          <w:p>
            <w:pPr>
              <w:ind w:left="60"/>
              <w:spacing w:after="0" w:line="127"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gridSpan w:val="2"/>
          </w:tcPr>
          <w:p>
            <w:pPr>
              <w:ind w:left="60"/>
              <w:spacing w:after="0" w:line="127"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1"/>
                <w:szCs w:val="1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Uninsured/Underinsured Motorist Liab</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First Party Benefits</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Extraordinary Medical Benefits</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Comprehensive Deductible</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Collision Deductible</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Rental Reimbursement</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 Broad Form Endorsement</w:t>
            </w:r>
          </w:p>
        </w:tc>
        <w:tc>
          <w:tcPr>
            <w:tcW w:w="2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r>
        <w:trPr>
          <w:trHeight w:val="336"/>
        </w:trPr>
        <w:tc>
          <w:tcPr>
            <w:tcW w:w="2440" w:type="dxa"/>
            <w:vAlign w:val="bottom"/>
            <w:gridSpan w:val="4"/>
          </w:tcPr>
          <w:p>
            <w:pPr>
              <w:spacing w:after="0"/>
              <w:rPr>
                <w:sz w:val="20"/>
                <w:szCs w:val="20"/>
                <w:color w:val="auto"/>
              </w:rPr>
            </w:pPr>
            <w:r>
              <w:rPr>
                <w:rFonts w:ascii="Arial" w:cs="Arial" w:eastAsia="Arial" w:hAnsi="Arial"/>
                <w:sz w:val="13"/>
                <w:szCs w:val="13"/>
                <w:b w:val="1"/>
                <w:bCs w:val="1"/>
                <w:color w:val="auto"/>
              </w:rPr>
              <w:t>SECTION VI</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44"/>
        </w:trPr>
        <w:tc>
          <w:tcPr>
            <w:tcW w:w="780" w:type="dxa"/>
            <w:vAlign w:val="bottom"/>
            <w:tcBorders>
              <w:top w:val="single" w:sz="8" w:color="auto"/>
              <w:bottom w:val="single" w:sz="8" w:color="auto"/>
            </w:tcBorders>
            <w:gridSpan w:val="3"/>
          </w:tcPr>
          <w:p>
            <w:pPr>
              <w:spacing w:after="0" w:line="144" w:lineRule="exact"/>
              <w:rPr>
                <w:sz w:val="20"/>
                <w:szCs w:val="20"/>
                <w:color w:val="auto"/>
              </w:rPr>
            </w:pPr>
            <w:r>
              <w:rPr>
                <w:rFonts w:ascii="Arial" w:cs="Arial" w:eastAsia="Arial" w:hAnsi="Arial"/>
                <w:sz w:val="13"/>
                <w:szCs w:val="13"/>
                <w:b w:val="1"/>
                <w:bCs w:val="1"/>
                <w:color w:val="auto"/>
              </w:rPr>
              <w:t>WORKERS</w:t>
            </w:r>
          </w:p>
        </w:tc>
        <w:tc>
          <w:tcPr>
            <w:tcW w:w="16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COMPENSATION</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r>
      <w:tr>
        <w:trPr>
          <w:trHeight w:val="115"/>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24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ind w:left="20"/>
              <w:spacing w:after="0" w:line="108" w:lineRule="exact"/>
              <w:rPr>
                <w:sz w:val="20"/>
                <w:szCs w:val="20"/>
                <w:color w:val="auto"/>
              </w:rPr>
            </w:pPr>
            <w:r>
              <w:rPr>
                <w:rFonts w:ascii="Arial" w:cs="Arial" w:eastAsia="Arial" w:hAnsi="Arial"/>
                <w:sz w:val="12"/>
                <w:szCs w:val="12"/>
                <w:b w:val="1"/>
                <w:bCs w:val="1"/>
                <w:color w:val="auto"/>
              </w:rPr>
              <w:t>2016-17</w:t>
            </w:r>
          </w:p>
        </w:tc>
        <w:tc>
          <w:tcPr>
            <w:tcW w:w="2580" w:type="dxa"/>
            <w:vAlign w:val="bottom"/>
            <w:tcBorders>
              <w:bottom w:val="single" w:sz="8" w:color="auto"/>
              <w:right w:val="single" w:sz="8" w:color="auto"/>
            </w:tcBorders>
          </w:tcPr>
          <w:p>
            <w:pPr>
              <w:spacing w:after="0"/>
              <w:rPr>
                <w:sz w:val="10"/>
                <w:szCs w:val="10"/>
                <w:color w:val="auto"/>
              </w:rPr>
            </w:pPr>
          </w:p>
        </w:tc>
      </w:tr>
      <w:tr>
        <w:trPr>
          <w:trHeight w:val="115"/>
        </w:trPr>
        <w:tc>
          <w:tcPr>
            <w:tcW w:w="100" w:type="dxa"/>
            <w:vAlign w:val="bottom"/>
            <w:tcBorders>
              <w:left w:val="single" w:sz="8" w:color="auto"/>
            </w:tcBorders>
          </w:tcPr>
          <w:p>
            <w:pPr>
              <w:spacing w:after="0"/>
              <w:rPr>
                <w:sz w:val="10"/>
                <w:szCs w:val="10"/>
                <w:color w:val="auto"/>
              </w:rPr>
            </w:pPr>
          </w:p>
        </w:tc>
        <w:tc>
          <w:tcPr>
            <w:tcW w:w="2340" w:type="dxa"/>
            <w:vAlign w:val="bottom"/>
            <w:tcBorders>
              <w:right w:val="single" w:sz="8" w:color="auto"/>
            </w:tcBorders>
            <w:gridSpan w:val="3"/>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3220" w:type="dxa"/>
            <w:vAlign w:val="bottom"/>
            <w:tcBorders>
              <w:right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rPr>
              <w:t>Chubb</w:t>
            </w:r>
          </w:p>
        </w:tc>
        <w:tc>
          <w:tcPr>
            <w:tcW w:w="60" w:type="dxa"/>
            <w:vAlign w:val="bottom"/>
          </w:tcPr>
          <w:p>
            <w:pPr>
              <w:spacing w:after="0"/>
              <w:rPr>
                <w:sz w:val="10"/>
                <w:szCs w:val="10"/>
                <w:color w:val="auto"/>
              </w:rPr>
            </w:pPr>
          </w:p>
        </w:tc>
        <w:tc>
          <w:tcPr>
            <w:tcW w:w="3080" w:type="dxa"/>
            <w:vAlign w:val="bottom"/>
            <w:tcBorders>
              <w:right w:val="single" w:sz="8" w:color="auto"/>
            </w:tcBorders>
            <w:gridSpan w:val="3"/>
          </w:tcPr>
          <w:p>
            <w:pPr>
              <w:ind w:left="2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3"/>
                <w:szCs w:val="13"/>
                <w:color w:val="auto"/>
              </w:rPr>
              <w:t>11/01/2015 – 11/01/2016</w:t>
            </w: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3220" w:type="dxa"/>
            <w:vAlign w:val="bottom"/>
            <w:tcBorders>
              <w:bottom w:val="single" w:sz="8" w:color="auto"/>
              <w:right w:val="single" w:sz="8" w:color="auto"/>
            </w:tcBorders>
            <w:gridSpan w:val="4"/>
          </w:tcPr>
          <w:p>
            <w:pPr>
              <w:ind w:left="80"/>
              <w:spacing w:after="0" w:line="126" w:lineRule="exact"/>
              <w:rPr>
                <w:sz w:val="20"/>
                <w:szCs w:val="20"/>
                <w:color w:val="auto"/>
              </w:rPr>
            </w:pPr>
            <w:r>
              <w:rPr>
                <w:rFonts w:ascii="Arial" w:cs="Arial" w:eastAsia="Arial" w:hAnsi="Arial"/>
                <w:sz w:val="13"/>
                <w:szCs w:val="13"/>
                <w:color w:val="auto"/>
              </w:rPr>
              <w:t>USA Technologies, Inc.</w:t>
            </w:r>
          </w:p>
        </w:tc>
        <w:tc>
          <w:tcPr>
            <w:tcW w:w="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3"/>
          </w:tcPr>
          <w:p>
            <w:pPr>
              <w:ind w:left="2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Limits</w:t>
            </w:r>
          </w:p>
        </w:tc>
        <w:tc>
          <w:tcPr>
            <w:tcW w:w="34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ind w:left="20"/>
              <w:spacing w:after="0" w:line="126" w:lineRule="exact"/>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spacing w:after="0"/>
              <w:rPr>
                <w:sz w:val="10"/>
                <w:szCs w:val="10"/>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0" w:name="page241"/>
    <w:bookmarkEnd w:id="240"/>
    <w:tbl>
      <w:tblPr>
        <w:tblLayout w:type="fixed"/>
        <w:tblInd w:w="120" w:type="dxa"/>
        <w:tblCellMar>
          <w:top w:w="0" w:type="dxa"/>
          <w:left w:w="0" w:type="dxa"/>
          <w:bottom w:w="0" w:type="dxa"/>
          <w:right w:w="0" w:type="dxa"/>
        </w:tblCellMar>
      </w:tblPr>
      <w:tr>
        <w:trPr>
          <w:trHeight w:val="181"/>
        </w:trPr>
        <w:tc>
          <w:tcPr>
            <w:tcW w:w="1700" w:type="dxa"/>
            <w:vAlign w:val="bottom"/>
            <w:tcBorders>
              <w:top w:val="single" w:sz="8" w:color="auto"/>
            </w:tcBorders>
            <w:vMerge w:val="restart"/>
          </w:tcPr>
          <w:p>
            <w:pPr>
              <w:ind w:left="100"/>
              <w:spacing w:after="0"/>
              <w:rPr>
                <w:sz w:val="20"/>
                <w:szCs w:val="20"/>
                <w:color w:val="auto"/>
              </w:rPr>
            </w:pPr>
            <w:r>
              <w:rPr>
                <w:rFonts w:ascii="Arial" w:cs="Arial" w:eastAsia="Arial" w:hAnsi="Arial"/>
                <w:sz w:val="13"/>
                <w:szCs w:val="13"/>
                <w:color w:val="auto"/>
              </w:rPr>
              <w:t>Covered States</w:t>
            </w:r>
          </w:p>
        </w:tc>
        <w:tc>
          <w:tcPr>
            <w:tcW w:w="2520" w:type="dxa"/>
            <w:vAlign w:val="bottom"/>
            <w:tcBorders>
              <w:top w:val="single" w:sz="8" w:color="auto"/>
            </w:tcBorders>
          </w:tcPr>
          <w:p>
            <w:pPr>
              <w:jc w:val="right"/>
              <w:ind w:right="1433"/>
              <w:spacing w:after="0"/>
              <w:rPr>
                <w:sz w:val="20"/>
                <w:szCs w:val="20"/>
                <w:color w:val="auto"/>
              </w:rPr>
            </w:pPr>
            <w:r>
              <w:rPr>
                <w:rFonts w:ascii="Arial" w:cs="Arial" w:eastAsia="Arial" w:hAnsi="Arial"/>
                <w:sz w:val="13"/>
                <w:szCs w:val="13"/>
                <w:color w:val="auto"/>
              </w:rPr>
              <w:t>***</w:t>
            </w:r>
          </w:p>
        </w:tc>
        <w:tc>
          <w:tcPr>
            <w:tcW w:w="4560" w:type="dxa"/>
            <w:vAlign w:val="bottom"/>
            <w:tcBorders>
              <w:top w:val="single" w:sz="8" w:color="auto"/>
            </w:tcBorders>
          </w:tcPr>
          <w:p>
            <w:pPr>
              <w:jc w:val="right"/>
              <w:ind w:right="27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-163830</wp:posOffset>
            </wp:positionV>
            <wp:extent cx="5570855" cy="1911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7085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Note - WA, WY, ND, &amp; OH are</w:t>
      </w:r>
    </w:p>
    <w:p>
      <w:pPr>
        <w:ind w:left="220"/>
        <w:spacing w:after="0" w:line="219" w:lineRule="auto"/>
        <w:rPr>
          <w:sz w:val="20"/>
          <w:szCs w:val="20"/>
          <w:color w:val="auto"/>
        </w:rPr>
      </w:pPr>
      <w:r>
        <w:rPr>
          <w:rFonts w:ascii="Arial" w:cs="Arial" w:eastAsia="Arial" w:hAnsi="Arial"/>
          <w:sz w:val="13"/>
          <w:szCs w:val="13"/>
          <w:color w:val="auto"/>
        </w:rPr>
        <w:t>Monopolistic States requiring workers</w:t>
      </w:r>
    </w:p>
    <w:p>
      <w:pPr>
        <w:ind w:left="220"/>
        <w:spacing w:after="0"/>
        <w:rPr>
          <w:sz w:val="20"/>
          <w:szCs w:val="20"/>
          <w:color w:val="auto"/>
        </w:rPr>
      </w:pPr>
      <w:r>
        <w:rPr>
          <w:rFonts w:ascii="Arial" w:cs="Arial" w:eastAsia="Arial" w:hAnsi="Arial"/>
          <w:sz w:val="12"/>
          <w:szCs w:val="12"/>
          <w:color w:val="auto"/>
        </w:rPr>
        <w:t>compensation coverage to be purchased</w:t>
      </w:r>
    </w:p>
    <w:p>
      <w:pPr>
        <w:ind w:left="220"/>
        <w:spacing w:after="0"/>
        <w:rPr>
          <w:sz w:val="20"/>
          <w:szCs w:val="20"/>
          <w:color w:val="auto"/>
        </w:rPr>
      </w:pPr>
      <w:r>
        <w:rPr>
          <w:rFonts w:ascii="Arial" w:cs="Arial" w:eastAsia="Arial" w:hAnsi="Arial"/>
          <w:sz w:val="13"/>
          <w:szCs w:val="13"/>
          <w:color w:val="auto"/>
        </w:rPr>
        <w:t>directly from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SECTION VII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UMBRELLA</w:t>
      </w:r>
    </w:p>
    <w:tbl>
      <w:tblPr>
        <w:tblLayout w:type="fixed"/>
        <w:tblInd w:w="130" w:type="dxa"/>
        <w:tblCellMar>
          <w:top w:w="0" w:type="dxa"/>
          <w:left w:w="0" w:type="dxa"/>
          <w:bottom w:w="0" w:type="dxa"/>
          <w:right w:w="0" w:type="dxa"/>
        </w:tblCellMar>
      </w:tblPr>
      <w:tr>
        <w:trPr>
          <w:trHeight w:val="114"/>
        </w:trPr>
        <w:tc>
          <w:tcPr>
            <w:tcW w:w="100" w:type="dxa"/>
            <w:vAlign w:val="bottom"/>
            <w:tcBorders>
              <w:top w:val="single" w:sz="8" w:color="auto"/>
              <w:left w:val="single" w:sz="8" w:color="auto"/>
            </w:tcBorders>
          </w:tcPr>
          <w:p>
            <w:pPr>
              <w:spacing w:after="0"/>
              <w:rPr>
                <w:sz w:val="9"/>
                <w:szCs w:val="9"/>
                <w:color w:val="auto"/>
              </w:rPr>
            </w:pPr>
          </w:p>
        </w:tc>
        <w:tc>
          <w:tcPr>
            <w:tcW w:w="2420" w:type="dxa"/>
            <w:vAlign w:val="bottom"/>
            <w:tcBorders>
              <w:top w:val="single" w:sz="8" w:color="auto"/>
              <w:right w:val="single" w:sz="8" w:color="auto"/>
            </w:tcBorders>
            <w:gridSpan w:val="2"/>
          </w:tcPr>
          <w:p>
            <w:pPr>
              <w:spacing w:after="0" w:line="114" w:lineRule="exact"/>
              <w:rPr>
                <w:sz w:val="20"/>
                <w:szCs w:val="20"/>
                <w:color w:val="auto"/>
              </w:rPr>
            </w:pPr>
            <w:r>
              <w:rPr>
                <w:rFonts w:ascii="Arial" w:cs="Arial" w:eastAsia="Arial" w:hAnsi="Arial"/>
                <w:sz w:val="13"/>
                <w:szCs w:val="13"/>
                <w:b w:val="1"/>
                <w:bCs w:val="1"/>
                <w:color w:val="auto"/>
              </w:rPr>
              <w:t>Description</w:t>
            </w:r>
          </w:p>
        </w:tc>
        <w:tc>
          <w:tcPr>
            <w:tcW w:w="318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2015-16</w:t>
            </w:r>
          </w:p>
        </w:tc>
        <w:tc>
          <w:tcPr>
            <w:tcW w:w="3100" w:type="dxa"/>
            <w:vAlign w:val="bottom"/>
            <w:tcBorders>
              <w:top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20" w:type="dxa"/>
            <w:vAlign w:val="bottom"/>
            <w:tcBorders>
              <w:right w:val="single" w:sz="8" w:color="auto"/>
            </w:tcBorders>
            <w:gridSpan w:val="2"/>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3120" w:type="dxa"/>
            <w:vAlign w:val="bottom"/>
            <w:tcBorders>
              <w:right w:val="single" w:sz="8" w:color="auto"/>
            </w:tcBorders>
            <w:gridSpan w:val="2"/>
          </w:tcPr>
          <w:p>
            <w:pPr>
              <w:spacing w:after="0" w:line="105" w:lineRule="exact"/>
              <w:rPr>
                <w:sz w:val="20"/>
                <w:szCs w:val="20"/>
                <w:color w:val="auto"/>
              </w:rPr>
            </w:pPr>
            <w:r>
              <w:rPr>
                <w:rFonts w:ascii="Arial" w:cs="Arial" w:eastAsia="Arial" w:hAnsi="Arial"/>
                <w:sz w:val="12"/>
                <w:szCs w:val="12"/>
                <w:color w:val="auto"/>
              </w:rPr>
              <w:t>Chubb</w:t>
            </w:r>
          </w:p>
        </w:tc>
        <w:tc>
          <w:tcPr>
            <w:tcW w:w="3100" w:type="dxa"/>
            <w:vAlign w:val="bottom"/>
            <w:tcBorders>
              <w:right w:val="single" w:sz="8" w:color="auto"/>
            </w:tcBorders>
            <w:gridSpan w:val="3"/>
          </w:tcPr>
          <w:p>
            <w:pPr>
              <w:ind w:left="6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31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USA Technologies, Inc.</w:t>
            </w:r>
          </w:p>
        </w:tc>
        <w:tc>
          <w:tcPr>
            <w:tcW w:w="3100" w:type="dxa"/>
            <w:vAlign w:val="bottom"/>
            <w:tcBorders>
              <w:bottom w:val="single" w:sz="8" w:color="auto"/>
              <w:right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USA Technologies, Inc.</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Limit</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right w:val="single" w:sz="8" w:color="auto"/>
            </w:tcBorders>
            <w:gridSpan w:val="2"/>
          </w:tcPr>
          <w:p>
            <w:pPr>
              <w:spacing w:after="0" w:line="126" w:lineRule="exact"/>
              <w:rPr>
                <w:sz w:val="20"/>
                <w:szCs w:val="20"/>
                <w:color w:val="auto"/>
              </w:rPr>
            </w:pPr>
            <w:r>
              <w:rPr>
                <w:rFonts w:ascii="Arial" w:cs="Arial" w:eastAsia="Arial" w:hAnsi="Arial"/>
                <w:sz w:val="13"/>
                <w:szCs w:val="13"/>
                <w:color w:val="auto"/>
              </w:rPr>
              <w:t>Underlying Coverage</w:t>
            </w: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spacing w:after="0"/>
              <w:rPr>
                <w:sz w:val="10"/>
                <w:szCs w:val="10"/>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41" w:name="page242"/>
    <w:bookmarkEnd w:id="241"/>
    <w:p>
      <w:pPr>
        <w:ind w:left="120"/>
        <w:spacing w:after="0"/>
        <w:rPr>
          <w:sz w:val="20"/>
          <w:szCs w:val="20"/>
          <w:color w:val="auto"/>
        </w:rPr>
      </w:pPr>
      <w:r>
        <w:rPr>
          <w:rFonts w:ascii="Arial" w:cs="Arial" w:eastAsia="Arial" w:hAnsi="Arial"/>
          <w:sz w:val="13"/>
          <w:szCs w:val="13"/>
          <w:b w:val="1"/>
          <w:bCs w:val="1"/>
          <w:u w:val="single" w:color="auto"/>
          <w:color w:val="auto"/>
        </w:rPr>
        <w:t>SECTION VIII</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INTERNATIONAL/GLOBAL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Premises Summary:</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36"/>
        </w:trPr>
        <w:tc>
          <w:tcPr>
            <w:tcW w:w="100" w:type="dxa"/>
            <w:vAlign w:val="bottom"/>
            <w:tcBorders>
              <w:top w:val="single" w:sz="8" w:color="auto"/>
              <w:left w:val="single" w:sz="8" w:color="auto"/>
              <w:bottom w:val="single" w:sz="8" w:color="auto"/>
            </w:tcBorders>
          </w:tcPr>
          <w:p>
            <w:pPr>
              <w:spacing w:after="0"/>
              <w:rPr>
                <w:sz w:val="11"/>
                <w:szCs w:val="11"/>
                <w:color w:val="auto"/>
              </w:rPr>
            </w:pPr>
          </w:p>
        </w:tc>
        <w:tc>
          <w:tcPr>
            <w:tcW w:w="2440" w:type="dxa"/>
            <w:vAlign w:val="bottom"/>
            <w:tcBorders>
              <w:top w:val="single" w:sz="8" w:color="auto"/>
              <w:bottom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rPr>
              <w:t xml:space="preserve">Location </w:t>
            </w:r>
            <w:r>
              <w:rPr>
                <w:rFonts w:ascii="Arial" w:cs="Arial" w:eastAsia="Arial" w:hAnsi="Arial"/>
                <w:sz w:val="13"/>
                <w:szCs w:val="13"/>
                <w:color w:val="auto"/>
              </w:rPr>
              <w:t>Loc. #1 – ***</w:t>
            </w:r>
          </w:p>
        </w:tc>
        <w:tc>
          <w:tcPr>
            <w:tcW w:w="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3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480" w:type="dxa"/>
            <w:vAlign w:val="bottom"/>
            <w:tcBorders>
              <w:top w:val="single" w:sz="8" w:color="auto"/>
              <w:bottom w:val="single" w:sz="8" w:color="auto"/>
              <w:right w:val="single" w:sz="8" w:color="auto"/>
            </w:tcBorders>
          </w:tcPr>
          <w:p>
            <w:pPr>
              <w:spacing w:after="0"/>
              <w:rPr>
                <w:sz w:val="11"/>
                <w:szCs w:val="11"/>
                <w:color w:val="auto"/>
              </w:rPr>
            </w:pPr>
          </w:p>
        </w:tc>
      </w:tr>
      <w:tr>
        <w:trPr>
          <w:trHeight w:val="137"/>
        </w:trPr>
        <w:tc>
          <w:tcPr>
            <w:tcW w:w="1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860" w:type="dxa"/>
            <w:vAlign w:val="bottom"/>
            <w:gridSpan w:val="4"/>
          </w:tcPr>
          <w:p>
            <w:pPr>
              <w:ind w:left="80"/>
              <w:spacing w:after="0" w:line="108" w:lineRule="exact"/>
              <w:rPr>
                <w:sz w:val="20"/>
                <w:szCs w:val="20"/>
                <w:color w:val="auto"/>
              </w:rPr>
            </w:pPr>
            <w:r>
              <w:rPr>
                <w:rFonts w:ascii="Arial" w:cs="Arial" w:eastAsia="Arial" w:hAnsi="Arial"/>
                <w:sz w:val="12"/>
                <w:szCs w:val="12"/>
                <w:b w:val="1"/>
                <w:bCs w:val="1"/>
                <w:color w:val="auto"/>
              </w:rPr>
              <w:t>2015-16</w:t>
            </w:r>
          </w:p>
        </w:tc>
        <w:tc>
          <w:tcPr>
            <w:tcW w:w="1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2016-17</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66"/>
        </w:trPr>
        <w:tc>
          <w:tcPr>
            <w:tcW w:w="100" w:type="dxa"/>
            <w:vAlign w:val="bottom"/>
            <w:tcBorders>
              <w:left w:val="single" w:sz="8" w:color="auto"/>
              <w:bottom w:val="single" w:sz="8" w:color="auto"/>
            </w:tcBorders>
          </w:tcPr>
          <w:p>
            <w:pPr>
              <w:spacing w:after="0"/>
              <w:rPr>
                <w:sz w:val="14"/>
                <w:szCs w:val="14"/>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3"/>
                <w:szCs w:val="13"/>
                <w:color w:val="auto"/>
              </w:rPr>
              <w:t>USA Technologies, Inc.</w:t>
            </w: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USA Technologies, Inc.</w:t>
            </w:r>
          </w:p>
        </w:tc>
      </w:tr>
      <w:tr>
        <w:trPr>
          <w:trHeight w:val="110"/>
        </w:trPr>
        <w:tc>
          <w:tcPr>
            <w:tcW w:w="100" w:type="dxa"/>
            <w:vAlign w:val="bottom"/>
            <w:tcBorders>
              <w:left w:val="single" w:sz="8" w:color="auto"/>
            </w:tcBorders>
          </w:tcPr>
          <w:p>
            <w:pPr>
              <w:spacing w:after="0"/>
              <w:rPr>
                <w:sz w:val="9"/>
                <w:szCs w:val="9"/>
                <w:color w:val="auto"/>
              </w:rPr>
            </w:pPr>
          </w:p>
        </w:tc>
        <w:tc>
          <w:tcPr>
            <w:tcW w:w="2440" w:type="dxa"/>
            <w:vAlign w:val="bottom"/>
            <w:gridSpan w:val="3"/>
          </w:tcPr>
          <w:p>
            <w:pPr>
              <w:spacing w:after="0" w:line="110"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Borders>
              <w:right w:val="single" w:sz="8" w:color="auto"/>
            </w:tcBorders>
            <w:gridSpan w:val="4"/>
          </w:tcPr>
          <w:p>
            <w:pPr>
              <w:spacing w:after="0" w:line="110"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29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3"/>
                <w:szCs w:val="13"/>
                <w:color w:val="auto"/>
              </w:rPr>
              <w:t>11/01/2015 – 11/01/2016</w:t>
            </w:r>
          </w:p>
        </w:tc>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Personal Property (Replacement cost)</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Property Deductible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Neighbors and Tenants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Blanket Limit of Insurance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Aggregate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Products/Completed Operations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Advertising Injury/Personal Injury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Medical Expenses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Damage to Premises Rented to You</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 Owned, Hired &amp; Non-owned Liability</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Hired Auto Medical</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w w:val="99"/>
              </w:rPr>
              <w:t>Foreign Voluntary Workers Compensation</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Repatriation Expense</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Exposure Basis</w:t>
            </w: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SECTION IX</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780" w:type="dxa"/>
            <w:vAlign w:val="bottom"/>
            <w:tcBorders>
              <w:left w:val="single" w:sz="8" w:color="auto"/>
            </w:tcBorders>
            <w:gridSpan w:val="3"/>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4"/>
        </w:trPr>
        <w:tc>
          <w:tcPr>
            <w:tcW w:w="25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SURETY - ERISA</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80" w:type="dxa"/>
            <w:vAlign w:val="bottom"/>
            <w:gridSpan w:val="5"/>
          </w:tcPr>
          <w:p>
            <w:pPr>
              <w:ind w:left="60"/>
              <w:spacing w:after="0" w:line="108" w:lineRule="exact"/>
              <w:rPr>
                <w:sz w:val="20"/>
                <w:szCs w:val="20"/>
                <w:color w:val="auto"/>
              </w:rPr>
            </w:pPr>
            <w:r>
              <w:rPr>
                <w:rFonts w:ascii="Arial" w:cs="Arial" w:eastAsia="Arial" w:hAnsi="Arial"/>
                <w:sz w:val="12"/>
                <w:szCs w:val="12"/>
                <w:b w:val="1"/>
                <w:bCs w:val="1"/>
                <w:color w:val="auto"/>
              </w:rPr>
              <w:t>2014-2017</w:t>
            </w:r>
          </w:p>
        </w:tc>
        <w:tc>
          <w:tcPr>
            <w:tcW w:w="23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3060" w:type="dxa"/>
            <w:vAlign w:val="bottom"/>
            <w:tcBorders>
              <w:right w:val="single" w:sz="8" w:color="auto"/>
            </w:tcBorders>
            <w:gridSpan w:val="5"/>
          </w:tcPr>
          <w:p>
            <w:pPr>
              <w:spacing w:after="0" w:line="105" w:lineRule="exact"/>
              <w:rPr>
                <w:sz w:val="20"/>
                <w:szCs w:val="20"/>
                <w:color w:val="auto"/>
              </w:rPr>
            </w:pPr>
            <w:r>
              <w:rPr>
                <w:rFonts w:ascii="Arial" w:cs="Arial" w:eastAsia="Arial" w:hAnsi="Arial"/>
                <w:sz w:val="12"/>
                <w:szCs w:val="12"/>
                <w:color w:val="auto"/>
              </w:rPr>
              <w:t>Westfield Insurance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3"/>
                <w:szCs w:val="13"/>
                <w:color w:val="auto"/>
              </w:rPr>
              <w:t>11/18/2014 – 11/18/2017</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Fiduciary Liability</w:t>
            </w:r>
          </w:p>
        </w:tc>
        <w:tc>
          <w:tcPr>
            <w:tcW w:w="34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Covered Entities</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Plan Name</w:t>
            </w:r>
          </w:p>
        </w:tc>
        <w:tc>
          <w:tcPr>
            <w:tcW w:w="60" w:type="dxa"/>
            <w:vAlign w:val="bottom"/>
            <w:tcBorders>
              <w:bottom w:val="single" w:sz="8" w:color="auto"/>
            </w:tcBorders>
          </w:tcPr>
          <w:p>
            <w:pPr>
              <w:spacing w:after="0"/>
              <w:rPr>
                <w:sz w:val="10"/>
                <w:szCs w:val="10"/>
                <w:color w:val="auto"/>
              </w:rPr>
            </w:pPr>
          </w:p>
        </w:tc>
        <w:tc>
          <w:tcPr>
            <w:tcW w:w="3060" w:type="dxa"/>
            <w:vAlign w:val="bottom"/>
            <w:tcBorders>
              <w:bottom w:val="single" w:sz="8" w:color="auto"/>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USA Technologies, Inc. 401(k) Plan</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24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Policy Term</w:t>
            </w:r>
          </w:p>
        </w:tc>
        <w:tc>
          <w:tcPr>
            <w:tcW w:w="34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2" w:name="page243"/>
    <w:bookmarkEnd w:id="242"/>
    <w:p>
      <w:pPr>
        <w:ind w:left="120"/>
        <w:spacing w:after="0"/>
        <w:rPr>
          <w:sz w:val="20"/>
          <w:szCs w:val="20"/>
          <w:color w:val="auto"/>
        </w:rPr>
      </w:pPr>
      <w:r>
        <w:rPr>
          <w:rFonts w:ascii="Arial" w:cs="Arial" w:eastAsia="Arial" w:hAnsi="Arial"/>
          <w:sz w:val="13"/>
          <w:szCs w:val="13"/>
          <w:color w:val="auto"/>
        </w:rPr>
        <w:t>* Limit must be equal to a minimum of *** of the amount invested in the plan subject to $*** Min and $*** Max. As of 9/30/2015 the plan balance was $.</w:t>
      </w:r>
    </w:p>
    <w:p>
      <w:pPr>
        <w:spacing w:after="0" w:line="122" w:lineRule="exact"/>
        <w:rPr>
          <w:sz w:val="20"/>
          <w:szCs w:val="20"/>
          <w:color w:val="auto"/>
        </w:rPr>
      </w:pPr>
    </w:p>
    <w:tbl>
      <w:tblPr>
        <w:tblLayout w:type="fixed"/>
        <w:tblInd w:w="130" w:type="dxa"/>
        <w:tblCellMar>
          <w:top w:w="0" w:type="dxa"/>
          <w:left w:w="0" w:type="dxa"/>
          <w:bottom w:w="0" w:type="dxa"/>
          <w:right w:w="0" w:type="dxa"/>
        </w:tblCellMar>
      </w:tblPr>
      <w:tr>
        <w:trPr>
          <w:trHeight w:val="170"/>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CRIME</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70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160" w:type="dxa"/>
            <w:vAlign w:val="bottom"/>
            <w:gridSpan w:val="5"/>
          </w:tcPr>
          <w:p>
            <w:pPr>
              <w:ind w:left="80"/>
              <w:spacing w:after="0" w:line="108" w:lineRule="exact"/>
              <w:rPr>
                <w:sz w:val="20"/>
                <w:szCs w:val="20"/>
                <w:color w:val="auto"/>
              </w:rPr>
            </w:pPr>
            <w:r>
              <w:rPr>
                <w:rFonts w:ascii="Arial" w:cs="Arial" w:eastAsia="Arial" w:hAnsi="Arial"/>
                <w:sz w:val="12"/>
                <w:szCs w:val="12"/>
                <w:b w:val="1"/>
                <w:bCs w:val="1"/>
                <w:color w:val="auto"/>
              </w:rPr>
              <w:t>2016-2017</w:t>
            </w:r>
          </w:p>
        </w:tc>
        <w:tc>
          <w:tcPr>
            <w:tcW w:w="2480" w:type="dxa"/>
            <w:vAlign w:val="bottom"/>
            <w:tcBorders>
              <w:right w:val="single" w:sz="8" w:color="auto"/>
            </w:tcBorders>
          </w:tcPr>
          <w:p>
            <w:pPr>
              <w:spacing w:after="0"/>
              <w:rPr>
                <w:sz w:val="9"/>
                <w:szCs w:val="9"/>
                <w:color w:val="auto"/>
              </w:rPr>
            </w:pP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Insurance Company/Policy</w:t>
            </w: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auto"/>
              </w:rPr>
              <w:t>Chubb</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3640" w:type="dxa"/>
            <w:vAlign w:val="bottom"/>
            <w:tcBorders>
              <w:right w:val="single" w:sz="8" w:color="auto"/>
            </w:tcBorders>
            <w:gridSpan w:val="6"/>
          </w:tcPr>
          <w:p>
            <w:pPr>
              <w:ind w:left="8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Period</w:t>
            </w:r>
          </w:p>
        </w:tc>
        <w:tc>
          <w:tcPr>
            <w:tcW w:w="3320" w:type="dxa"/>
            <w:vAlign w:val="bottom"/>
            <w:tcBorders>
              <w:bottom w:val="single" w:sz="8" w:color="auto"/>
              <w:right w:val="single" w:sz="8" w:color="auto"/>
            </w:tcBorders>
            <w:gridSpan w:val="6"/>
          </w:tcPr>
          <w:p>
            <w:pPr>
              <w:ind w:left="60"/>
              <w:spacing w:after="0"/>
              <w:rPr>
                <w:sz w:val="20"/>
                <w:szCs w:val="20"/>
                <w:color w:val="auto"/>
              </w:rPr>
            </w:pPr>
            <w:r>
              <w:rPr>
                <w:rFonts w:ascii="Arial" w:cs="Arial" w:eastAsia="Arial" w:hAnsi="Arial"/>
                <w:sz w:val="13"/>
                <w:szCs w:val="13"/>
                <w:color w:val="auto"/>
              </w:rPr>
              <w:t>11/01/2015 – 11/01/2016</w:t>
            </w:r>
          </w:p>
        </w:tc>
        <w:tc>
          <w:tcPr>
            <w:tcW w:w="364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Employee Dishonesty</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Premises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In Transit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Forgery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Computer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Funds Transfer Fraud</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3"/>
          </w:tcPr>
          <w:p>
            <w:pPr>
              <w:spacing w:after="0" w:line="105" w:lineRule="exact"/>
              <w:rPr>
                <w:sz w:val="20"/>
                <w:szCs w:val="20"/>
                <w:color w:val="auto"/>
              </w:rPr>
            </w:pPr>
            <w:r>
              <w:rPr>
                <w:rFonts w:ascii="Arial" w:cs="Arial" w:eastAsia="Arial" w:hAnsi="Arial"/>
                <w:sz w:val="12"/>
                <w:szCs w:val="12"/>
                <w:color w:val="auto"/>
              </w:rPr>
              <w:t>Money Order and Counterfeit</w:t>
            </w:r>
          </w:p>
        </w:tc>
        <w:tc>
          <w:tcPr>
            <w:tcW w:w="640" w:type="dxa"/>
            <w:vAlign w:val="bottom"/>
            <w:gridSpan w:val="2"/>
          </w:tcPr>
          <w:p>
            <w:pPr>
              <w:ind w:left="6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520" w:type="dxa"/>
            <w:vAlign w:val="bottom"/>
            <w:gridSpan w:val="2"/>
          </w:tcPr>
          <w:p>
            <w:pPr>
              <w:ind w:left="80"/>
              <w:spacing w:after="0" w:line="10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Currency Fraud Coverage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Fraud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Client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Expense Coverage</w:t>
            </w: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47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SECTION X</w:t>
            </w:r>
          </w:p>
        </w:tc>
        <w:tc>
          <w:tcPr>
            <w:tcW w:w="1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44"/>
        </w:trPr>
        <w:tc>
          <w:tcPr>
            <w:tcW w:w="1840" w:type="dxa"/>
            <w:vAlign w:val="bottom"/>
            <w:tcBorders>
              <w:bottom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INLAND MARINE</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174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62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2014-2015</w:t>
            </w:r>
          </w:p>
        </w:tc>
        <w:tc>
          <w:tcPr>
            <w:tcW w:w="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3120" w:type="dxa"/>
            <w:vAlign w:val="bottom"/>
            <w:tcBorders>
              <w:right w:val="single" w:sz="8" w:color="auto"/>
            </w:tcBorders>
            <w:gridSpan w:val="4"/>
          </w:tcPr>
          <w:p>
            <w:pPr>
              <w:ind w:left="60"/>
              <w:spacing w:after="0" w:line="108" w:lineRule="exact"/>
              <w:rPr>
                <w:sz w:val="20"/>
                <w:szCs w:val="20"/>
                <w:color w:val="auto"/>
              </w:rPr>
            </w:pPr>
            <w:r>
              <w:rPr>
                <w:rFonts w:ascii="Arial" w:cs="Arial" w:eastAsia="Arial" w:hAnsi="Arial"/>
                <w:sz w:val="12"/>
                <w:szCs w:val="12"/>
                <w:b w:val="1"/>
                <w:bCs w:val="1"/>
                <w:color w:val="auto"/>
              </w:rPr>
              <w:t>2015-2016</w:t>
            </w:r>
          </w:p>
        </w:tc>
      </w:tr>
      <w:tr>
        <w:trPr>
          <w:trHeight w:val="44"/>
        </w:trPr>
        <w:tc>
          <w:tcPr>
            <w:tcW w:w="10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2440" w:type="dxa"/>
            <w:vAlign w:val="bottom"/>
            <w:tcBorders>
              <w:right w:val="single" w:sz="8" w:color="auto"/>
            </w:tcBorders>
            <w:gridSpan w:val="6"/>
          </w:tcPr>
          <w:p>
            <w:pPr>
              <w:spacing w:after="0" w:line="105" w:lineRule="exact"/>
              <w:rPr>
                <w:sz w:val="20"/>
                <w:szCs w:val="20"/>
                <w:color w:val="auto"/>
              </w:rPr>
            </w:pPr>
            <w:r>
              <w:rPr>
                <w:rFonts w:ascii="Arial" w:cs="Arial" w:eastAsia="Arial" w:hAnsi="Arial"/>
                <w:sz w:val="12"/>
                <w:szCs w:val="12"/>
                <w:color w:val="auto"/>
              </w:rPr>
              <w:t>Insurance Company/Policy Period</w:t>
            </w:r>
          </w:p>
        </w:tc>
        <w:tc>
          <w:tcPr>
            <w:tcW w:w="60" w:type="dxa"/>
            <w:vAlign w:val="bottom"/>
          </w:tcPr>
          <w:p>
            <w:pPr>
              <w:spacing w:after="0"/>
              <w:rPr>
                <w:sz w:val="9"/>
                <w:szCs w:val="9"/>
                <w:color w:val="auto"/>
              </w:rPr>
            </w:pPr>
          </w:p>
        </w:tc>
        <w:tc>
          <w:tcPr>
            <w:tcW w:w="2560" w:type="dxa"/>
            <w:vAlign w:val="bottom"/>
            <w:gridSpan w:val="2"/>
          </w:tcPr>
          <w:p>
            <w:pPr>
              <w:spacing w:after="0" w:line="105" w:lineRule="exact"/>
              <w:rPr>
                <w:sz w:val="20"/>
                <w:szCs w:val="20"/>
                <w:color w:val="auto"/>
              </w:rPr>
            </w:pPr>
            <w:r>
              <w:rPr>
                <w:rFonts w:ascii="Arial" w:cs="Arial" w:eastAsia="Arial" w:hAnsi="Arial"/>
                <w:sz w:val="12"/>
                <w:szCs w:val="12"/>
                <w:color w:val="auto"/>
              </w:rPr>
              <w:t>Chubb</w:t>
            </w:r>
          </w:p>
        </w:tc>
        <w:tc>
          <w:tcPr>
            <w:tcW w:w="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3120" w:type="dxa"/>
            <w:vAlign w:val="bottom"/>
            <w:tcBorders>
              <w:right w:val="single" w:sz="8" w:color="auto"/>
            </w:tcBorders>
            <w:gridSpan w:val="4"/>
          </w:tcPr>
          <w:p>
            <w:pPr>
              <w:ind w:left="60"/>
              <w:spacing w:after="0" w:line="105" w:lineRule="exact"/>
              <w:rPr>
                <w:sz w:val="20"/>
                <w:szCs w:val="20"/>
                <w:color w:val="auto"/>
              </w:rPr>
            </w:pPr>
            <w:r>
              <w:rPr>
                <w:rFonts w:ascii="Arial" w:cs="Arial" w:eastAsia="Arial" w:hAnsi="Arial"/>
                <w:sz w:val="12"/>
                <w:szCs w:val="12"/>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06/20/2014 – 06/20/2015</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3"/>
                <w:szCs w:val="13"/>
                <w:color w:val="auto"/>
              </w:rPr>
              <w:t>06/20/2015 – 06/20/2016</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Credit Card Devices</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3"/>
          </w:tcPr>
          <w:p>
            <w:pPr>
              <w:ind w:left="6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Loss Payee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3"/>
                <w:szCs w:val="13"/>
                <w:color w:val="auto"/>
              </w:rPr>
              <w:t>Varilease Finance, Inc. and Its Assigns</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3120" w:type="dxa"/>
            <w:vAlign w:val="bottom"/>
            <w:tcBorders>
              <w:bottom w:val="single" w:sz="8" w:color="auto"/>
              <w:right w:val="single" w:sz="8" w:color="auto"/>
            </w:tcBorders>
            <w:gridSpan w:val="4"/>
          </w:tcPr>
          <w:p>
            <w:pPr>
              <w:ind w:left="60"/>
              <w:spacing w:after="0" w:line="126" w:lineRule="exact"/>
              <w:rPr>
                <w:sz w:val="20"/>
                <w:szCs w:val="20"/>
                <w:color w:val="auto"/>
              </w:rPr>
            </w:pPr>
            <w:r>
              <w:rPr>
                <w:rFonts w:ascii="Arial" w:cs="Arial" w:eastAsia="Arial" w:hAnsi="Arial"/>
                <w:sz w:val="13"/>
                <w:szCs w:val="13"/>
                <w:color w:val="auto"/>
              </w:rPr>
              <w:t>Varilease Finance, Inc. and Its Assigns</w:t>
            </w:r>
          </w:p>
        </w:tc>
      </w:tr>
      <w:tr>
        <w:trPr>
          <w:trHeight w:val="363"/>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OCEAN MARINE</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115"/>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2"/>
                <w:szCs w:val="12"/>
                <w:b w:val="1"/>
                <w:bCs w:val="1"/>
                <w:color w:val="auto"/>
              </w:rPr>
              <w:t>Description</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gridSpan w:val="3"/>
          </w:tcPr>
          <w:p>
            <w:pPr>
              <w:ind w:left="60"/>
              <w:spacing w:after="0" w:line="108" w:lineRule="exact"/>
              <w:rPr>
                <w:sz w:val="20"/>
                <w:szCs w:val="20"/>
                <w:color w:val="auto"/>
              </w:rPr>
            </w:pPr>
            <w:r>
              <w:rPr>
                <w:rFonts w:ascii="Arial" w:cs="Arial" w:eastAsia="Arial" w:hAnsi="Arial"/>
                <w:sz w:val="12"/>
                <w:szCs w:val="12"/>
                <w:b w:val="1"/>
                <w:bCs w:val="1"/>
                <w:color w:val="auto"/>
              </w:rPr>
              <w:t>2015-2016</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line="108" w:lineRule="exact"/>
              <w:rPr>
                <w:sz w:val="20"/>
                <w:szCs w:val="20"/>
                <w:color w:val="auto"/>
              </w:rPr>
            </w:pPr>
            <w:r>
              <w:rPr>
                <w:rFonts w:ascii="Arial" w:cs="Arial" w:eastAsia="Arial" w:hAnsi="Arial"/>
                <w:sz w:val="12"/>
                <w:szCs w:val="12"/>
                <w:b w:val="1"/>
                <w:bCs w:val="1"/>
                <w:color w:val="auto"/>
              </w:rPr>
              <w:t>2016-2017</w:t>
            </w:r>
          </w:p>
        </w:tc>
        <w:tc>
          <w:tcPr>
            <w:tcW w:w="2480" w:type="dxa"/>
            <w:vAlign w:val="bottom"/>
            <w:tcBorders>
              <w:bottom w:val="single" w:sz="8" w:color="auto"/>
              <w:right w:val="single" w:sz="8" w:color="auto"/>
            </w:tcBorders>
          </w:tcPr>
          <w:p>
            <w:pPr>
              <w:spacing w:after="0"/>
              <w:rPr>
                <w:sz w:val="10"/>
                <w:szCs w:val="10"/>
                <w:color w:val="auto"/>
              </w:rPr>
            </w:pPr>
          </w:p>
        </w:tc>
      </w:tr>
      <w:tr>
        <w:trPr>
          <w:trHeight w:val="115"/>
        </w:trPr>
        <w:tc>
          <w:tcPr>
            <w:tcW w:w="100" w:type="dxa"/>
            <w:vAlign w:val="bottom"/>
            <w:tcBorders>
              <w:left w:val="single" w:sz="8" w:color="auto"/>
            </w:tcBorders>
          </w:tcPr>
          <w:p>
            <w:pPr>
              <w:spacing w:after="0"/>
              <w:rPr>
                <w:sz w:val="10"/>
                <w:szCs w:val="10"/>
                <w:color w:val="auto"/>
              </w:rPr>
            </w:pPr>
          </w:p>
        </w:tc>
        <w:tc>
          <w:tcPr>
            <w:tcW w:w="2440" w:type="dxa"/>
            <w:vAlign w:val="bottom"/>
            <w:tcBorders>
              <w:right w:val="single" w:sz="8" w:color="auto"/>
            </w:tcBorders>
            <w:gridSpan w:val="6"/>
          </w:tcPr>
          <w:p>
            <w:pPr>
              <w:spacing w:after="0" w:line="115" w:lineRule="exact"/>
              <w:rPr>
                <w:sz w:val="20"/>
                <w:szCs w:val="20"/>
                <w:color w:val="auto"/>
              </w:rPr>
            </w:pPr>
            <w:r>
              <w:rPr>
                <w:rFonts w:ascii="Arial" w:cs="Arial" w:eastAsia="Arial" w:hAnsi="Arial"/>
                <w:sz w:val="13"/>
                <w:szCs w:val="13"/>
                <w:color w:val="auto"/>
              </w:rPr>
              <w:t>Insurance Company/Policy Period</w:t>
            </w:r>
          </w:p>
        </w:tc>
        <w:tc>
          <w:tcPr>
            <w:tcW w:w="60" w:type="dxa"/>
            <w:vAlign w:val="bottom"/>
          </w:tcPr>
          <w:p>
            <w:pPr>
              <w:spacing w:after="0"/>
              <w:rPr>
                <w:sz w:val="10"/>
                <w:szCs w:val="10"/>
                <w:color w:val="auto"/>
              </w:rPr>
            </w:pPr>
          </w:p>
        </w:tc>
        <w:tc>
          <w:tcPr>
            <w:tcW w:w="2560" w:type="dxa"/>
            <w:vAlign w:val="bottom"/>
            <w:gridSpan w:val="2"/>
          </w:tcPr>
          <w:p>
            <w:pPr>
              <w:spacing w:after="0" w:line="115" w:lineRule="exact"/>
              <w:rPr>
                <w:sz w:val="20"/>
                <w:szCs w:val="20"/>
                <w:color w:val="auto"/>
              </w:rPr>
            </w:pPr>
            <w:r>
              <w:rPr>
                <w:rFonts w:ascii="Arial" w:cs="Arial" w:eastAsia="Arial" w:hAnsi="Arial"/>
                <w:sz w:val="13"/>
                <w:szCs w:val="13"/>
                <w:color w:val="auto"/>
              </w:rPr>
              <w:t>Chubb</w:t>
            </w:r>
          </w:p>
        </w:tc>
        <w:tc>
          <w:tcPr>
            <w:tcW w:w="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gridSpan w:val="4"/>
          </w:tcPr>
          <w:p>
            <w:pPr>
              <w:ind w:left="40"/>
              <w:spacing w:after="0" w:line="115" w:lineRule="exact"/>
              <w:rPr>
                <w:sz w:val="20"/>
                <w:szCs w:val="20"/>
                <w:color w:val="auto"/>
              </w:rPr>
            </w:pPr>
            <w:r>
              <w:rPr>
                <w:rFonts w:ascii="Arial" w:cs="Arial" w:eastAsia="Arial" w:hAnsi="Arial"/>
                <w:sz w:val="13"/>
                <w:szCs w:val="13"/>
                <w:color w:val="auto"/>
              </w:rPr>
              <w:t>Chubb</w:t>
            </w: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11/01/2015 – 11/01/2016</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3"/>
                <w:szCs w:val="13"/>
                <w:color w:val="auto"/>
              </w:rPr>
              <w:t>11/01/2016 – 11/01/2017</w:t>
            </w: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74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Any One Conveyance</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ind w:left="60"/>
              <w:spacing w:after="0" w:line="126" w:lineRule="exact"/>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line="126" w:lineRule="exact"/>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spacing w:after="0"/>
              <w:rPr>
                <w:sz w:val="10"/>
                <w:szCs w:val="10"/>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243" w:name="page244"/>
    <w:bookmarkEnd w:id="243"/>
    <w:tbl>
      <w:tblPr>
        <w:tblLayout w:type="fixed"/>
        <w:tblInd w:w="130" w:type="dxa"/>
        <w:tblCellMar>
          <w:top w:w="0" w:type="dxa"/>
          <w:left w:w="0" w:type="dxa"/>
          <w:bottom w:w="0" w:type="dxa"/>
          <w:right w:w="0" w:type="dxa"/>
        </w:tblCellMar>
      </w:tblPr>
      <w:tr>
        <w:trPr>
          <w:trHeight w:val="181"/>
        </w:trPr>
        <w:tc>
          <w:tcPr>
            <w:tcW w:w="100" w:type="dxa"/>
            <w:vAlign w:val="bottom"/>
            <w:tcBorders>
              <w:top w:val="single" w:sz="8" w:color="auto"/>
              <w:left w:val="single" w:sz="8" w:color="auto"/>
            </w:tcBorders>
          </w:tcPr>
          <w:p>
            <w:pPr>
              <w:spacing w:after="0"/>
              <w:rPr>
                <w:sz w:val="15"/>
                <w:szCs w:val="15"/>
                <w:color w:val="auto"/>
              </w:rPr>
            </w:pPr>
          </w:p>
        </w:tc>
        <w:tc>
          <w:tcPr>
            <w:tcW w:w="1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3"/>
                <w:szCs w:val="13"/>
                <w:color w:val="auto"/>
              </w:rPr>
              <w:t>Sublimits:</w:t>
            </w: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ind w:right="16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tcBorders>
          </w:tcPr>
          <w:p>
            <w:pPr>
              <w:jc w:val="right"/>
              <w:ind w:right="1054"/>
              <w:spacing w:after="0"/>
              <w:rPr>
                <w:sz w:val="20"/>
                <w:szCs w:val="20"/>
                <w:color w:val="auto"/>
              </w:rPr>
            </w:pPr>
            <w:r>
              <w:rPr>
                <w:rFonts w:ascii="Arial" w:cs="Arial" w:eastAsia="Arial" w:hAnsi="Arial"/>
                <w:sz w:val="13"/>
                <w:szCs w:val="13"/>
                <w:color w:val="auto"/>
              </w:rPr>
              <w:t>***</w:t>
            </w:r>
          </w:p>
        </w:tc>
        <w:tc>
          <w:tcPr>
            <w:tcW w:w="17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On Deck Bill Of Lading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Mail or Parcel Post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Messenger Limit</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Barge Limit</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tcBorders>
          </w:tcPr>
          <w:p>
            <w:pPr>
              <w:spacing w:after="0"/>
              <w:rPr>
                <w:sz w:val="9"/>
                <w:szCs w:val="9"/>
                <w:color w:val="auto"/>
              </w:rPr>
            </w:pPr>
          </w:p>
        </w:tc>
        <w:tc>
          <w:tcPr>
            <w:tcW w:w="1920" w:type="dxa"/>
            <w:vAlign w:val="bottom"/>
            <w:gridSpan w:val="3"/>
          </w:tcPr>
          <w:p>
            <w:pPr>
              <w:spacing w:after="0" w:line="105" w:lineRule="exact"/>
              <w:rPr>
                <w:sz w:val="20"/>
                <w:szCs w:val="20"/>
                <w:color w:val="auto"/>
              </w:rPr>
            </w:pPr>
            <w:r>
              <w:rPr>
                <w:rFonts w:ascii="Arial" w:cs="Arial" w:eastAsia="Arial" w:hAnsi="Arial"/>
                <w:sz w:val="12"/>
                <w:szCs w:val="12"/>
                <w:color w:val="auto"/>
              </w:rPr>
              <w:t>Additional Coverage:</w:t>
            </w:r>
          </w:p>
        </w:tc>
        <w:tc>
          <w:tcPr>
            <w:tcW w:w="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940" w:type="dxa"/>
            <w:vAlign w:val="bottom"/>
            <w:gridSpan w:val="2"/>
          </w:tcPr>
          <w:p>
            <w:pPr>
              <w:jc w:val="right"/>
              <w:ind w:right="1660"/>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380" w:type="dxa"/>
            <w:vAlign w:val="bottom"/>
          </w:tcPr>
          <w:p>
            <w:pPr>
              <w:jc w:val="right"/>
              <w:ind w:right="1054"/>
              <w:spacing w:after="0" w:line="105" w:lineRule="exact"/>
              <w:rPr>
                <w:sz w:val="20"/>
                <w:szCs w:val="20"/>
                <w:color w:val="auto"/>
              </w:rPr>
            </w:pPr>
            <w:r>
              <w:rPr>
                <w:rFonts w:ascii="Arial" w:cs="Arial" w:eastAsia="Arial" w:hAnsi="Arial"/>
                <w:sz w:val="12"/>
                <w:szCs w:val="12"/>
                <w:color w:val="auto"/>
              </w:rPr>
              <w:t>***</w:t>
            </w: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Consolidation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Exhibition</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auto"/>
            </w:tcBorders>
          </w:tcPr>
          <w:p>
            <w:pPr>
              <w:spacing w:after="0"/>
              <w:rPr>
                <w:sz w:val="11"/>
                <w:szCs w:val="11"/>
                <w:color w:val="auto"/>
              </w:rPr>
            </w:pPr>
          </w:p>
        </w:tc>
        <w:tc>
          <w:tcPr>
            <w:tcW w:w="192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Extra Expense</w:t>
            </w: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Borders>
              <w:left w:val="single" w:sz="8" w:color="auto"/>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Salesperson Samples</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War Risk</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Deductible</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3"/>
                <w:szCs w:val="13"/>
                <w:color w:val="auto"/>
              </w:rPr>
              <w:t>Merchandise Insured</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gridSpan w:val="2"/>
          </w:tcPr>
          <w:p>
            <w:pPr>
              <w:jc w:val="right"/>
              <w:ind w:right="1660"/>
              <w:spacing w:after="0" w:line="12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right"/>
              <w:ind w:right="1054"/>
              <w:spacing w:after="0" w:line="12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20" w:type="dxa"/>
            <w:vAlign w:val="bottom"/>
            <w:gridSpan w:val="4"/>
          </w:tcPr>
          <w:p>
            <w:pPr>
              <w:spacing w:after="0"/>
              <w:rPr>
                <w:sz w:val="20"/>
                <w:szCs w:val="20"/>
                <w:color w:val="auto"/>
              </w:rPr>
            </w:pPr>
            <w:r>
              <w:rPr>
                <w:rFonts w:ascii="Arial" w:cs="Arial" w:eastAsia="Arial" w:hAnsi="Arial"/>
                <w:sz w:val="13"/>
                <w:szCs w:val="13"/>
                <w:b w:val="1"/>
                <w:bCs w:val="1"/>
                <w:color w:val="auto"/>
              </w:rPr>
              <w:t>SECTION XI</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PREMIUM</w:t>
            </w:r>
          </w:p>
        </w:tc>
        <w:tc>
          <w:tcPr>
            <w:tcW w:w="1240" w:type="dxa"/>
            <w:vAlign w:val="bottom"/>
          </w:tcPr>
          <w:p>
            <w:pPr>
              <w:spacing w:after="0"/>
              <w:rPr>
                <w:sz w:val="20"/>
                <w:szCs w:val="20"/>
                <w:color w:val="auto"/>
              </w:rPr>
            </w:pPr>
            <w:r>
              <w:rPr>
                <w:rFonts w:ascii="Arial" w:cs="Arial" w:eastAsia="Arial" w:hAnsi="Arial"/>
                <w:sz w:val="13"/>
                <w:szCs w:val="13"/>
                <w:b w:val="1"/>
                <w:bCs w:val="1"/>
                <w:color w:val="auto"/>
                <w:w w:val="97"/>
              </w:rPr>
              <w:t>SUMMARY – Chubb</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0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40" w:type="dxa"/>
            <w:vAlign w:val="bottom"/>
            <w:tcBorders>
              <w:right w:val="single" w:sz="8" w:color="auto"/>
            </w:tcBorders>
            <w:gridSpan w:val="4"/>
          </w:tcPr>
          <w:p>
            <w:pPr>
              <w:ind w:left="80"/>
              <w:spacing w:after="0" w:line="117" w:lineRule="exact"/>
              <w:rPr>
                <w:sz w:val="20"/>
                <w:szCs w:val="20"/>
                <w:color w:val="auto"/>
              </w:rPr>
            </w:pPr>
            <w:r>
              <w:rPr>
                <w:rFonts w:ascii="Arial" w:cs="Arial" w:eastAsia="Arial" w:hAnsi="Arial"/>
                <w:sz w:val="13"/>
                <w:szCs w:val="13"/>
                <w:b w:val="1"/>
                <w:bCs w:val="1"/>
                <w:color w:val="auto"/>
              </w:rPr>
              <w:t>2015-2016</w:t>
            </w:r>
          </w:p>
        </w:tc>
        <w:tc>
          <w:tcPr>
            <w:tcW w:w="1200" w:type="dxa"/>
            <w:vAlign w:val="bottom"/>
            <w:gridSpan w:val="4"/>
          </w:tcPr>
          <w:p>
            <w:pPr>
              <w:ind w:left="80"/>
              <w:spacing w:after="0" w:line="117" w:lineRule="exact"/>
              <w:rPr>
                <w:sz w:val="20"/>
                <w:szCs w:val="20"/>
                <w:color w:val="auto"/>
              </w:rPr>
            </w:pPr>
            <w:r>
              <w:rPr>
                <w:rFonts w:ascii="Arial" w:cs="Arial" w:eastAsia="Arial" w:hAnsi="Arial"/>
                <w:sz w:val="13"/>
                <w:szCs w:val="13"/>
                <w:b w:val="1"/>
                <w:bCs w:val="1"/>
                <w:color w:val="auto"/>
              </w:rPr>
              <w:t>2016-2017</w:t>
            </w:r>
          </w:p>
        </w:tc>
        <w:tc>
          <w:tcPr>
            <w:tcW w:w="1380" w:type="dxa"/>
            <w:vAlign w:val="bottom"/>
            <w:tcBorders>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00" w:type="dxa"/>
            <w:vAlign w:val="bottom"/>
            <w:tcBorders>
              <w:left w:val="single" w:sz="8" w:color="auto"/>
            </w:tcBorders>
          </w:tcPr>
          <w:p>
            <w:pPr>
              <w:spacing w:after="0"/>
              <w:rPr>
                <w:sz w:val="4"/>
                <w:szCs w:val="4"/>
                <w:color w:val="auto"/>
              </w:rPr>
            </w:pPr>
          </w:p>
        </w:tc>
        <w:tc>
          <w:tcPr>
            <w:tcW w:w="192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spacing w:after="0" w:line="117" w:lineRule="exact"/>
              <w:rPr>
                <w:sz w:val="20"/>
                <w:szCs w:val="20"/>
                <w:color w:val="auto"/>
              </w:rPr>
            </w:pPr>
            <w:r>
              <w:rPr>
                <w:rFonts w:ascii="Arial" w:cs="Arial" w:eastAsia="Arial" w:hAnsi="Arial"/>
                <w:sz w:val="13"/>
                <w:szCs w:val="13"/>
                <w:b w:val="1"/>
                <w:bCs w:val="1"/>
                <w:color w:val="auto"/>
              </w:rPr>
              <w:t>Chubb</w:t>
            </w:r>
          </w:p>
        </w:tc>
        <w:tc>
          <w:tcPr>
            <w:tcW w:w="1780" w:type="dxa"/>
            <w:vAlign w:val="bottom"/>
            <w:tcBorders>
              <w:right w:val="single" w:sz="8" w:color="auto"/>
            </w:tcBorders>
            <w:vMerge w:val="restart"/>
          </w:tcPr>
          <w:p>
            <w:pPr>
              <w:spacing w:after="0"/>
              <w:rPr>
                <w:sz w:val="4"/>
                <w:szCs w:val="4"/>
                <w:color w:val="auto"/>
              </w:rPr>
            </w:pPr>
          </w:p>
        </w:tc>
        <w:tc>
          <w:tcPr>
            <w:tcW w:w="2580" w:type="dxa"/>
            <w:vAlign w:val="bottom"/>
            <w:tcBorders>
              <w:right w:val="single" w:sz="8" w:color="auto"/>
            </w:tcBorders>
            <w:gridSpan w:val="5"/>
            <w:vMerge w:val="restart"/>
          </w:tcPr>
          <w:p>
            <w:pPr>
              <w:ind w:left="80"/>
              <w:spacing w:after="0" w:line="117" w:lineRule="exact"/>
              <w:rPr>
                <w:sz w:val="20"/>
                <w:szCs w:val="20"/>
                <w:color w:val="auto"/>
              </w:rPr>
            </w:pPr>
            <w:r>
              <w:rPr>
                <w:rFonts w:ascii="Arial" w:cs="Arial" w:eastAsia="Arial" w:hAnsi="Arial"/>
                <w:sz w:val="13"/>
                <w:szCs w:val="13"/>
                <w:b w:val="1"/>
                <w:bCs w:val="1"/>
                <w:color w:val="auto"/>
              </w:rPr>
              <w:t>Chubb</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00" w:type="dxa"/>
            <w:vAlign w:val="bottom"/>
            <w:tcBorders>
              <w:left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780" w:type="dxa"/>
            <w:vAlign w:val="bottom"/>
            <w:tcBorders>
              <w:right w:val="single" w:sz="8" w:color="auto"/>
            </w:tcBorders>
            <w:vMerge w:val="continue"/>
          </w:tcPr>
          <w:p>
            <w:pPr>
              <w:spacing w:after="0"/>
              <w:rPr>
                <w:sz w:val="3"/>
                <w:szCs w:val="3"/>
                <w:color w:val="auto"/>
              </w:rPr>
            </w:pPr>
          </w:p>
        </w:tc>
        <w:tc>
          <w:tcPr>
            <w:tcW w:w="2580" w:type="dxa"/>
            <w:vAlign w:val="bottom"/>
            <w:tcBorders>
              <w:right w:val="single" w:sz="8" w:color="auto"/>
            </w:tcBorders>
            <w:gridSpan w:val="5"/>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3" w:lineRule="exact"/>
              <w:rPr>
                <w:sz w:val="20"/>
                <w:szCs w:val="20"/>
                <w:color w:val="auto"/>
              </w:rPr>
            </w:pPr>
            <w:r>
              <w:rPr>
                <w:rFonts w:ascii="Arial" w:cs="Arial" w:eastAsia="Arial" w:hAnsi="Arial"/>
                <w:sz w:val="13"/>
                <w:szCs w:val="13"/>
                <w:color w:val="auto"/>
              </w:rPr>
              <w:t>Property</w:t>
            </w:r>
          </w:p>
        </w:tc>
        <w:tc>
          <w:tcPr>
            <w:tcW w:w="50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General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E&amp;O/Cyber</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Auto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Workers Compensation</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Umbrella</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Liability</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Foreign Property</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Ocean Cargo</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0" w:type="dxa"/>
            <w:vAlign w:val="bottom"/>
            <w:tcBorders>
              <w:left w:val="single" w:sz="8" w:color="auto"/>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Basis</w:t>
            </w:r>
          </w:p>
        </w:tc>
        <w:tc>
          <w:tcPr>
            <w:tcW w:w="50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gridSpan w:val="2"/>
          </w:tcPr>
          <w:p>
            <w:pPr>
              <w:ind w:left="80"/>
              <w:spacing w:after="0" w:line="12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244" w:name="page245"/>
    <w:bookmarkEnd w:id="244"/>
    <w:p>
      <w:pPr>
        <w:jc w:val="center"/>
        <w:spacing w:after="0"/>
        <w:rPr>
          <w:sz w:val="20"/>
          <w:szCs w:val="20"/>
          <w:color w:val="auto"/>
        </w:rPr>
      </w:pPr>
      <w:r>
        <w:rPr>
          <w:rFonts w:ascii="Arial" w:cs="Arial" w:eastAsia="Arial" w:hAnsi="Arial"/>
          <w:sz w:val="13"/>
          <w:szCs w:val="13"/>
          <w:b w:val="1"/>
          <w:bCs w:val="1"/>
          <w:color w:val="auto"/>
        </w:rPr>
        <w:t>SCHEDULE 3.15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Capitalization and Subsidiaries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par value $0.01 per share</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par value $0.01 per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13"/>
          <w:szCs w:val="13"/>
          <w:b w:val="1"/>
          <w:bCs w:val="1"/>
          <w:color w:val="auto"/>
        </w:rPr>
        <w:t>SCHEDULE 6.01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Existing Indebtedness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2"/>
          <w:szCs w:val="12"/>
          <w:b w:val="1"/>
          <w:bCs w:val="1"/>
          <w:color w:val="auto"/>
        </w:rPr>
        <w:t>SCHEDULE 6.02</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Existing Liens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3"/>
          <w:szCs w:val="13"/>
          <w:b w:val="1"/>
          <w:bCs w:val="1"/>
          <w:color w:val="auto"/>
        </w:rPr>
        <w:t>SCHEDULE 6.04</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Investments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3"/>
          <w:szCs w:val="13"/>
          <w:b w:val="1"/>
          <w:bCs w:val="1"/>
          <w:color w:val="auto"/>
        </w:rPr>
        <w:t>SCHEDULE 6.10</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Restrictions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3"/>
          <w:szCs w:val="13"/>
          <w:b w:val="1"/>
          <w:bCs w:val="1"/>
          <w:color w:val="auto"/>
        </w:rPr>
        <w:t>SCHEDULES TO JPMORGAN CHASE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CANTALOUPE SYSTEMS, INC. (SUCCESSOR IN INTEREST TO USAT, INC.)</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3"/>
          <w:szCs w:val="13"/>
          <w:b w:val="1"/>
          <w:bCs w:val="1"/>
          <w:color w:val="auto"/>
        </w:rPr>
        <w:t>SCHEDULE 3.05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Properties, etc.</w:t>
      </w:r>
    </w:p>
    <w:p>
      <w:pPr>
        <w:spacing w:after="0" w:line="124" w:lineRule="exact"/>
        <w:rPr>
          <w:sz w:val="20"/>
          <w:szCs w:val="20"/>
          <w:color w:val="auto"/>
        </w:rPr>
      </w:pPr>
    </w:p>
    <w:p>
      <w:pPr>
        <w:ind w:left="560" w:right="4099" w:hanging="436"/>
        <w:spacing w:after="0" w:line="475" w:lineRule="auto"/>
        <w:tabs>
          <w:tab w:leader="none" w:pos="304"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Address of each parcel of real property that is owned or leased by any Loan Party Principal office: 612 Howard Street, Suite 600, San Francisco, CA 94105 Louisiana office: 3525 Hessmer Avenue, Suites 301 and 302, Metairie, LA 70002</w:t>
      </w:r>
    </w:p>
    <w:p>
      <w:pPr>
        <w:spacing w:after="0" w:line="1" w:lineRule="exact"/>
        <w:rPr>
          <w:rFonts w:ascii="Arial" w:cs="Arial" w:eastAsia="Arial" w:hAnsi="Arial"/>
          <w:sz w:val="12"/>
          <w:szCs w:val="12"/>
          <w:color w:val="auto"/>
        </w:rPr>
      </w:pPr>
    </w:p>
    <w:p>
      <w:pPr>
        <w:ind w:left="320" w:hanging="196"/>
        <w:spacing w:after="0"/>
        <w:tabs>
          <w:tab w:leader="none" w:pos="32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Trademarks, tradenames, copyrights, patents and other intellectual property</w:t>
      </w:r>
    </w:p>
    <w:p>
      <w:pPr>
        <w:spacing w:after="0" w:line="115"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Patents:</w:t>
            </w:r>
          </w:p>
        </w:tc>
        <w:tc>
          <w:tcPr>
            <w:tcW w:w="2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4"/>
        </w:trPr>
        <w:tc>
          <w:tcPr>
            <w:tcW w:w="480" w:type="dxa"/>
            <w:vAlign w:val="bottom"/>
            <w:tcBorders>
              <w:top w:val="single" w:sz="8" w:color="auto"/>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r>
      <w:tr>
        <w:trPr>
          <w:trHeight w:val="117"/>
        </w:trPr>
        <w:tc>
          <w:tcPr>
            <w:tcW w:w="480" w:type="dxa"/>
            <w:vAlign w:val="bottom"/>
            <w:tcBorders>
              <w:left w:val="single" w:sz="8" w:color="auto"/>
              <w:bottom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jc w:val="center"/>
              <w:ind w:right="433"/>
              <w:spacing w:after="0" w:line="117" w:lineRule="exact"/>
              <w:rPr>
                <w:sz w:val="20"/>
                <w:szCs w:val="20"/>
                <w:color w:val="auto"/>
              </w:rPr>
            </w:pPr>
            <w:r>
              <w:rPr>
                <w:rFonts w:ascii="Arial" w:cs="Arial" w:eastAsia="Arial" w:hAnsi="Arial"/>
                <w:sz w:val="13"/>
                <w:szCs w:val="13"/>
                <w:b w:val="1"/>
                <w:bCs w:val="1"/>
                <w:color w:val="auto"/>
                <w:w w:val="93"/>
              </w:rPr>
              <w:t>Patent Description</w:t>
            </w:r>
          </w:p>
        </w:tc>
        <w:tc>
          <w:tcPr>
            <w:tcW w:w="2460" w:type="dxa"/>
            <w:vAlign w:val="bottom"/>
            <w:tcBorders>
              <w:bottom w:val="single" w:sz="8" w:color="auto"/>
              <w:right w:val="single" w:sz="8" w:color="auto"/>
            </w:tcBorders>
          </w:tcPr>
          <w:p>
            <w:pPr>
              <w:jc w:val="right"/>
              <w:ind w:right="391"/>
              <w:spacing w:after="0" w:line="117" w:lineRule="exact"/>
              <w:rPr>
                <w:sz w:val="20"/>
                <w:szCs w:val="20"/>
                <w:color w:val="auto"/>
              </w:rPr>
            </w:pPr>
            <w:r>
              <w:rPr>
                <w:rFonts w:ascii="Arial" w:cs="Arial" w:eastAsia="Arial" w:hAnsi="Arial"/>
                <w:sz w:val="13"/>
                <w:szCs w:val="13"/>
                <w:b w:val="1"/>
                <w:bCs w:val="1"/>
                <w:color w:val="auto"/>
              </w:rPr>
              <w:t>Patent/Application Number</w:t>
            </w:r>
          </w:p>
        </w:tc>
        <w:tc>
          <w:tcPr>
            <w:tcW w:w="22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2"/>
              </w:rPr>
              <w:t>Issue Date</w:t>
            </w:r>
          </w:p>
        </w:tc>
        <w:tc>
          <w:tcPr>
            <w:tcW w:w="860" w:type="dxa"/>
            <w:vAlign w:val="bottom"/>
          </w:tcPr>
          <w:p>
            <w:pPr>
              <w:spacing w:after="0"/>
              <w:rPr>
                <w:sz w:val="10"/>
                <w:szCs w:val="10"/>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1"/>
              </w:rPr>
              <w:t>Remote management of vending machines</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US8103380</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1/24/2012</w:t>
            </w:r>
          </w:p>
        </w:tc>
        <w:tc>
          <w:tcPr>
            <w:tcW w:w="860" w:type="dxa"/>
            <w:vAlign w:val="bottom"/>
          </w:tcPr>
          <w:p>
            <w:pPr>
              <w:spacing w:after="0"/>
              <w:rPr>
                <w:sz w:val="11"/>
                <w:szCs w:val="11"/>
                <w:color w:val="auto"/>
              </w:rPr>
            </w:pPr>
          </w:p>
        </w:tc>
      </w:tr>
      <w:tr>
        <w:trPr>
          <w:trHeight w:val="108"/>
        </w:trPr>
        <w:tc>
          <w:tcPr>
            <w:tcW w:w="3260" w:type="dxa"/>
            <w:vAlign w:val="bottom"/>
            <w:tcBorders>
              <w:left w:val="single" w:sz="8" w:color="auto"/>
              <w:right w:val="single" w:sz="8" w:color="auto"/>
            </w:tcBorders>
            <w:gridSpan w:val="2"/>
          </w:tcPr>
          <w:p>
            <w:pPr>
              <w:jc w:val="center"/>
              <w:spacing w:after="0" w:line="108" w:lineRule="exact"/>
              <w:rPr>
                <w:sz w:val="20"/>
                <w:szCs w:val="20"/>
                <w:color w:val="auto"/>
              </w:rPr>
            </w:pPr>
            <w:r>
              <w:rPr>
                <w:rFonts w:ascii="Arial" w:cs="Arial" w:eastAsia="Arial" w:hAnsi="Arial"/>
                <w:sz w:val="12"/>
                <w:szCs w:val="12"/>
                <w:color w:val="auto"/>
              </w:rPr>
              <w:t>Remote diagnosis and repair of vending machine</w:t>
            </w:r>
          </w:p>
        </w:tc>
        <w:tc>
          <w:tcPr>
            <w:tcW w:w="24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US7325728</w:t>
            </w:r>
          </w:p>
        </w:tc>
        <w:tc>
          <w:tcPr>
            <w:tcW w:w="22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2/5/2008</w:t>
            </w:r>
          </w:p>
        </w:tc>
        <w:tc>
          <w:tcPr>
            <w:tcW w:w="860" w:type="dxa"/>
            <w:vAlign w:val="bottom"/>
          </w:tcPr>
          <w:p>
            <w:pPr>
              <w:spacing w:after="0"/>
              <w:rPr>
                <w:sz w:val="9"/>
                <w:szCs w:val="9"/>
                <w:color w:val="auto"/>
              </w:rPr>
            </w:pPr>
          </w:p>
        </w:tc>
      </w:tr>
      <w:tr>
        <w:trPr>
          <w:trHeight w:val="137"/>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7" w:lineRule="exact"/>
              <w:rPr>
                <w:sz w:val="20"/>
                <w:szCs w:val="20"/>
                <w:color w:val="auto"/>
              </w:rPr>
            </w:pPr>
            <w:r>
              <w:rPr>
                <w:rFonts w:ascii="Arial" w:cs="Arial" w:eastAsia="Arial" w:hAnsi="Arial"/>
                <w:sz w:val="13"/>
                <w:szCs w:val="13"/>
                <w:color w:val="auto"/>
                <w:w w:val="96"/>
              </w:rPr>
              <w:t>communication failures</w:t>
            </w:r>
          </w:p>
        </w:tc>
        <w:tc>
          <w:tcPr>
            <w:tcW w:w="246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3"/>
              </w:rPr>
              <w:t>Vending machine door monitoring system</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US7385504</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6/10/2008</w:t>
            </w: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2"/>
              </w:rPr>
              <w:t>Vending machine service scheduling</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US7894938</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2/22/2011</w:t>
            </w:r>
          </w:p>
        </w:tc>
        <w:tc>
          <w:tcPr>
            <w:tcW w:w="860" w:type="dxa"/>
            <w:vAlign w:val="bottom"/>
          </w:tcPr>
          <w:p>
            <w:pPr>
              <w:spacing w:after="0"/>
              <w:rPr>
                <w:sz w:val="11"/>
                <w:szCs w:val="11"/>
                <w:color w:val="auto"/>
              </w:rPr>
            </w:pPr>
          </w:p>
        </w:tc>
      </w:tr>
      <w:tr>
        <w:trPr>
          <w:trHeight w:val="108"/>
        </w:trPr>
        <w:tc>
          <w:tcPr>
            <w:tcW w:w="3260" w:type="dxa"/>
            <w:vAlign w:val="bottom"/>
            <w:tcBorders>
              <w:left w:val="single" w:sz="8" w:color="auto"/>
              <w:right w:val="single" w:sz="8" w:color="auto"/>
            </w:tcBorders>
            <w:gridSpan w:val="2"/>
          </w:tcPr>
          <w:p>
            <w:pPr>
              <w:jc w:val="center"/>
              <w:spacing w:after="0" w:line="108" w:lineRule="exact"/>
              <w:rPr>
                <w:sz w:val="20"/>
                <w:szCs w:val="20"/>
                <w:color w:val="auto"/>
              </w:rPr>
            </w:pPr>
            <w:r>
              <w:rPr>
                <w:rFonts w:ascii="Arial" w:cs="Arial" w:eastAsia="Arial" w:hAnsi="Arial"/>
                <w:sz w:val="12"/>
                <w:szCs w:val="12"/>
                <w:color w:val="auto"/>
              </w:rPr>
              <w:t>Vending machine service scheduling taking into account</w:t>
            </w:r>
          </w:p>
        </w:tc>
        <w:tc>
          <w:tcPr>
            <w:tcW w:w="24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rPr>
              <w:t>US8311867</w:t>
            </w:r>
          </w:p>
        </w:tc>
        <w:tc>
          <w:tcPr>
            <w:tcW w:w="22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w w:val="99"/>
              </w:rPr>
              <w:t>11/13/2012</w:t>
            </w:r>
          </w:p>
        </w:tc>
        <w:tc>
          <w:tcPr>
            <w:tcW w:w="860" w:type="dxa"/>
            <w:vAlign w:val="bottom"/>
          </w:tcPr>
          <w:p>
            <w:pPr>
              <w:spacing w:after="0"/>
              <w:rPr>
                <w:sz w:val="9"/>
                <w:szCs w:val="9"/>
                <w:color w:val="auto"/>
              </w:rPr>
            </w:pPr>
          </w:p>
        </w:tc>
      </w:tr>
      <w:tr>
        <w:trPr>
          <w:trHeight w:val="119"/>
        </w:trPr>
        <w:tc>
          <w:tcPr>
            <w:tcW w:w="326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4"/>
              </w:rPr>
              <w:t>hardness data indicating importance of minimizing the</w:t>
            </w:r>
          </w:p>
        </w:tc>
        <w:tc>
          <w:tcPr>
            <w:tcW w:w="246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128"/>
        </w:trPr>
        <w:tc>
          <w:tcPr>
            <w:tcW w:w="3260" w:type="dxa"/>
            <w:vAlign w:val="bottom"/>
            <w:tcBorders>
              <w:left w:val="single" w:sz="8" w:color="auto"/>
              <w:right w:val="single" w:sz="8" w:color="auto"/>
            </w:tcBorders>
            <w:gridSpan w:val="2"/>
          </w:tcPr>
          <w:p>
            <w:pPr>
              <w:jc w:val="center"/>
              <w:spacing w:after="0" w:line="128" w:lineRule="exact"/>
              <w:rPr>
                <w:sz w:val="20"/>
                <w:szCs w:val="20"/>
                <w:color w:val="auto"/>
              </w:rPr>
            </w:pPr>
            <w:r>
              <w:rPr>
                <w:rFonts w:ascii="Arial" w:cs="Arial" w:eastAsia="Arial" w:hAnsi="Arial"/>
                <w:sz w:val="13"/>
                <w:szCs w:val="13"/>
                <w:color w:val="auto"/>
                <w:w w:val="93"/>
              </w:rPr>
              <w:t>number of service visits to a vending machine and/or to</w:t>
            </w:r>
          </w:p>
        </w:tc>
        <w:tc>
          <w:tcPr>
            <w:tcW w:w="246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r>
      <w:tr>
        <w:trPr>
          <w:trHeight w:val="146"/>
        </w:trPr>
        <w:tc>
          <w:tcPr>
            <w:tcW w:w="480" w:type="dxa"/>
            <w:vAlign w:val="bottom"/>
            <w:tcBorders>
              <w:left w:val="single" w:sz="8" w:color="auto"/>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center"/>
              <w:ind w:right="433"/>
              <w:spacing w:after="0" w:line="146" w:lineRule="exact"/>
              <w:rPr>
                <w:sz w:val="20"/>
                <w:szCs w:val="20"/>
                <w:color w:val="auto"/>
              </w:rPr>
            </w:pPr>
            <w:r>
              <w:rPr>
                <w:rFonts w:ascii="Arial" w:cs="Arial" w:eastAsia="Arial" w:hAnsi="Arial"/>
                <w:sz w:val="13"/>
                <w:szCs w:val="13"/>
                <w:color w:val="auto"/>
                <w:w w:val="94"/>
              </w:rPr>
              <w:t>the vending machine’s location</w:t>
            </w:r>
          </w:p>
        </w:tc>
        <w:tc>
          <w:tcPr>
            <w:tcW w:w="246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2"/>
              </w:rPr>
              <w:t>Vending machine service scheduling</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US8571705</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10/29/2013</w:t>
            </w: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2"/>
              </w:rPr>
              <w:t>Vending machine service scheduling</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US9286588</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3/15/2016</w:t>
            </w: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13"/>
              <w:spacing w:after="0" w:line="135" w:lineRule="exact"/>
              <w:rPr>
                <w:sz w:val="20"/>
                <w:szCs w:val="20"/>
                <w:color w:val="auto"/>
              </w:rPr>
            </w:pPr>
            <w:r>
              <w:rPr>
                <w:rFonts w:ascii="Arial" w:cs="Arial" w:eastAsia="Arial" w:hAnsi="Arial"/>
                <w:sz w:val="13"/>
                <w:szCs w:val="13"/>
                <w:color w:val="auto"/>
                <w:w w:val="93"/>
              </w:rPr>
              <w:t>Antenna housing for a vending machine</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D531626</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11/7/2006</w:t>
            </w: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89"/>
              </w:rPr>
              <w:t>Radio antenna</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8"/>
              </w:rPr>
              <w:t>D729214</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5/12/2015</w:t>
            </w:r>
          </w:p>
        </w:tc>
        <w:tc>
          <w:tcPr>
            <w:tcW w:w="860" w:type="dxa"/>
            <w:vAlign w:val="bottom"/>
          </w:tcPr>
          <w:p>
            <w:pPr>
              <w:spacing w:after="0"/>
              <w:rPr>
                <w:sz w:val="11"/>
                <w:szCs w:val="11"/>
                <w:color w:val="auto"/>
              </w:rPr>
            </w:pPr>
          </w:p>
        </w:tc>
      </w:tr>
      <w:tr>
        <w:trPr>
          <w:trHeight w:val="135"/>
        </w:trPr>
        <w:tc>
          <w:tcPr>
            <w:tcW w:w="480" w:type="dxa"/>
            <w:vAlign w:val="bottom"/>
            <w:tcBorders>
              <w:left w:val="single" w:sz="8" w:color="auto"/>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jc w:val="center"/>
              <w:ind w:right="433"/>
              <w:spacing w:after="0" w:line="135" w:lineRule="exact"/>
              <w:rPr>
                <w:sz w:val="20"/>
                <w:szCs w:val="20"/>
                <w:color w:val="auto"/>
              </w:rPr>
            </w:pPr>
            <w:r>
              <w:rPr>
                <w:rFonts w:ascii="Arial" w:cs="Arial" w:eastAsia="Arial" w:hAnsi="Arial"/>
                <w:sz w:val="13"/>
                <w:szCs w:val="13"/>
                <w:color w:val="auto"/>
                <w:w w:val="92"/>
              </w:rPr>
              <w:t>Vending machine service scheduling</w:t>
            </w:r>
          </w:p>
        </w:tc>
        <w:tc>
          <w:tcPr>
            <w:tcW w:w="2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87"/>
              </w:rPr>
              <w:t>US20160247127</w:t>
            </w:r>
          </w:p>
        </w:tc>
        <w:tc>
          <w:tcPr>
            <w:tcW w:w="22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Pending</w:t>
            </w:r>
          </w:p>
        </w:tc>
        <w:tc>
          <w:tcPr>
            <w:tcW w:w="860" w:type="dxa"/>
            <w:vAlign w:val="bottom"/>
          </w:tcPr>
          <w:p>
            <w:pPr>
              <w:spacing w:after="0"/>
              <w:rPr>
                <w:sz w:val="11"/>
                <w:szCs w:val="11"/>
                <w:color w:val="auto"/>
              </w:rPr>
            </w:pPr>
          </w:p>
        </w:tc>
      </w:tr>
      <w:tr>
        <w:trPr>
          <w:trHeight w:val="117"/>
        </w:trPr>
        <w:tc>
          <w:tcPr>
            <w:tcW w:w="326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w:t>
            </w:r>
          </w:p>
        </w:tc>
        <w:tc>
          <w:tcPr>
            <w:tcW w:w="246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w:t>
            </w:r>
          </w:p>
        </w:tc>
        <w:tc>
          <w:tcPr>
            <w:tcW w:w="22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Pending</w:t>
            </w:r>
          </w:p>
        </w:tc>
        <w:tc>
          <w:tcPr>
            <w:tcW w:w="860" w:type="dxa"/>
            <w:vAlign w:val="bottom"/>
          </w:tcPr>
          <w:p>
            <w:pPr>
              <w:spacing w:after="0"/>
              <w:rPr>
                <w:sz w:val="10"/>
                <w:szCs w:val="10"/>
                <w:color w:val="auto"/>
              </w:rPr>
            </w:pPr>
          </w:p>
        </w:tc>
      </w:tr>
      <w:tr>
        <w:trPr>
          <w:trHeight w:val="117"/>
        </w:trPr>
        <w:tc>
          <w:tcPr>
            <w:tcW w:w="326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w:t>
            </w:r>
          </w:p>
        </w:tc>
        <w:tc>
          <w:tcPr>
            <w:tcW w:w="246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w:t>
            </w:r>
          </w:p>
        </w:tc>
        <w:tc>
          <w:tcPr>
            <w:tcW w:w="22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Pending</w:t>
            </w:r>
          </w:p>
        </w:tc>
        <w:tc>
          <w:tcPr>
            <w:tcW w:w="860" w:type="dxa"/>
            <w:vAlign w:val="bottom"/>
          </w:tcPr>
          <w:p>
            <w:pPr>
              <w:spacing w:after="0"/>
              <w:rPr>
                <w:sz w:val="10"/>
                <w:szCs w:val="10"/>
                <w:color w:val="auto"/>
              </w:rPr>
            </w:pPr>
          </w:p>
        </w:tc>
      </w:tr>
      <w:tr>
        <w:trPr>
          <w:trHeight w:val="117"/>
        </w:trPr>
        <w:tc>
          <w:tcPr>
            <w:tcW w:w="326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w:t>
            </w:r>
          </w:p>
        </w:tc>
        <w:tc>
          <w:tcPr>
            <w:tcW w:w="246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w:t>
            </w:r>
          </w:p>
        </w:tc>
        <w:tc>
          <w:tcPr>
            <w:tcW w:w="22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Pending</w:t>
            </w:r>
          </w:p>
        </w:tc>
        <w:tc>
          <w:tcPr>
            <w:tcW w:w="860" w:type="dxa"/>
            <w:vAlign w:val="bottom"/>
          </w:tcPr>
          <w:p>
            <w:pPr>
              <w:spacing w:after="0"/>
              <w:rPr>
                <w:sz w:val="10"/>
                <w:szCs w:val="10"/>
                <w:color w:val="auto"/>
              </w:rPr>
            </w:pPr>
          </w:p>
        </w:tc>
      </w:tr>
      <w:tr>
        <w:trPr>
          <w:trHeight w:val="117"/>
        </w:trPr>
        <w:tc>
          <w:tcPr>
            <w:tcW w:w="326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w:t>
            </w:r>
          </w:p>
        </w:tc>
        <w:tc>
          <w:tcPr>
            <w:tcW w:w="246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w:t>
            </w:r>
          </w:p>
        </w:tc>
        <w:tc>
          <w:tcPr>
            <w:tcW w:w="22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Pending</w:t>
            </w:r>
          </w:p>
        </w:tc>
        <w:tc>
          <w:tcPr>
            <w:tcW w:w="860" w:type="dxa"/>
            <w:vAlign w:val="bottom"/>
          </w:tcPr>
          <w:p>
            <w:pPr>
              <w:spacing w:after="0"/>
              <w:rPr>
                <w:sz w:val="10"/>
                <w:szCs w:val="10"/>
                <w:color w:val="auto"/>
              </w:rPr>
            </w:pPr>
          </w:p>
        </w:tc>
      </w:tr>
      <w:tr>
        <w:trPr>
          <w:trHeight w:val="434"/>
        </w:trPr>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jc w:val="right"/>
              <w:ind w:right="1211"/>
              <w:spacing w:after="0"/>
              <w:rPr>
                <w:sz w:val="20"/>
                <w:szCs w:val="20"/>
                <w:color w:val="auto"/>
              </w:rPr>
            </w:pPr>
            <w:r>
              <w:rPr>
                <w:rFonts w:ascii="Arial" w:cs="Arial" w:eastAsia="Arial" w:hAnsi="Arial"/>
                <w:sz w:val="15"/>
                <w:szCs w:val="15"/>
                <w:color w:val="auto"/>
              </w:rPr>
              <w:t>2</w:t>
            </w:r>
          </w:p>
        </w:tc>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2"/>
        </w:trPr>
        <w:tc>
          <w:tcPr>
            <w:tcW w:w="4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bl>
    <w:p>
      <w:pPr>
        <w:sectPr>
          <w:pgSz w:w="11900" w:h="16838" w:orient="portrait"/>
          <w:cols w:equalWidth="0" w:num="1">
            <w:col w:w="9019"/>
          </w:cols>
          <w:pgMar w:left="1440" w:top="344" w:right="1440" w:bottom="1440" w:gutter="0" w:footer="0" w:header="0"/>
        </w:sectPr>
      </w:pPr>
    </w:p>
    <w:bookmarkStart w:id="251" w:name="page252"/>
    <w:bookmarkEnd w:id="251"/>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Trademarks:</w:t>
            </w:r>
          </w:p>
        </w:tc>
        <w:tc>
          <w:tcPr>
            <w:tcW w:w="2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0" w:type="dxa"/>
            <w:vAlign w:val="bottom"/>
            <w:tcBorders>
              <w:top w:val="single" w:sz="8" w:color="auto"/>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b w:val="1"/>
                <w:bCs w:val="1"/>
                <w:color w:val="auto"/>
                <w:w w:val="96"/>
              </w:rPr>
              <w:t>Trademark</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2"/>
              </w:rPr>
              <w:t>Registration Date</w:t>
            </w:r>
          </w:p>
        </w:tc>
        <w:tc>
          <w:tcPr>
            <w:tcW w:w="2300" w:type="dxa"/>
            <w:vAlign w:val="bottom"/>
            <w:tcBorders>
              <w:bottom w:val="single" w:sz="8" w:color="auto"/>
              <w:right w:val="single" w:sz="8" w:color="auto"/>
            </w:tcBorders>
          </w:tcPr>
          <w:p>
            <w:pPr>
              <w:ind w:left="540"/>
              <w:spacing w:after="0" w:line="117" w:lineRule="exact"/>
              <w:rPr>
                <w:sz w:val="20"/>
                <w:szCs w:val="20"/>
                <w:color w:val="auto"/>
              </w:rPr>
            </w:pPr>
            <w:r>
              <w:rPr>
                <w:rFonts w:ascii="Arial" w:cs="Arial" w:eastAsia="Arial" w:hAnsi="Arial"/>
                <w:sz w:val="13"/>
                <w:szCs w:val="13"/>
                <w:b w:val="1"/>
                <w:bCs w:val="1"/>
                <w:color w:val="auto"/>
              </w:rPr>
              <w:t>Registration Number</w:t>
            </w:r>
          </w:p>
        </w:tc>
        <w:tc>
          <w:tcPr>
            <w:tcW w:w="0" w:type="dxa"/>
            <w:vAlign w:val="bottom"/>
          </w:tcPr>
          <w:p>
            <w:pPr>
              <w:spacing w:after="0"/>
              <w:rPr>
                <w:sz w:val="1"/>
                <w:szCs w:val="1"/>
                <w:color w:val="auto"/>
              </w:rPr>
            </w:pPr>
          </w:p>
        </w:tc>
      </w:tr>
      <w:tr>
        <w:trPr>
          <w:trHeight w:val="99"/>
        </w:trPr>
        <w:tc>
          <w:tcPr>
            <w:tcW w:w="2440" w:type="dxa"/>
            <w:vAlign w:val="bottom"/>
            <w:tcBorders>
              <w:left w:val="single" w:sz="8" w:color="auto"/>
              <w:right w:val="single" w:sz="8" w:color="auto"/>
            </w:tcBorders>
            <w:gridSpan w:val="2"/>
          </w:tcPr>
          <w:p>
            <w:pPr>
              <w:jc w:val="center"/>
              <w:spacing w:after="0" w:line="99" w:lineRule="exact"/>
              <w:rPr>
                <w:sz w:val="20"/>
                <w:szCs w:val="20"/>
                <w:color w:val="auto"/>
              </w:rPr>
            </w:pPr>
            <w:r>
              <w:rPr>
                <w:rFonts w:ascii="Arial" w:cs="Arial" w:eastAsia="Arial" w:hAnsi="Arial"/>
                <w:sz w:val="11"/>
                <w:szCs w:val="11"/>
                <w:color w:val="auto"/>
              </w:rPr>
              <w:t>BECAUSE MACHINES CAN’T CRY</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Unknown</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3256437</w:t>
            </w: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vMerge w:val="restart"/>
          </w:tcPr>
          <w:p>
            <w:pPr>
              <w:jc w:val="center"/>
              <w:ind w:right="693"/>
              <w:spacing w:after="0" w:line="146" w:lineRule="exact"/>
              <w:rPr>
                <w:sz w:val="20"/>
                <w:szCs w:val="20"/>
                <w:color w:val="auto"/>
              </w:rPr>
            </w:pPr>
            <w:r>
              <w:rPr>
                <w:rFonts w:ascii="Arial" w:cs="Arial" w:eastAsia="Arial" w:hAnsi="Arial"/>
                <w:sz w:val="13"/>
                <w:szCs w:val="13"/>
                <w:color w:val="auto"/>
                <w:w w:val="98"/>
              </w:rPr>
              <w:t>FOR HELP</w:t>
            </w:r>
          </w:p>
        </w:tc>
        <w:tc>
          <w:tcPr>
            <w:tcW w:w="2300" w:type="dxa"/>
            <w:vAlign w:val="bottom"/>
            <w:tcBorders>
              <w:right w:val="single" w:sz="8" w:color="auto"/>
            </w:tcBorders>
            <w:vMerge w:val="continue"/>
          </w:tcPr>
          <w:p>
            <w:pPr>
              <w:spacing w:after="0"/>
              <w:rPr>
                <w:sz w:val="9"/>
                <w:szCs w:val="9"/>
                <w:color w:val="auto"/>
              </w:rPr>
            </w:pPr>
          </w:p>
        </w:tc>
        <w:tc>
          <w:tcPr>
            <w:tcW w:w="2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60" w:type="dxa"/>
            <w:vAlign w:val="bottom"/>
            <w:tcBorders>
              <w:left w:val="single" w:sz="8" w:color="auto"/>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vMerge w:val="continue"/>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rPr>
              <w:t>BUZZBOX</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7/9/2002</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2593017</w:t>
            </w:r>
          </w:p>
        </w:tc>
        <w:tc>
          <w:tcPr>
            <w:tcW w:w="0" w:type="dxa"/>
            <w:vAlign w:val="bottom"/>
          </w:tcPr>
          <w:p>
            <w:pPr>
              <w:spacing w:after="0"/>
              <w:rPr>
                <w:sz w:val="1"/>
                <w:szCs w:val="1"/>
                <w:color w:val="auto"/>
              </w:rPr>
            </w:pPr>
          </w:p>
        </w:tc>
      </w:tr>
      <w:tr>
        <w:trPr>
          <w:trHeight w:val="99"/>
        </w:trPr>
        <w:tc>
          <w:tcPr>
            <w:tcW w:w="2440" w:type="dxa"/>
            <w:vAlign w:val="bottom"/>
            <w:tcBorders>
              <w:left w:val="single" w:sz="8" w:color="auto"/>
              <w:right w:val="single" w:sz="8" w:color="auto"/>
            </w:tcBorders>
            <w:gridSpan w:val="2"/>
          </w:tcPr>
          <w:p>
            <w:pPr>
              <w:jc w:val="center"/>
              <w:spacing w:after="0" w:line="99" w:lineRule="exact"/>
              <w:rPr>
                <w:sz w:val="20"/>
                <w:szCs w:val="20"/>
                <w:color w:val="auto"/>
              </w:rPr>
            </w:pPr>
            <w:r>
              <w:rPr>
                <w:rFonts w:ascii="Arial" w:cs="Arial" w:eastAsia="Arial" w:hAnsi="Arial"/>
                <w:sz w:val="11"/>
                <w:szCs w:val="11"/>
                <w:color w:val="auto"/>
              </w:rPr>
              <w:t>CANTALOUPE CIRCLE LOGO</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7/10/2007</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3260944</w:t>
            </w:r>
          </w:p>
        </w:tc>
        <w:tc>
          <w:tcPr>
            <w:tcW w:w="0" w:type="dxa"/>
            <w:vAlign w:val="bottom"/>
          </w:tcPr>
          <w:p>
            <w:pPr>
              <w:spacing w:after="0"/>
              <w:rPr>
                <w:sz w:val="1"/>
                <w:szCs w:val="1"/>
                <w:color w:val="auto"/>
              </w:rPr>
            </w:pPr>
          </w:p>
        </w:tc>
      </w:tr>
      <w:tr>
        <w:trPr>
          <w:trHeight w:val="104"/>
        </w:trPr>
        <w:tc>
          <w:tcPr>
            <w:tcW w:w="76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vMerge w:val="restart"/>
          </w:tcPr>
          <w:p>
            <w:pPr>
              <w:jc w:val="center"/>
              <w:ind w:right="693"/>
              <w:spacing w:after="0" w:line="146" w:lineRule="exact"/>
              <w:rPr>
                <w:sz w:val="20"/>
                <w:szCs w:val="20"/>
                <w:color w:val="auto"/>
              </w:rPr>
            </w:pPr>
            <w:r>
              <w:rPr>
                <w:rFonts w:ascii="Arial" w:cs="Arial" w:eastAsia="Arial" w:hAnsi="Arial"/>
                <w:sz w:val="13"/>
                <w:szCs w:val="13"/>
                <w:color w:val="auto"/>
                <w:w w:val="93"/>
              </w:rPr>
              <w:t>(design)</w:t>
            </w:r>
          </w:p>
        </w:tc>
        <w:tc>
          <w:tcPr>
            <w:tcW w:w="2300" w:type="dxa"/>
            <w:vAlign w:val="bottom"/>
            <w:tcBorders>
              <w:right w:val="single" w:sz="8" w:color="auto"/>
            </w:tcBorders>
            <w:vMerge w:val="continue"/>
          </w:tcPr>
          <w:p>
            <w:pPr>
              <w:spacing w:after="0"/>
              <w:rPr>
                <w:sz w:val="9"/>
                <w:szCs w:val="9"/>
                <w:color w:val="auto"/>
              </w:rPr>
            </w:pPr>
          </w:p>
        </w:tc>
        <w:tc>
          <w:tcPr>
            <w:tcW w:w="2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60" w:type="dxa"/>
            <w:vAlign w:val="bottom"/>
            <w:tcBorders>
              <w:left w:val="single" w:sz="8" w:color="auto"/>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vMerge w:val="continue"/>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8"/>
              </w:rPr>
              <w:t>CANTALOUPE SYSTEMS</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6/11/2008</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5768767</w:t>
            </w: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7"/>
              </w:rPr>
              <w:t>CANTALOUPE SYSTEMS (Design)</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1/2/2007</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3192164</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9"/>
              </w:rPr>
              <w:t>COMPUVEND</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11/5/1985</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1368742</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rPr>
              <w:t>OPENVDI</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9/2/2014</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4597685</w:t>
            </w: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rPr>
              <w:t>ROUTEMASTER</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4/22/1997</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2053727</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w w:val="95"/>
              </w:rPr>
              <w:t>SEED</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0"/>
              </w:rPr>
              <w:t>8/5/2011</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9771461</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713"/>
              <w:spacing w:after="0" w:line="117" w:lineRule="exact"/>
              <w:rPr>
                <w:sz w:val="20"/>
                <w:szCs w:val="20"/>
                <w:color w:val="auto"/>
              </w:rPr>
            </w:pPr>
            <w:r>
              <w:rPr>
                <w:rFonts w:ascii="Arial" w:cs="Arial" w:eastAsia="Arial" w:hAnsi="Arial"/>
                <w:sz w:val="13"/>
                <w:szCs w:val="13"/>
                <w:color w:val="auto"/>
                <w:w w:val="95"/>
              </w:rPr>
              <w:t>SEED</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0"/>
              </w:rPr>
              <w:t>5/3/2011</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0"/>
              </w:rPr>
              <w:t>3954711</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5"/>
              </w:rPr>
              <w:t>SEED (Design)</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1/16/2007</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3198306</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6"/>
              </w:rPr>
              <w:t>SEED OFFICE</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2/28/2013</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89"/>
              </w:rPr>
              <w:t>11230141</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6"/>
              </w:rPr>
              <w:t>SEED OFFICE</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9/2/2014</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4597636</w:t>
            </w: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4"/>
              </w:rPr>
              <w:t>SEEDCASHLESS (and Design)</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2"/>
              </w:rPr>
              <w:t>10/31/2011</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9959883</w:t>
            </w: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4"/>
              </w:rPr>
              <w:t>SEEDCASHLESS (and Design/Logo)</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5/29/2012</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4148607</w:t>
            </w: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jc w:val="center"/>
              <w:ind w:right="693"/>
              <w:spacing w:after="0" w:line="117" w:lineRule="exact"/>
              <w:rPr>
                <w:sz w:val="20"/>
                <w:szCs w:val="20"/>
                <w:color w:val="auto"/>
              </w:rPr>
            </w:pPr>
            <w:r>
              <w:rPr>
                <w:rFonts w:ascii="Arial" w:cs="Arial" w:eastAsia="Arial" w:hAnsi="Arial"/>
                <w:sz w:val="13"/>
                <w:szCs w:val="13"/>
                <w:color w:val="auto"/>
                <w:w w:val="99"/>
              </w:rPr>
              <w:t>VENDPRO</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5/31/2005</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2958533</w:t>
            </w:r>
          </w:p>
        </w:tc>
        <w:tc>
          <w:tcPr>
            <w:tcW w:w="0" w:type="dxa"/>
            <w:vAlign w:val="bottom"/>
          </w:tcPr>
          <w:p>
            <w:pPr>
              <w:spacing w:after="0"/>
              <w:rPr>
                <w:sz w:val="1"/>
                <w:szCs w:val="1"/>
                <w:color w:val="auto"/>
              </w:rPr>
            </w:pPr>
          </w:p>
        </w:tc>
      </w:tr>
      <w:tr>
        <w:trPr>
          <w:trHeight w:val="117"/>
        </w:trPr>
        <w:tc>
          <w:tcPr>
            <w:tcW w:w="2440" w:type="dxa"/>
            <w:vAlign w:val="bottom"/>
            <w:tcBorders>
              <w:left w:val="single" w:sz="8" w:color="auto"/>
              <w:bottom w:val="single" w:sz="8" w:color="auto"/>
              <w:right w:val="single" w:sz="8" w:color="auto"/>
            </w:tcBorders>
            <w:gridSpan w:val="2"/>
          </w:tcPr>
          <w:p>
            <w:pPr>
              <w:jc w:val="center"/>
              <w:spacing w:after="0" w:line="117" w:lineRule="exact"/>
              <w:rPr>
                <w:sz w:val="20"/>
                <w:szCs w:val="20"/>
                <w:color w:val="auto"/>
              </w:rPr>
            </w:pPr>
            <w:r>
              <w:rPr>
                <w:rFonts w:ascii="Arial" w:cs="Arial" w:eastAsia="Arial" w:hAnsi="Arial"/>
                <w:sz w:val="13"/>
                <w:szCs w:val="13"/>
                <w:color w:val="auto"/>
                <w:w w:val="97"/>
              </w:rPr>
              <w:t>WAREHOUSE MASTER</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3"/>
              </w:rPr>
              <w:t>6/22/2004</w:t>
            </w:r>
          </w:p>
        </w:tc>
        <w:tc>
          <w:tcPr>
            <w:tcW w:w="2300" w:type="dxa"/>
            <w:vAlign w:val="bottom"/>
            <w:tcBorders>
              <w:bottom w:val="single" w:sz="8" w:color="auto"/>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2856013</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2" w:name="page253"/>
    <w:bookmarkEnd w:id="252"/>
    <w:p>
      <w:pPr>
        <w:jc w:val="right"/>
        <w:ind w:right="3999"/>
        <w:spacing w:after="0"/>
        <w:rPr>
          <w:sz w:val="20"/>
          <w:szCs w:val="20"/>
          <w:color w:val="auto"/>
        </w:rPr>
      </w:pPr>
      <w:r>
        <w:rPr>
          <w:rFonts w:ascii="Arial" w:cs="Arial" w:eastAsia="Arial" w:hAnsi="Arial"/>
          <w:sz w:val="13"/>
          <w:szCs w:val="13"/>
          <w:b w:val="1"/>
          <w:bCs w:val="1"/>
          <w:color w:val="auto"/>
        </w:rPr>
        <w:t>SCHEDULE 3.06</w:t>
      </w:r>
    </w:p>
    <w:p>
      <w:pPr>
        <w:spacing w:after="0" w:line="126" w:lineRule="exact"/>
        <w:rPr>
          <w:sz w:val="20"/>
          <w:szCs w:val="20"/>
          <w:color w:val="auto"/>
        </w:rPr>
      </w:pPr>
    </w:p>
    <w:p>
      <w:pPr>
        <w:ind w:left="4020"/>
        <w:spacing w:after="0"/>
        <w:rPr>
          <w:sz w:val="20"/>
          <w:szCs w:val="20"/>
          <w:color w:val="auto"/>
        </w:rPr>
      </w:pPr>
      <w:r>
        <w:rPr>
          <w:rFonts w:ascii="Arial" w:cs="Arial" w:eastAsia="Arial" w:hAnsi="Arial"/>
          <w:sz w:val="12"/>
          <w:szCs w:val="12"/>
          <w:color w:val="auto"/>
        </w:rPr>
        <w:t>Disclosed Matters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2"/>
          <w:szCs w:val="12"/>
          <w:b w:val="1"/>
          <w:bCs w:val="1"/>
          <w:color w:val="auto"/>
        </w:rPr>
        <w:t>SCHEDULE 3.09</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Taxes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4" w:name="page255"/>
    <w:bookmarkEnd w:id="254"/>
    <w:p>
      <w:pPr>
        <w:jc w:val="center"/>
        <w:ind w:right="-20"/>
        <w:spacing w:after="0"/>
        <w:rPr>
          <w:sz w:val="20"/>
          <w:szCs w:val="20"/>
          <w:color w:val="auto"/>
        </w:rPr>
      </w:pPr>
      <w:r>
        <w:rPr>
          <w:rFonts w:ascii="Arial" w:cs="Arial" w:eastAsia="Arial" w:hAnsi="Arial"/>
          <w:sz w:val="13"/>
          <w:szCs w:val="13"/>
          <w:b w:val="1"/>
          <w:bCs w:val="1"/>
          <w:color w:val="auto"/>
        </w:rPr>
        <w:t>SCHEDULE 3.12</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Material Agreements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All references to “The Company” in this Schedule 3.12 are references to Cantaloupe Systems, Inc.</w:t>
      </w:r>
    </w:p>
    <w:p>
      <w:pPr>
        <w:spacing w:after="0" w:line="106" w:lineRule="exact"/>
        <w:rPr>
          <w:sz w:val="20"/>
          <w:szCs w:val="20"/>
          <w:color w:val="auto"/>
        </w:rPr>
      </w:pPr>
    </w:p>
    <w:p>
      <w:pPr>
        <w:ind w:left="320" w:hanging="196"/>
        <w:spacing w:after="0"/>
        <w:tabs>
          <w:tab w:leader="none" w:pos="32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w:t>
      </w:r>
    </w:p>
    <w:p>
      <w:pPr>
        <w:spacing w:after="0" w:line="78" w:lineRule="exact"/>
        <w:rPr>
          <w:rFonts w:ascii="Arial" w:cs="Arial" w:eastAsia="Arial" w:hAnsi="Arial"/>
          <w:sz w:val="13"/>
          <w:szCs w:val="13"/>
          <w:color w:val="auto"/>
        </w:rPr>
      </w:pPr>
    </w:p>
    <w:p>
      <w:pPr>
        <w:ind w:left="320" w:hanging="196"/>
        <w:spacing w:after="0"/>
        <w:tabs>
          <w:tab w:leader="none" w:pos="32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280" w:right="119" w:hanging="156"/>
        <w:spacing w:after="0" w:line="254" w:lineRule="auto"/>
        <w:tabs>
          <w:tab w:leader="none" w:pos="281"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Company is a party to an Agreement for Provision of Seed Services with US Connect dated April 1, 2013, as amended, which contains terms and conditions regarding the business relationship of the parties.</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5" w:name="page256"/>
    <w:bookmarkEnd w:id="255"/>
    <w:tbl>
      <w:tblPr>
        <w:tblLayout w:type="fixed"/>
        <w:tblInd w:w="12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80" w:type="dxa"/>
            <w:vAlign w:val="bottom"/>
          </w:tcPr>
          <w:p>
            <w:pPr>
              <w:jc w:val="center"/>
              <w:ind w:right="893"/>
              <w:spacing w:after="0"/>
              <w:rPr>
                <w:sz w:val="20"/>
                <w:szCs w:val="20"/>
                <w:color w:val="auto"/>
              </w:rPr>
            </w:pPr>
            <w:r>
              <w:rPr>
                <w:rFonts w:ascii="Arial" w:cs="Arial" w:eastAsia="Arial" w:hAnsi="Arial"/>
                <w:sz w:val="13"/>
                <w:szCs w:val="13"/>
                <w:b w:val="1"/>
                <w:bCs w:val="1"/>
                <w:color w:val="auto"/>
                <w:w w:val="99"/>
              </w:rPr>
              <w:t>SCHEDULE 3.14</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74"/>
        </w:trPr>
        <w:tc>
          <w:tcPr>
            <w:tcW w:w="2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80" w:type="dxa"/>
            <w:vAlign w:val="bottom"/>
          </w:tcPr>
          <w:p>
            <w:pPr>
              <w:jc w:val="center"/>
              <w:ind w:right="893"/>
              <w:spacing w:after="0"/>
              <w:rPr>
                <w:sz w:val="20"/>
                <w:szCs w:val="20"/>
                <w:color w:val="auto"/>
              </w:rPr>
            </w:pPr>
            <w:r>
              <w:rPr>
                <w:rFonts w:ascii="Arial" w:cs="Arial" w:eastAsia="Arial" w:hAnsi="Arial"/>
                <w:sz w:val="13"/>
                <w:szCs w:val="13"/>
                <w:color w:val="auto"/>
                <w:w w:val="91"/>
              </w:rPr>
              <w:t>Insurance</w:t>
            </w:r>
          </w:p>
        </w:tc>
        <w:tc>
          <w:tcPr>
            <w:tcW w:w="1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3"/>
        </w:trPr>
        <w:tc>
          <w:tcPr>
            <w:tcW w:w="2580" w:type="dxa"/>
            <w:vAlign w:val="bottom"/>
          </w:tcPr>
          <w:p>
            <w:pPr>
              <w:spacing w:after="0"/>
              <w:rPr>
                <w:sz w:val="24"/>
                <w:szCs w:val="24"/>
                <w:color w:val="auto"/>
              </w:rPr>
            </w:pPr>
          </w:p>
        </w:tc>
        <w:tc>
          <w:tcPr>
            <w:tcW w:w="344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auto"/>
                <w:w w:val="91"/>
              </w:rPr>
              <w:t>Cantaloupe Systems - Insurance Summary</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2580" w:type="dxa"/>
            <w:vAlign w:val="bottom"/>
          </w:tcPr>
          <w:p>
            <w:pPr>
              <w:spacing w:after="0"/>
              <w:rPr>
                <w:sz w:val="24"/>
                <w:szCs w:val="24"/>
                <w:color w:val="auto"/>
              </w:rPr>
            </w:pPr>
          </w:p>
        </w:tc>
        <w:tc>
          <w:tcPr>
            <w:tcW w:w="344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auto"/>
                <w:w w:val="94"/>
              </w:rPr>
              <w:t>Broker - Sweet and Baker / HUB</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tcPr>
          <w:p>
            <w:pPr>
              <w:jc w:val="center"/>
              <w:ind w:right="913"/>
              <w:spacing w:after="0"/>
              <w:rPr>
                <w:sz w:val="20"/>
                <w:szCs w:val="20"/>
                <w:color w:val="auto"/>
              </w:rPr>
            </w:pPr>
            <w:r>
              <w:rPr>
                <w:rFonts w:ascii="Arial" w:cs="Arial" w:eastAsia="Arial" w:hAnsi="Arial"/>
                <w:sz w:val="13"/>
                <w:szCs w:val="13"/>
                <w:b w:val="1"/>
                <w:bCs w:val="1"/>
                <w:color w:val="auto"/>
                <w:w w:val="94"/>
              </w:rPr>
              <w:t>October 25, 2017</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3"/>
        </w:trPr>
        <w:tc>
          <w:tcPr>
            <w:tcW w:w="2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2"/>
        </w:trPr>
        <w:tc>
          <w:tcPr>
            <w:tcW w:w="2580" w:type="dxa"/>
            <w:vAlign w:val="bottom"/>
          </w:tcPr>
          <w:p>
            <w:pPr>
              <w:jc w:val="center"/>
              <w:ind w:left="93"/>
              <w:spacing w:after="0"/>
              <w:rPr>
                <w:sz w:val="20"/>
                <w:szCs w:val="20"/>
                <w:color w:val="auto"/>
              </w:rPr>
            </w:pPr>
            <w:r>
              <w:rPr>
                <w:rFonts w:ascii="Arial" w:cs="Arial" w:eastAsia="Arial" w:hAnsi="Arial"/>
                <w:sz w:val="13"/>
                <w:szCs w:val="13"/>
                <w:b w:val="1"/>
                <w:bCs w:val="1"/>
                <w:color w:val="auto"/>
                <w:w w:val="91"/>
              </w:rPr>
              <w:t>Policy Type</w:t>
            </w:r>
          </w:p>
        </w:tc>
        <w:tc>
          <w:tcPr>
            <w:tcW w:w="1160" w:type="dxa"/>
            <w:vAlign w:val="bottom"/>
          </w:tcPr>
          <w:p>
            <w:pPr>
              <w:jc w:val="center"/>
              <w:ind w:left="213"/>
              <w:spacing w:after="0"/>
              <w:rPr>
                <w:sz w:val="20"/>
                <w:szCs w:val="20"/>
                <w:color w:val="auto"/>
              </w:rPr>
            </w:pPr>
            <w:r>
              <w:rPr>
                <w:rFonts w:ascii="Arial" w:cs="Arial" w:eastAsia="Arial" w:hAnsi="Arial"/>
                <w:sz w:val="13"/>
                <w:szCs w:val="13"/>
                <w:b w:val="1"/>
                <w:bCs w:val="1"/>
                <w:color w:val="auto"/>
              </w:rPr>
              <w:t>Carrier</w:t>
            </w:r>
          </w:p>
        </w:tc>
        <w:tc>
          <w:tcPr>
            <w:tcW w:w="2280" w:type="dxa"/>
            <w:vAlign w:val="bottom"/>
          </w:tcPr>
          <w:p>
            <w:pPr>
              <w:jc w:val="center"/>
              <w:ind w:left="53"/>
              <w:spacing w:after="0"/>
              <w:rPr>
                <w:sz w:val="20"/>
                <w:szCs w:val="20"/>
                <w:color w:val="auto"/>
              </w:rPr>
            </w:pPr>
            <w:r>
              <w:rPr>
                <w:rFonts w:ascii="Arial" w:cs="Arial" w:eastAsia="Arial" w:hAnsi="Arial"/>
                <w:sz w:val="13"/>
                <w:szCs w:val="13"/>
                <w:b w:val="1"/>
                <w:bCs w:val="1"/>
                <w:color w:val="auto"/>
                <w:w w:val="92"/>
              </w:rPr>
              <w:t>Coverage Period</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Policy Number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Premium</w:t>
            </w:r>
          </w:p>
        </w:tc>
      </w:tr>
      <w:tr>
        <w:trPr>
          <w:trHeight w:val="259"/>
        </w:trPr>
        <w:tc>
          <w:tcPr>
            <w:tcW w:w="2580" w:type="dxa"/>
            <w:vAlign w:val="bottom"/>
          </w:tcPr>
          <w:p>
            <w:pPr>
              <w:jc w:val="center"/>
              <w:ind w:left="93"/>
              <w:spacing w:after="0"/>
              <w:rPr>
                <w:sz w:val="20"/>
                <w:szCs w:val="20"/>
                <w:color w:val="auto"/>
              </w:rPr>
            </w:pPr>
            <w:r>
              <w:rPr>
                <w:rFonts w:ascii="Arial" w:cs="Arial" w:eastAsia="Arial" w:hAnsi="Arial"/>
                <w:sz w:val="13"/>
                <w:szCs w:val="13"/>
                <w:color w:val="auto"/>
                <w:w w:val="94"/>
              </w:rPr>
              <w:t>Package - GL, AL, Property</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Hartford</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73"/>
              <w:spacing w:after="0"/>
              <w:rPr>
                <w:sz w:val="20"/>
                <w:szCs w:val="20"/>
                <w:color w:val="auto"/>
              </w:rPr>
            </w:pPr>
            <w:r>
              <w:rPr>
                <w:rFonts w:ascii="Arial" w:cs="Arial" w:eastAsia="Arial" w:hAnsi="Arial"/>
                <w:sz w:val="13"/>
                <w:szCs w:val="13"/>
                <w:color w:val="auto"/>
                <w:w w:val="96"/>
              </w:rPr>
              <w:t>Commercial Auto</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Hartford</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93"/>
              <w:spacing w:after="0"/>
              <w:rPr>
                <w:sz w:val="20"/>
                <w:szCs w:val="20"/>
                <w:color w:val="auto"/>
              </w:rPr>
            </w:pPr>
            <w:r>
              <w:rPr>
                <w:rFonts w:ascii="Arial" w:cs="Arial" w:eastAsia="Arial" w:hAnsi="Arial"/>
                <w:sz w:val="13"/>
                <w:szCs w:val="13"/>
                <w:color w:val="auto"/>
                <w:w w:val="94"/>
              </w:rPr>
              <w:t>Workers Comp</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Hartford</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93"/>
              <w:spacing w:after="0"/>
              <w:rPr>
                <w:sz w:val="20"/>
                <w:szCs w:val="20"/>
                <w:color w:val="auto"/>
              </w:rPr>
            </w:pPr>
            <w:r>
              <w:rPr>
                <w:rFonts w:ascii="Arial" w:cs="Arial" w:eastAsia="Arial" w:hAnsi="Arial"/>
                <w:sz w:val="13"/>
                <w:szCs w:val="13"/>
                <w:color w:val="auto"/>
                <w:w w:val="95"/>
              </w:rPr>
              <w:t>Foreign</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ACE</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93"/>
              <w:spacing w:after="0"/>
              <w:rPr>
                <w:sz w:val="20"/>
                <w:szCs w:val="20"/>
                <w:color w:val="auto"/>
              </w:rPr>
            </w:pPr>
            <w:r>
              <w:rPr>
                <w:rFonts w:ascii="Arial" w:cs="Arial" w:eastAsia="Arial" w:hAnsi="Arial"/>
                <w:sz w:val="13"/>
                <w:szCs w:val="13"/>
                <w:color w:val="auto"/>
                <w:w w:val="92"/>
              </w:rPr>
              <w:t>Umbrella Excess</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Hartford</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93"/>
              <w:spacing w:after="0"/>
              <w:rPr>
                <w:sz w:val="20"/>
                <w:szCs w:val="20"/>
                <w:color w:val="auto"/>
              </w:rPr>
            </w:pPr>
            <w:r>
              <w:rPr>
                <w:rFonts w:ascii="Arial" w:cs="Arial" w:eastAsia="Arial" w:hAnsi="Arial"/>
                <w:sz w:val="13"/>
                <w:szCs w:val="13"/>
                <w:color w:val="auto"/>
                <w:w w:val="95"/>
              </w:rPr>
              <w:t>ERISA Bond</w:t>
            </w:r>
          </w:p>
        </w:tc>
        <w:tc>
          <w:tcPr>
            <w:tcW w:w="1160" w:type="dxa"/>
            <w:vAlign w:val="bottom"/>
          </w:tcPr>
          <w:p>
            <w:pPr>
              <w:jc w:val="center"/>
              <w:ind w:left="193"/>
              <w:spacing w:after="0"/>
              <w:rPr>
                <w:sz w:val="20"/>
                <w:szCs w:val="20"/>
                <w:color w:val="auto"/>
              </w:rPr>
            </w:pPr>
            <w:r>
              <w:rPr>
                <w:rFonts w:ascii="Arial" w:cs="Arial" w:eastAsia="Arial" w:hAnsi="Arial"/>
                <w:sz w:val="13"/>
                <w:szCs w:val="13"/>
                <w:color w:val="auto"/>
                <w:w w:val="97"/>
              </w:rPr>
              <w:t>Hartford</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3"/>
              </w:rPr>
              <w:t>10/21/17 To 10/21/18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73"/>
              <w:spacing w:after="0"/>
              <w:rPr>
                <w:sz w:val="20"/>
                <w:szCs w:val="20"/>
                <w:color w:val="auto"/>
              </w:rPr>
            </w:pPr>
            <w:r>
              <w:rPr>
                <w:rFonts w:ascii="Arial" w:cs="Arial" w:eastAsia="Arial" w:hAnsi="Arial"/>
                <w:sz w:val="13"/>
                <w:szCs w:val="13"/>
                <w:color w:val="auto"/>
                <w:w w:val="99"/>
              </w:rPr>
              <w:t>D&amp;O/EPL/ Fiduciary</w:t>
            </w:r>
          </w:p>
        </w:tc>
        <w:tc>
          <w:tcPr>
            <w:tcW w:w="1160" w:type="dxa"/>
            <w:vAlign w:val="bottom"/>
          </w:tcPr>
          <w:p>
            <w:pPr>
              <w:jc w:val="center"/>
              <w:ind w:left="213"/>
              <w:spacing w:after="0"/>
              <w:rPr>
                <w:sz w:val="20"/>
                <w:szCs w:val="20"/>
                <w:color w:val="auto"/>
              </w:rPr>
            </w:pPr>
            <w:r>
              <w:rPr>
                <w:rFonts w:ascii="Arial" w:cs="Arial" w:eastAsia="Arial" w:hAnsi="Arial"/>
                <w:sz w:val="13"/>
                <w:szCs w:val="13"/>
                <w:color w:val="auto"/>
                <w:w w:val="92"/>
              </w:rPr>
              <w:t>Scottsdale</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5"/>
              </w:rPr>
              <w:t>9/12/17 to 9/12/18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3"/>
        </w:trPr>
        <w:tc>
          <w:tcPr>
            <w:tcW w:w="2580" w:type="dxa"/>
            <w:vAlign w:val="bottom"/>
          </w:tcPr>
          <w:p>
            <w:pPr>
              <w:jc w:val="center"/>
              <w:ind w:left="73"/>
              <w:spacing w:after="0"/>
              <w:rPr>
                <w:sz w:val="20"/>
                <w:szCs w:val="20"/>
                <w:color w:val="auto"/>
              </w:rPr>
            </w:pPr>
            <w:r>
              <w:rPr>
                <w:rFonts w:ascii="Arial" w:cs="Arial" w:eastAsia="Arial" w:hAnsi="Arial"/>
                <w:sz w:val="13"/>
                <w:szCs w:val="13"/>
                <w:color w:val="auto"/>
              </w:rPr>
              <w:t>E&amp;O</w:t>
            </w:r>
          </w:p>
        </w:tc>
        <w:tc>
          <w:tcPr>
            <w:tcW w:w="1160" w:type="dxa"/>
            <w:vAlign w:val="bottom"/>
          </w:tcPr>
          <w:p>
            <w:pPr>
              <w:jc w:val="center"/>
              <w:ind w:left="213"/>
              <w:spacing w:after="0"/>
              <w:rPr>
                <w:sz w:val="20"/>
                <w:szCs w:val="20"/>
                <w:color w:val="auto"/>
              </w:rPr>
            </w:pPr>
            <w:r>
              <w:rPr>
                <w:rFonts w:ascii="Arial" w:cs="Arial" w:eastAsia="Arial" w:hAnsi="Arial"/>
                <w:sz w:val="13"/>
                <w:szCs w:val="13"/>
                <w:color w:val="auto"/>
                <w:w w:val="95"/>
              </w:rPr>
              <w:t>Lloyds</w:t>
            </w:r>
          </w:p>
        </w:tc>
        <w:tc>
          <w:tcPr>
            <w:tcW w:w="2280" w:type="dxa"/>
            <w:vAlign w:val="bottom"/>
          </w:tcPr>
          <w:p>
            <w:pPr>
              <w:jc w:val="center"/>
              <w:ind w:left="53"/>
              <w:spacing w:after="0"/>
              <w:rPr>
                <w:sz w:val="20"/>
                <w:szCs w:val="20"/>
                <w:color w:val="auto"/>
              </w:rPr>
            </w:pPr>
            <w:r>
              <w:rPr>
                <w:rFonts w:ascii="Arial" w:cs="Arial" w:eastAsia="Arial" w:hAnsi="Arial"/>
                <w:sz w:val="13"/>
                <w:szCs w:val="13"/>
                <w:color w:val="auto"/>
                <w:w w:val="95"/>
              </w:rPr>
              <w:t>9/12/17 to 9/12/18</w:t>
            </w:r>
          </w:p>
        </w:tc>
        <w:tc>
          <w:tcPr>
            <w:tcW w:w="1600" w:type="dxa"/>
            <w:vAlign w:val="bottom"/>
          </w:tcPr>
          <w:p>
            <w:pPr>
              <w:jc w:val="center"/>
              <w:spacing w:after="0"/>
              <w:rPr>
                <w:sz w:val="20"/>
                <w:szCs w:val="20"/>
                <w:color w:val="auto"/>
              </w:rPr>
            </w:pPr>
            <w:r>
              <w:rPr>
                <w:rFonts w:ascii="Arial" w:cs="Arial" w:eastAsia="Arial" w:hAnsi="Arial"/>
                <w:sz w:val="13"/>
                <w:szCs w:val="13"/>
                <w:color w:val="auto"/>
              </w:rPr>
              <w:t>***</w:t>
            </w:r>
          </w:p>
        </w:tc>
        <w:tc>
          <w:tcPr>
            <w:tcW w:w="1160" w:type="dxa"/>
            <w:vAlign w:val="bottom"/>
          </w:tcPr>
          <w:p>
            <w:pPr>
              <w:jc w:val="center"/>
              <w:spacing w:after="0"/>
              <w:rPr>
                <w:sz w:val="20"/>
                <w:szCs w:val="20"/>
                <w:color w:val="auto"/>
              </w:rPr>
            </w:pPr>
            <w:r>
              <w:rPr>
                <w:rFonts w:ascii="Arial" w:cs="Arial" w:eastAsia="Arial" w:hAnsi="Arial"/>
                <w:sz w:val="13"/>
                <w:szCs w:val="13"/>
                <w:color w:val="auto"/>
              </w:rPr>
              <w:t>***</w:t>
            </w:r>
          </w:p>
        </w:tc>
      </w:tr>
    </w:tbl>
    <w:p>
      <w:pPr>
        <w:spacing w:after="0" w:line="3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For more detailed information, see Sweet &amp; Baker “Summary of Insurance” document last updated October 25, 2017.</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6" w:name="page257"/>
    <w:bookmarkEnd w:id="256"/>
    <w:p>
      <w:pPr>
        <w:jc w:val="center"/>
        <w:spacing w:after="0"/>
        <w:rPr>
          <w:sz w:val="20"/>
          <w:szCs w:val="20"/>
          <w:color w:val="auto"/>
        </w:rPr>
      </w:pPr>
      <w:r>
        <w:rPr>
          <w:rFonts w:ascii="Arial" w:cs="Arial" w:eastAsia="Arial" w:hAnsi="Arial"/>
          <w:sz w:val="13"/>
          <w:szCs w:val="13"/>
          <w:b w:val="1"/>
          <w:bCs w:val="1"/>
          <w:color w:val="auto"/>
        </w:rPr>
        <w:t>SCHEDULE 3.15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Capitalization and Subsidiaries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Capitalization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1,000 shares (100% of issued and outstanding held by USA Technologies, Inc.)</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Subsidiaries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77205" cy="17145"/>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3"/>
          <w:szCs w:val="13"/>
          <w:b w:val="1"/>
          <w:bCs w:val="1"/>
          <w:color w:val="auto"/>
        </w:rPr>
        <w:t>SCHEDULE 6.01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Existing Indebtedness</w:t>
      </w:r>
    </w:p>
    <w:p>
      <w:pPr>
        <w:spacing w:after="0" w:line="124" w:lineRule="exact"/>
        <w:rPr>
          <w:sz w:val="20"/>
          <w:szCs w:val="20"/>
          <w:color w:val="auto"/>
        </w:rPr>
      </w:pPr>
    </w:p>
    <w:p>
      <w:pPr>
        <w:ind w:left="560" w:right="119" w:hanging="217"/>
        <w:spacing w:after="0" w:line="239" w:lineRule="auto"/>
        <w:tabs>
          <w:tab w:leader="none" w:pos="578" w:val="left"/>
        </w:tabs>
        <w:numPr>
          <w:ilvl w:val="0"/>
          <w:numId w:val="189"/>
        </w:numPr>
        <w:rPr>
          <w:rFonts w:ascii="Arial" w:cs="Arial" w:eastAsia="Arial" w:hAnsi="Arial"/>
          <w:sz w:val="13"/>
          <w:szCs w:val="13"/>
          <w:color w:val="auto"/>
        </w:rPr>
      </w:pPr>
      <w:r>
        <w:rPr>
          <w:rFonts w:ascii="Arial" w:cs="Arial" w:eastAsia="Arial" w:hAnsi="Arial"/>
          <w:sz w:val="13"/>
          <w:szCs w:val="13"/>
          <w:color w:val="auto"/>
        </w:rPr>
        <w:t>Note and Warrant Purchase Agreements by and between Cantaloupe Systems, Inc. and 13 private trusts and individual investors (together with Series A Promissory Notes and Warrants) dated between April and May of 2016 in the aggregate amount of $1,150,000.</w:t>
      </w:r>
    </w:p>
    <w:p>
      <w:pPr>
        <w:spacing w:after="0" w:line="103" w:lineRule="exact"/>
        <w:rPr>
          <w:rFonts w:ascii="Arial" w:cs="Arial" w:eastAsia="Arial" w:hAnsi="Arial"/>
          <w:sz w:val="13"/>
          <w:szCs w:val="13"/>
          <w:color w:val="auto"/>
        </w:rPr>
      </w:pPr>
    </w:p>
    <w:p>
      <w:pPr>
        <w:ind w:left="560" w:right="119" w:hanging="217"/>
        <w:spacing w:after="0" w:line="239" w:lineRule="auto"/>
        <w:tabs>
          <w:tab w:leader="none" w:pos="578" w:val="left"/>
        </w:tabs>
        <w:numPr>
          <w:ilvl w:val="0"/>
          <w:numId w:val="189"/>
        </w:numPr>
        <w:rPr>
          <w:rFonts w:ascii="Arial" w:cs="Arial" w:eastAsia="Arial" w:hAnsi="Arial"/>
          <w:sz w:val="13"/>
          <w:szCs w:val="13"/>
          <w:color w:val="auto"/>
        </w:rPr>
      </w:pPr>
      <w:r>
        <w:rPr>
          <w:rFonts w:ascii="Arial" w:cs="Arial" w:eastAsia="Arial" w:hAnsi="Arial"/>
          <w:sz w:val="13"/>
          <w:szCs w:val="13"/>
          <w:color w:val="auto"/>
        </w:rPr>
        <w:t>Note and Warrant Purchase Agreements by and between Cantaloupe Systems, Inc. and 4 private trusts and individual investors (together with Series B Promissory Notes and Warrants) dated June 15, 2016 in the aggregate amount of $400,000.</w:t>
      </w:r>
    </w:p>
    <w:p>
      <w:pPr>
        <w:spacing w:after="0" w:line="103" w:lineRule="exact"/>
        <w:rPr>
          <w:rFonts w:ascii="Arial" w:cs="Arial" w:eastAsia="Arial" w:hAnsi="Arial"/>
          <w:sz w:val="13"/>
          <w:szCs w:val="13"/>
          <w:color w:val="auto"/>
        </w:rPr>
      </w:pPr>
    </w:p>
    <w:p>
      <w:pPr>
        <w:ind w:left="580" w:hanging="237"/>
        <w:spacing w:after="0"/>
        <w:tabs>
          <w:tab w:leader="none" w:pos="5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Promissory Note from Cantaloupe Systems, Inc. in favor of CompuVend, Inc., dated April 1, 2014 and in the original principal amount of $765,000.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8" w:name="page259"/>
    <w:bookmarkEnd w:id="258"/>
    <w:p>
      <w:pPr>
        <w:jc w:val="center"/>
        <w:ind w:right="-20"/>
        <w:spacing w:after="0"/>
        <w:rPr>
          <w:sz w:val="20"/>
          <w:szCs w:val="20"/>
          <w:color w:val="auto"/>
        </w:rPr>
      </w:pPr>
      <w:r>
        <w:rPr>
          <w:rFonts w:ascii="Arial" w:cs="Arial" w:eastAsia="Arial" w:hAnsi="Arial"/>
          <w:sz w:val="12"/>
          <w:szCs w:val="12"/>
          <w:b w:val="1"/>
          <w:bCs w:val="1"/>
          <w:color w:val="auto"/>
        </w:rPr>
        <w:t>SCHEDULE 6.02</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Existing Liens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59" w:name="page260"/>
    <w:bookmarkEnd w:id="259"/>
    <w:p>
      <w:pPr>
        <w:jc w:val="center"/>
        <w:ind w:right="-20"/>
        <w:spacing w:after="0"/>
        <w:rPr>
          <w:sz w:val="20"/>
          <w:szCs w:val="20"/>
          <w:color w:val="auto"/>
        </w:rPr>
      </w:pPr>
      <w:r>
        <w:rPr>
          <w:rFonts w:ascii="Arial" w:cs="Arial" w:eastAsia="Arial" w:hAnsi="Arial"/>
          <w:sz w:val="13"/>
          <w:szCs w:val="13"/>
          <w:b w:val="1"/>
          <w:bCs w:val="1"/>
          <w:color w:val="auto"/>
        </w:rPr>
        <w:t>SCHEDULE 6.04</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Investments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60" w:name="page261"/>
    <w:bookmarkEnd w:id="260"/>
    <w:p>
      <w:pPr>
        <w:jc w:val="center"/>
        <w:ind w:right="-20"/>
        <w:spacing w:after="0"/>
        <w:rPr>
          <w:sz w:val="20"/>
          <w:szCs w:val="20"/>
          <w:color w:val="auto"/>
        </w:rPr>
      </w:pPr>
      <w:r>
        <w:rPr>
          <w:rFonts w:ascii="Arial" w:cs="Arial" w:eastAsia="Arial" w:hAnsi="Arial"/>
          <w:sz w:val="13"/>
          <w:szCs w:val="13"/>
          <w:b w:val="1"/>
          <w:bCs w:val="1"/>
          <w:color w:val="auto"/>
        </w:rPr>
        <w:t>SCHEDULE 6.10</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Existing Restrictions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137160</wp:posOffset>
            </wp:positionV>
            <wp:extent cx="5577205"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77205" cy="114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61" w:name="page262"/>
    <w:bookmarkEnd w:id="261"/>
    <w:p>
      <w:pPr>
        <w:jc w:val="right"/>
        <w:spacing w:after="0"/>
        <w:rPr>
          <w:sz w:val="20"/>
          <w:szCs w:val="20"/>
          <w:color w:val="auto"/>
        </w:rPr>
      </w:pPr>
      <w:r>
        <w:rPr>
          <w:rFonts w:ascii="Courier New" w:cs="Courier New" w:eastAsia="Courier New" w:hAnsi="Courier New"/>
          <w:sz w:val="15"/>
          <w:szCs w:val="15"/>
          <w:b w:val="1"/>
          <w:bCs w:val="1"/>
          <w:color w:val="auto"/>
        </w:rPr>
        <w:t>Exhibit 10.3</w:t>
      </w:r>
    </w:p>
    <w:p>
      <w:pPr>
        <w:spacing w:after="0" w:line="32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b w:val="1"/>
          <w:bCs w:val="1"/>
          <w:u w:val="single" w:color="auto"/>
          <w:color w:val="auto"/>
        </w:rPr>
        <w:t>EMPLOYMENT, NON-INTERFERENCE, NON-SOLICITATION, NON-COMPETITION AND INVENTION ASSIGNMENT AGREEMENT</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Agreement made 9th this day of November, 2017, by and between MANDEEP ARORA ("Arora"), and USA TECHNOLOGIES, INC., a Pennsylvania corporation ("USAT").</w:t>
      </w:r>
    </w:p>
    <w:p>
      <w:pPr>
        <w:spacing w:after="0" w:line="15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b w:val="1"/>
          <w:bCs w:val="1"/>
          <w:u w:val="single" w:color="auto"/>
          <w:color w:val="auto"/>
        </w:rPr>
        <w:t>BACKGROUND</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Arora was a founder, Chief Executive Officer, and stockholder of Cantaloupe Systems, Inc., a Delaware corporation (the “Company”).</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Pursuant to an Agreement and Plan of Merger dated of even date herewith by and between USAT, the Company, and certain other parties (the “Merger Agreement”), the Company has been acquired by USAT as of the date hereof through a merger, and the Company has become a wholly owned subsidiary of USAT.</w:t>
      </w:r>
    </w:p>
    <w:p>
      <w:pPr>
        <w:spacing w:after="0" w:line="166" w:lineRule="exact"/>
        <w:rPr>
          <w:sz w:val="20"/>
          <w:szCs w:val="20"/>
          <w:color w:val="auto"/>
        </w:rPr>
      </w:pPr>
    </w:p>
    <w:p>
      <w:pPr>
        <w:jc w:val="both"/>
        <w:ind w:firstLine="438"/>
        <w:spacing w:after="0" w:line="252" w:lineRule="auto"/>
        <w:rPr>
          <w:sz w:val="20"/>
          <w:szCs w:val="20"/>
          <w:color w:val="auto"/>
        </w:rPr>
      </w:pPr>
      <w:r>
        <w:rPr>
          <w:rFonts w:ascii="Courier New" w:cs="Courier New" w:eastAsia="Courier New" w:hAnsi="Courier New"/>
          <w:sz w:val="14"/>
          <w:szCs w:val="14"/>
          <w:color w:val="auto"/>
        </w:rPr>
        <w:t>USAT desires to employ Arora as an executive officer because of, among other matters, the valuable knowledge of the business of the Company by Arora, and the decreased value of the business of USAT and the Company that would result if Arora would divulge certain confidential information and compete in the business conducted by Company.</w:t>
      </w:r>
    </w:p>
    <w:p>
      <w:pPr>
        <w:spacing w:after="0" w:line="157"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As more fully set forth herein, Arora has become an executive officer of USAT, and Arora has agreed that he will be subject to certain covenants and restrictions following the date hereof.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262" w:name="page263"/>
    <w:bookmarkEnd w:id="262"/>
    <w:p>
      <w:pPr>
        <w:jc w:val="center"/>
        <w:ind w:right="-19"/>
        <w:spacing w:after="0"/>
        <w:rPr>
          <w:sz w:val="20"/>
          <w:szCs w:val="20"/>
          <w:color w:val="auto"/>
        </w:rPr>
      </w:pPr>
      <w:r>
        <w:rPr>
          <w:rFonts w:ascii="Courier New" w:cs="Courier New" w:eastAsia="Courier New" w:hAnsi="Courier New"/>
          <w:sz w:val="15"/>
          <w:szCs w:val="15"/>
          <w:b w:val="1"/>
          <w:bCs w:val="1"/>
          <w:u w:val="single" w:color="auto"/>
          <w:color w:val="auto"/>
        </w:rPr>
        <w:t>AGREEMENT</w:t>
      </w:r>
    </w:p>
    <w:p>
      <w:pPr>
        <w:spacing w:after="0" w:line="165" w:lineRule="exact"/>
        <w:rPr>
          <w:sz w:val="20"/>
          <w:szCs w:val="20"/>
          <w:color w:val="auto"/>
        </w:rPr>
      </w:pPr>
    </w:p>
    <w:p>
      <w:pPr>
        <w:ind w:firstLine="438"/>
        <w:spacing w:after="0" w:line="231" w:lineRule="auto"/>
        <w:rPr>
          <w:sz w:val="20"/>
          <w:szCs w:val="20"/>
          <w:color w:val="auto"/>
        </w:rPr>
      </w:pPr>
      <w:r>
        <w:rPr>
          <w:rFonts w:ascii="Courier New" w:cs="Courier New" w:eastAsia="Courier New" w:hAnsi="Courier New"/>
          <w:sz w:val="15"/>
          <w:szCs w:val="15"/>
          <w:color w:val="auto"/>
        </w:rPr>
        <w:t>NOW, THEREFORE, in consideration of the covenants set forth herein, and intending to be legally bound hereby, the parties agree as follows:</w:t>
      </w:r>
    </w:p>
    <w:p>
      <w:pPr>
        <w:spacing w:after="0" w:line="159" w:lineRule="exact"/>
        <w:rPr>
          <w:sz w:val="20"/>
          <w:szCs w:val="20"/>
          <w:color w:val="auto"/>
        </w:rPr>
      </w:pPr>
    </w:p>
    <w:p>
      <w:pPr>
        <w:ind w:left="800" w:hanging="354"/>
        <w:spacing w:after="0"/>
        <w:tabs>
          <w:tab w:leader="none" w:pos="800" w:val="left"/>
        </w:tabs>
        <w:numPr>
          <w:ilvl w:val="0"/>
          <w:numId w:val="19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Employment.</w:t>
      </w:r>
    </w:p>
    <w:p>
      <w:pPr>
        <w:spacing w:after="0" w:line="164" w:lineRule="exact"/>
        <w:rPr>
          <w:rFonts w:ascii="Courier New" w:cs="Courier New" w:eastAsia="Courier New" w:hAnsi="Courier New"/>
          <w:sz w:val="15"/>
          <w:szCs w:val="15"/>
          <w:b w:val="1"/>
          <w:bCs w:val="1"/>
          <w:color w:val="auto"/>
        </w:rPr>
      </w:pPr>
    </w:p>
    <w:p>
      <w:pPr>
        <w:jc w:val="both"/>
        <w:ind w:firstLine="884"/>
        <w:spacing w:after="0" w:line="250" w:lineRule="auto"/>
        <w:tabs>
          <w:tab w:leader="none" w:pos="180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USAT shall employ Arora as Chief Product Officer commencing on November 9, 2017 and continuing through November 8, 2018 (the “Employment Period”), and Arora accepts such employment. Unless terminated by either party hereto upon at least 90-days’ notice prior to the end of the original Employment Period ending November 8, 2018, or prior to the end of any one-year extension of the Employment Period, the Employment Period shall not be terminated, and shall automatically continue in full force and effect for consecutive one-year periods.</w:t>
      </w:r>
    </w:p>
    <w:p>
      <w:pPr>
        <w:spacing w:after="0" w:line="158" w:lineRule="exact"/>
        <w:rPr>
          <w:rFonts w:ascii="Courier New" w:cs="Courier New" w:eastAsia="Courier New" w:hAnsi="Courier New"/>
          <w:sz w:val="14"/>
          <w:szCs w:val="14"/>
          <w:color w:val="auto"/>
        </w:rPr>
      </w:pPr>
    </w:p>
    <w:p>
      <w:pPr>
        <w:jc w:val="both"/>
        <w:ind w:firstLine="884"/>
        <w:spacing w:after="0" w:line="231" w:lineRule="auto"/>
        <w:tabs>
          <w:tab w:leader="none" w:pos="1831"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Arora shall devote his full time, energy, skills, and attention to the business of USAT, and shall not be engaged or employed in any other activity whatsoever that competes with USAT’s or the Company’s business, nor take any action on behalf of or otherwise assist USAT’s or the Company’s competitors. Arora shall disclose to USAT Arora’s membership on the board of directors of any entity as of the date of this Agreement, and shall obtain prior approval from USAT before serving as a board member for any other entity during the Employment Period.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263" w:name="page264"/>
    <w:bookmarkEnd w:id="263"/>
    <w:p>
      <w:pPr>
        <w:jc w:val="both"/>
        <w:ind w:firstLine="884"/>
        <w:spacing w:after="0" w:line="251" w:lineRule="auto"/>
        <w:tabs>
          <w:tab w:leader="none" w:pos="177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Arora shall perform and discharge well and faithfully such duties for USAT as shall be necessary or as otherwise may be directed by USAT or by the Chief Executive Officer of USAT, and shall comply with the written terms, conditions, policies, and procedures made available to employees of USAT.</w:t>
      </w:r>
    </w:p>
    <w:p>
      <w:pPr>
        <w:spacing w:after="0" w:line="158" w:lineRule="exact"/>
        <w:rPr>
          <w:rFonts w:ascii="Courier New" w:cs="Courier New" w:eastAsia="Courier New" w:hAnsi="Courier New"/>
          <w:sz w:val="14"/>
          <w:szCs w:val="14"/>
          <w:color w:val="auto"/>
        </w:rPr>
      </w:pPr>
    </w:p>
    <w:p>
      <w:pPr>
        <w:jc w:val="both"/>
        <w:ind w:firstLine="884"/>
        <w:spacing w:after="0" w:line="231" w:lineRule="auto"/>
        <w:tabs>
          <w:tab w:leader="none" w:pos="206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prohibit Arora from (i) participating in the “Permitted Activities,” described below as long as the Permitted Activities do not involve activities or conduct which are in violation of Arora’s duties under Sections 5 and 6 of this Agreement; (ii) investing his personal assets in businesses which do not compete with USAT or the Company, in which his participation is solely that of a passive investor; (iii) serving as a member of boards of directors, boards of trustees, or other governing bodies of any organization, provided that USAT approves such board or governing body membership in advance; or (iv) participating in trade associations, charitable, civic and any similar activities of a not-for-profit, philanthropic or eleemosynary nature; or from attending educational events or classes.</w:t>
      </w:r>
    </w:p>
    <w:p>
      <w:pPr>
        <w:spacing w:after="0" w:line="169" w:lineRule="exact"/>
        <w:rPr>
          <w:rFonts w:ascii="Courier New" w:cs="Courier New" w:eastAsia="Courier New" w:hAnsi="Courier New"/>
          <w:sz w:val="15"/>
          <w:szCs w:val="15"/>
          <w:color w:val="auto"/>
        </w:rPr>
      </w:pPr>
    </w:p>
    <w:p>
      <w:pPr>
        <w:jc w:val="both"/>
        <w:ind w:firstLine="884"/>
        <w:spacing w:after="0" w:line="231" w:lineRule="auto"/>
        <w:tabs>
          <w:tab w:leader="none" w:pos="183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Activities” shall mean: (i) acting as an advisor and/or investor with Geegah, LLC, which is owned by Dr. Amit Lal, or its affiliates; (ii) developing and working with companies in the field of ultrasonic MEMs based biometric sensor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64" w:name="page265"/>
    <w:bookmarkEnd w:id="264"/>
    <w:p>
      <w:pPr>
        <w:jc w:val="both"/>
        <w:spacing w:after="0" w:line="231" w:lineRule="auto"/>
        <w:rPr>
          <w:sz w:val="20"/>
          <w:szCs w:val="20"/>
          <w:color w:val="auto"/>
        </w:rPr>
      </w:pPr>
      <w:r>
        <w:rPr>
          <w:rFonts w:ascii="Courier New" w:cs="Courier New" w:eastAsia="Courier New" w:hAnsi="Courier New"/>
          <w:sz w:val="15"/>
          <w:szCs w:val="15"/>
          <w:color w:val="auto"/>
        </w:rPr>
        <w:t>(finger print sensor) that may be incorporated into cashless payments, credit cards, debit cards, smartphones, laptops, tablets, automobiles, IOT devices, and other consumer applications; (iii) licensing or manufacturing such biometric sensor technology; (iv) advising or participating as an advisor, manager, member or trustee of Passion Fruit Holdings LLC (a family holding company) or its affiliates; (v) acting as a director of Reuzel Inc.; or (vi) acting as an advisor or director of Accel Robotics Corporation. For avoidance of doubt, Permitted Activities shall not include or refer to any activities that are in competition with any business activity conducted by USAT or the Company at any time from the date of this Agreement up until the date of Arora’s separation from USAT’s employment, including but not limited to, delivering services or products to unattended retail locations, and including any production, promotion, marketing, or sales activities relating thereto. Any participation by Arora in such Permitted Activities shall not interfere in any manner whatsoever with the performance of his duties as Chief Product Officer of USAT. Permitted activities are not considered to be performed in connection with Arora’s employment with USAT.</w:t>
      </w:r>
    </w:p>
    <w:p>
      <w:pPr>
        <w:spacing w:after="0" w:line="164" w:lineRule="exact"/>
        <w:rPr>
          <w:sz w:val="20"/>
          <w:szCs w:val="20"/>
          <w:color w:val="auto"/>
        </w:rPr>
      </w:pPr>
    </w:p>
    <w:p>
      <w:pPr>
        <w:ind w:left="800" w:hanging="354"/>
        <w:spacing w:after="0"/>
        <w:tabs>
          <w:tab w:leader="none" w:pos="800" w:val="left"/>
        </w:tabs>
        <w:numPr>
          <w:ilvl w:val="0"/>
          <w:numId w:val="1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Compensation and Benefits.</w:t>
      </w:r>
    </w:p>
    <w:p>
      <w:pPr>
        <w:spacing w:after="0" w:line="164" w:lineRule="exact"/>
        <w:rPr>
          <w:rFonts w:ascii="Courier New" w:cs="Courier New" w:eastAsia="Courier New" w:hAnsi="Courier New"/>
          <w:sz w:val="15"/>
          <w:szCs w:val="15"/>
          <w:b w:val="1"/>
          <w:bCs w:val="1"/>
          <w:color w:val="auto"/>
        </w:rPr>
      </w:pPr>
    </w:p>
    <w:p>
      <w:pPr>
        <w:ind w:firstLine="884"/>
        <w:spacing w:after="0" w:line="231" w:lineRule="auto"/>
        <w:tabs>
          <w:tab w:leader="none" w:pos="1769"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his services rendered, USAT shall pay to Arora, effective as of November 9, 2017, an “Annual Base Salary” of $280,000 per year during the Employment Period,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65" w:name="page266"/>
    <w:bookmarkEnd w:id="265"/>
    <w:p>
      <w:pPr>
        <w:spacing w:after="0" w:line="230" w:lineRule="auto"/>
        <w:rPr>
          <w:sz w:val="20"/>
          <w:szCs w:val="20"/>
          <w:color w:val="auto"/>
        </w:rPr>
      </w:pPr>
      <w:r>
        <w:rPr>
          <w:rFonts w:ascii="Courier New" w:cs="Courier New" w:eastAsia="Courier New" w:hAnsi="Courier New"/>
          <w:sz w:val="15"/>
          <w:szCs w:val="15"/>
          <w:color w:val="auto"/>
        </w:rPr>
        <w:t>subject to any withholding required by law. Arora’s Annual Base Salary may be increased (and not decreased) from time to time in the discretion of the Board of Directors of USAT.</w:t>
      </w:r>
    </w:p>
    <w:p>
      <w:pPr>
        <w:spacing w:after="0" w:line="166" w:lineRule="exact"/>
        <w:rPr>
          <w:sz w:val="20"/>
          <w:szCs w:val="20"/>
          <w:color w:val="auto"/>
        </w:rPr>
      </w:pPr>
    </w:p>
    <w:p>
      <w:pPr>
        <w:jc w:val="both"/>
        <w:ind w:firstLine="884"/>
        <w:spacing w:after="0" w:line="231" w:lineRule="auto"/>
        <w:tabs>
          <w:tab w:leader="none" w:pos="176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Annual Base Salary, Arora shall be eligible to receive such bonus or bonuses as the Board of Directors of USAT may, in their discretion, pay or award to Arora from time to time based upon his performance and/or the performance of USAT. All such bonuses in this regard may be made in cash, common stock or other equity of USAT.</w:t>
      </w:r>
    </w:p>
    <w:p>
      <w:pPr>
        <w:spacing w:after="0" w:line="166" w:lineRule="exact"/>
        <w:rPr>
          <w:rFonts w:ascii="Courier New" w:cs="Courier New" w:eastAsia="Courier New" w:hAnsi="Courier New"/>
          <w:sz w:val="15"/>
          <w:szCs w:val="15"/>
          <w:color w:val="auto"/>
        </w:rPr>
      </w:pPr>
    </w:p>
    <w:p>
      <w:pPr>
        <w:jc w:val="both"/>
        <w:ind w:firstLine="884"/>
        <w:spacing w:after="0" w:line="231" w:lineRule="auto"/>
        <w:tabs>
          <w:tab w:leader="none" w:pos="189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shall also participate in and shall be eligible for compensation under the Short-Term Cash Incentive Plan (the “STI Plan”) and in the Long-Term Stock Incentive Plan (the “LTI Stock Plan”) established by the Board of Directors for fiscal year 2018 and each fiscal year during the Employment Period for the executive officers of USAT. The target bonuses and awards for Arora under the STI Plan and the LTI Stock Plan shall be approved by the Board of Directors and shall be based upon his Annual Base Salary.</w:t>
      </w:r>
    </w:p>
    <w:p>
      <w:pPr>
        <w:spacing w:after="0" w:line="167" w:lineRule="exact"/>
        <w:rPr>
          <w:rFonts w:ascii="Courier New" w:cs="Courier New" w:eastAsia="Courier New" w:hAnsi="Courier New"/>
          <w:sz w:val="15"/>
          <w:szCs w:val="15"/>
          <w:color w:val="auto"/>
        </w:rPr>
      </w:pPr>
    </w:p>
    <w:p>
      <w:pPr>
        <w:jc w:val="both"/>
        <w:ind w:firstLine="884"/>
        <w:spacing w:after="0" w:line="231" w:lineRule="auto"/>
        <w:tabs>
          <w:tab w:leader="none" w:pos="196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2018, Arora’s STI Plan and LTI Stock Plan awards would be pro-rated from November 9, 2017 through June 30, 2018. If the year-over-year percentage target goals would be achieved under the LTI Stock Plan for the 2018 fiscal year, Arora would earn an award of shares under the LTI Stock Plan with a value equal to 100% of his Annual Base Salary (subject to proration). If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66" w:name="page267"/>
    <w:bookmarkEnd w:id="266"/>
    <w:p>
      <w:pPr>
        <w:spacing w:after="0" w:line="230" w:lineRule="auto"/>
        <w:rPr>
          <w:sz w:val="20"/>
          <w:szCs w:val="20"/>
          <w:color w:val="auto"/>
        </w:rPr>
      </w:pPr>
      <w:r>
        <w:rPr>
          <w:rFonts w:ascii="Courier New" w:cs="Courier New" w:eastAsia="Courier New" w:hAnsi="Courier New"/>
          <w:sz w:val="15"/>
          <w:szCs w:val="15"/>
          <w:color w:val="auto"/>
        </w:rPr>
        <w:t>the target goals under the STI Plan would be achieved for the 2018 fiscal year, Arora would earn a cash bonus equal to 40% of his Annual Base Salary (subject to proration).</w:t>
      </w:r>
    </w:p>
    <w:p>
      <w:pPr>
        <w:spacing w:after="0" w:line="166" w:lineRule="exact"/>
        <w:rPr>
          <w:sz w:val="20"/>
          <w:szCs w:val="20"/>
          <w:color w:val="auto"/>
        </w:rPr>
      </w:pPr>
    </w:p>
    <w:p>
      <w:pPr>
        <w:jc w:val="both"/>
        <w:ind w:firstLine="884"/>
        <w:spacing w:after="0" w:line="248" w:lineRule="auto"/>
        <w:tabs>
          <w:tab w:leader="none" w:pos="1827"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Bonus. In addition to the compensation described above, Arora shall be eligible to receive a cash bonus in the aggregate amount of up to $420,000 (the “Retention Bonus”). The Retention Bonus shall only be earned by Arora as follows: one-half thereof ($210,000) if he remains employed with USAT on the first annual anniversary of the date of this Agreement; and one-half thereof ($210,000) if he remains employed with USAT on the second annual anniversary of this Agreement. There are to be no partial payments of the two Retention Bonus payments referred to in the preceding sentence. The portion of the Retention Bonus that may be earned by Arora shall be paid to Arora by USAT at the time of the first employee payroll of USAT occurring after the applicable date on which the Retention Bonus has been earned by Arora. Notwithstanding the prior sentence, (i) if Arora is terminated by USAT without Cause, as defined below, (ii) if Arora terminates for Good Reason, as defined below, or</w:t>
      </w:r>
    </w:p>
    <w:p>
      <w:pPr>
        <w:spacing w:after="0" w:line="2" w:lineRule="exact"/>
        <w:rPr>
          <w:rFonts w:ascii="Courier New" w:cs="Courier New" w:eastAsia="Courier New" w:hAnsi="Courier New"/>
          <w:sz w:val="14"/>
          <w:szCs w:val="14"/>
          <w:color w:val="auto"/>
        </w:rPr>
      </w:pPr>
    </w:p>
    <w:p>
      <w:pPr>
        <w:jc w:val="both"/>
        <w:ind w:firstLine="8"/>
        <w:spacing w:after="0" w:line="231" w:lineRule="auto"/>
        <w:tabs>
          <w:tab w:leader="none" w:pos="54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not renewed by USAT under Section 1(a); all of the then unearned Retention Bonus, if any, shall be deemed to have been earned by Arora, and shall be paid by USAT to Arora within ten (10) days following the date of such termination. It is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67" w:name="page268"/>
    <w:bookmarkEnd w:id="267"/>
    <w:p>
      <w:pPr>
        <w:spacing w:after="0" w:line="230" w:lineRule="auto"/>
        <w:rPr>
          <w:sz w:val="20"/>
          <w:szCs w:val="20"/>
          <w:color w:val="auto"/>
        </w:rPr>
      </w:pPr>
      <w:r>
        <w:rPr>
          <w:rFonts w:ascii="Courier New" w:cs="Courier New" w:eastAsia="Courier New" w:hAnsi="Courier New"/>
          <w:sz w:val="15"/>
          <w:szCs w:val="15"/>
          <w:color w:val="auto"/>
        </w:rPr>
        <w:t>understood and agreed that the Retention Bonus shall be subject to and reduced by any withholding required under applicable laws.</w:t>
      </w:r>
    </w:p>
    <w:p>
      <w:pPr>
        <w:spacing w:after="0" w:line="166" w:lineRule="exact"/>
        <w:rPr>
          <w:sz w:val="20"/>
          <w:szCs w:val="20"/>
          <w:color w:val="auto"/>
        </w:rPr>
      </w:pPr>
    </w:p>
    <w:p>
      <w:pPr>
        <w:jc w:val="both"/>
        <w:ind w:firstLine="884"/>
        <w:spacing w:after="0" w:line="231" w:lineRule="auto"/>
        <w:tabs>
          <w:tab w:leader="none" w:pos="17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shall be entitled to be reimbursed by USAT for all necessary expenses reasonably incurred by Arora in connection with the discharge of his employment duties hereunder, consistent with California Labor Code Section 2802. Arora shall reasonably document all requests for expense reimbursements.</w:t>
      </w:r>
    </w:p>
    <w:p>
      <w:pPr>
        <w:spacing w:after="0" w:line="166" w:lineRule="exact"/>
        <w:rPr>
          <w:rFonts w:ascii="Courier New" w:cs="Courier New" w:eastAsia="Courier New" w:hAnsi="Courier New"/>
          <w:sz w:val="15"/>
          <w:szCs w:val="15"/>
          <w:color w:val="auto"/>
        </w:rPr>
      </w:pPr>
    </w:p>
    <w:p>
      <w:pPr>
        <w:jc w:val="both"/>
        <w:ind w:firstLine="884"/>
        <w:spacing w:after="0" w:line="231" w:lineRule="auto"/>
        <w:tabs>
          <w:tab w:leader="none" w:pos="1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Period, Arora shall be entitled to participate in and be covered by all standard fringe and employee benefits made available to other employees of USAT. During the Employment Period, Arora shall be entitled to 20 days paid time off (“PTO”) each full calendar year consistent with other employees of USAT. Arora is not entitled to any accrued or unused vacation pay from his employment with the Company prior to the date of this Agreement. Any PTO shall be taken at the reasonable and mutual convenience of USAT and Arora. Holidays shall be provided in accordance with USAT policy, as in effect from time to time.</w:t>
      </w:r>
    </w:p>
    <w:p>
      <w:pPr>
        <w:spacing w:after="0" w:line="167" w:lineRule="exact"/>
        <w:rPr>
          <w:rFonts w:ascii="Courier New" w:cs="Courier New" w:eastAsia="Courier New" w:hAnsi="Courier New"/>
          <w:sz w:val="15"/>
          <w:szCs w:val="15"/>
          <w:color w:val="auto"/>
        </w:rPr>
      </w:pPr>
    </w:p>
    <w:p>
      <w:pPr>
        <w:ind w:firstLine="884"/>
        <w:spacing w:after="0" w:line="231" w:lineRule="auto"/>
        <w:tabs>
          <w:tab w:leader="none" w:pos="188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acknowledges that the above compensation and the purchase of his stock of the Company pursuant to the Merger Agreement are sufficient consideration for his entering into this Agreement.</w:t>
      </w:r>
    </w:p>
    <w:p>
      <w:pPr>
        <w:spacing w:after="0" w:line="28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68" w:name="page269"/>
    <w:bookmarkEnd w:id="268"/>
    <w:p>
      <w:pPr>
        <w:ind w:left="800" w:hanging="354"/>
        <w:spacing w:after="0"/>
        <w:tabs>
          <w:tab w:leader="none" w:pos="800" w:val="left"/>
        </w:tabs>
        <w:numPr>
          <w:ilvl w:val="0"/>
          <w:numId w:val="19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Termination.</w:t>
      </w:r>
    </w:p>
    <w:p>
      <w:pPr>
        <w:spacing w:after="0" w:line="164" w:lineRule="exact"/>
        <w:rPr>
          <w:rFonts w:ascii="Courier New" w:cs="Courier New" w:eastAsia="Courier New" w:hAnsi="Courier New"/>
          <w:sz w:val="15"/>
          <w:szCs w:val="15"/>
          <w:b w:val="1"/>
          <w:bCs w:val="1"/>
          <w:color w:val="auto"/>
        </w:rPr>
      </w:pPr>
    </w:p>
    <w:p>
      <w:pPr>
        <w:ind w:firstLine="884"/>
        <w:spacing w:after="0" w:line="231" w:lineRule="auto"/>
        <w:tabs>
          <w:tab w:leader="none" w:pos="180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Arora’s employment hereunder may be terminated by USAT or Arora, as applicable, only under the following circumstances:</w:t>
      </w:r>
    </w:p>
    <w:p>
      <w:pPr>
        <w:spacing w:after="0" w:line="159" w:lineRule="exact"/>
        <w:rPr>
          <w:rFonts w:ascii="Courier New" w:cs="Courier New" w:eastAsia="Courier New" w:hAnsi="Courier New"/>
          <w:sz w:val="15"/>
          <w:szCs w:val="15"/>
          <w:color w:val="auto"/>
        </w:rPr>
      </w:pPr>
    </w:p>
    <w:p>
      <w:pPr>
        <w:ind w:left="2200" w:hanging="878"/>
        <w:spacing w:after="0"/>
        <w:tabs>
          <w:tab w:leader="none" w:pos="2200"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Arora’s employment hereunder shall terminate upon Arora’s death.</w:t>
      </w:r>
    </w:p>
    <w:p>
      <w:pPr>
        <w:spacing w:after="0" w:line="164" w:lineRule="exact"/>
        <w:rPr>
          <w:rFonts w:ascii="Courier New" w:cs="Courier New" w:eastAsia="Courier New" w:hAnsi="Courier New"/>
          <w:sz w:val="15"/>
          <w:szCs w:val="15"/>
          <w:color w:val="auto"/>
        </w:rPr>
      </w:pPr>
    </w:p>
    <w:p>
      <w:pPr>
        <w:jc w:val="both"/>
        <w:ind w:firstLine="1322"/>
        <w:spacing w:after="0" w:line="231" w:lineRule="auto"/>
        <w:tabs>
          <w:tab w:leader="none" w:pos="2290"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Arora’s employment hereunder shall terminate if Arora is no longer able to competently and effectively perform his job duties due to disability (consistent with any and all applicable federal and state disability and leave laws). If Arora incurs a Disability, USAT may give Arora written notice of its intention to terminate Arora’s employment. In that event, Arora’s employment with USAT shall terminate, effective on the later of the thirtieth (30th) day after receipt of such notice by Arora or the date specified in such notice; provided that within the thirty (30) day period following receipt of such notice, Arora shall not have returned to full-time performance of Arora’s duties hereunder. “Disability” shall mean Arora’s inability to engage in his job duties existing pursuant to this Agreement by reason of a medically determinable physical or mental impairment that can be expected to result in death or that can be expected to last for a continuous period of not less than six (6) months.</w:t>
      </w:r>
    </w:p>
    <w:p>
      <w:pPr>
        <w:spacing w:after="0" w:line="170" w:lineRule="exact"/>
        <w:rPr>
          <w:rFonts w:ascii="Courier New" w:cs="Courier New" w:eastAsia="Courier New" w:hAnsi="Courier New"/>
          <w:sz w:val="15"/>
          <w:szCs w:val="15"/>
          <w:color w:val="auto"/>
        </w:rPr>
      </w:pPr>
    </w:p>
    <w:p>
      <w:pPr>
        <w:ind w:left="2420" w:hanging="1098"/>
        <w:spacing w:after="0"/>
        <w:tabs>
          <w:tab w:leader="none" w:pos="2420" w:val="left"/>
        </w:tabs>
        <w:numPr>
          <w:ilvl w:val="2"/>
          <w:numId w:val="1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for  Cause.   USAT  may  terminate  Arora’s  employment  for  “Cause,”  as  defined</w:t>
      </w:r>
    </w:p>
    <w:p>
      <w:pPr>
        <w:spacing w:after="0" w:line="16" w:lineRule="exact"/>
        <w:rPr>
          <w:rFonts w:ascii="Courier New" w:cs="Courier New" w:eastAsia="Courier New" w:hAnsi="Courier New"/>
          <w:sz w:val="13"/>
          <w:szCs w:val="13"/>
          <w:color w:val="auto"/>
        </w:rPr>
      </w:pPr>
    </w:p>
    <w:p>
      <w:pPr>
        <w:spacing w:after="0" w:line="231" w:lineRule="auto"/>
        <w:rPr>
          <w:rFonts w:ascii="Courier New" w:cs="Courier New" w:eastAsia="Courier New" w:hAnsi="Courier New"/>
          <w:sz w:val="13"/>
          <w:szCs w:val="13"/>
          <w:color w:val="auto"/>
        </w:rPr>
      </w:pPr>
      <w:r>
        <w:rPr>
          <w:rFonts w:ascii="Courier New" w:cs="Courier New" w:eastAsia="Courier New" w:hAnsi="Courier New"/>
          <w:sz w:val="15"/>
          <w:szCs w:val="15"/>
          <w:color w:val="auto"/>
        </w:rPr>
        <w:t>below.</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269" w:name="page270"/>
    <w:bookmarkEnd w:id="269"/>
    <w:p>
      <w:pPr>
        <w:ind w:left="2180" w:hanging="878"/>
        <w:spacing w:after="0"/>
        <w:tabs>
          <w:tab w:leader="none" w:pos="2180"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USAT may terminate Arora’s employment without Cause.</w:t>
      </w:r>
    </w:p>
    <w:p>
      <w:pPr>
        <w:spacing w:after="0" w:line="158" w:lineRule="exact"/>
        <w:rPr>
          <w:rFonts w:ascii="Courier New" w:cs="Courier New" w:eastAsia="Courier New" w:hAnsi="Courier New"/>
          <w:sz w:val="15"/>
          <w:szCs w:val="15"/>
          <w:color w:val="auto"/>
        </w:rPr>
      </w:pPr>
    </w:p>
    <w:p>
      <w:pPr>
        <w:ind w:left="2180" w:hanging="878"/>
        <w:spacing w:after="0"/>
        <w:tabs>
          <w:tab w:leader="none" w:pos="2180"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may resign from Arora’s employment for “Good Reason,” as defined below.</w:t>
      </w:r>
    </w:p>
    <w:p>
      <w:pPr>
        <w:spacing w:after="0" w:line="158" w:lineRule="exact"/>
        <w:rPr>
          <w:rFonts w:ascii="Courier New" w:cs="Courier New" w:eastAsia="Courier New" w:hAnsi="Courier New"/>
          <w:sz w:val="15"/>
          <w:szCs w:val="15"/>
          <w:color w:val="auto"/>
        </w:rPr>
      </w:pPr>
    </w:p>
    <w:p>
      <w:pPr>
        <w:ind w:left="2180" w:hanging="878"/>
        <w:spacing w:after="0"/>
        <w:tabs>
          <w:tab w:leader="none" w:pos="2180"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may resign from Arora’s employment without Good Reason.</w:t>
      </w:r>
    </w:p>
    <w:p>
      <w:pPr>
        <w:spacing w:after="0" w:line="164" w:lineRule="exact"/>
        <w:rPr>
          <w:rFonts w:ascii="Courier New" w:cs="Courier New" w:eastAsia="Courier New" w:hAnsi="Courier New"/>
          <w:sz w:val="15"/>
          <w:szCs w:val="15"/>
          <w:color w:val="auto"/>
        </w:rPr>
      </w:pPr>
    </w:p>
    <w:p>
      <w:pPr>
        <w:jc w:val="both"/>
        <w:ind w:left="-20" w:firstLine="884"/>
        <w:spacing w:after="0" w:line="231" w:lineRule="auto"/>
        <w:tabs>
          <w:tab w:leader="none" w:pos="183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Arora’s employment by USAT or by Arora under this Section 3 (other than a termination pursuant to Section 3(a)(i) or (ii) above) shall be communicated by a written notice to the other party hereto (a “Notice of Termination”): (i) indicating the specific termination provision in this Agreement relied upon, and (ii) except with respect to a termination pursuant to Sections 3(a)(iv) or (vi), setting forth in reasonable detail the facts and circumstances claimed to provide a basis for termination of Arora’s employment under the provision so indicated, and (iii) specifying a Date of Termination which, if submitted by Arora, shall be at least thirty (30) days following the date of such notice; provided, however, that a Notice of Termination delivered by USAT pursuant to Section 3(a)(ii) shall not be required to specify a Date of Termination, in which case the Date of Termination shall be determined pursuant to Section 3(a)(ii); and provided, further, that in the event that Arora delivers a Notice of Termination to USAT, USAT may, in its sole discretion, accelerate the Date of Termination to any date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4338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20"/>
          </w:cols>
          <w:pgMar w:left="900" w:top="295" w:right="879" w:bottom="1440" w:gutter="0" w:footer="0" w:header="0"/>
        </w:sectPr>
      </w:pPr>
    </w:p>
    <w:bookmarkStart w:id="270" w:name="page271"/>
    <w:bookmarkEnd w:id="270"/>
    <w:p>
      <w:pPr>
        <w:jc w:val="both"/>
        <w:spacing w:after="0" w:line="231" w:lineRule="auto"/>
        <w:rPr>
          <w:sz w:val="20"/>
          <w:szCs w:val="20"/>
          <w:color w:val="auto"/>
        </w:rPr>
      </w:pPr>
      <w:r>
        <w:rPr>
          <w:rFonts w:ascii="Courier New" w:cs="Courier New" w:eastAsia="Courier New" w:hAnsi="Courier New"/>
          <w:sz w:val="15"/>
          <w:szCs w:val="15"/>
          <w:color w:val="auto"/>
        </w:rPr>
        <w:t>that occurs following the date of USAT’s receipt of such Notice of Termination (even if such date is prior to the date specified in such Notice of Termination). A Notice of Termination submitted by USAT (other than a Notice of Termination under Section 3(a)(ii) above) may provide for a Date of Termination on the date Arora receives the Notice of Termination, or any date thereafter elected by USAT in its sole discretion. The failure by USAT or Arora to set forth in the Notice of Termination any fact or circumstance which contributes to a showing of Cause or Good Reason shall not waive any right of USAT or Arora hereunder or preclude USAT or Arora from asserting such fact or circumstance in enforcing USAT’s or Arora’s rights hereunder.</w:t>
      </w:r>
    </w:p>
    <w:p>
      <w:pPr>
        <w:spacing w:after="0" w:line="168" w:lineRule="exact"/>
        <w:rPr>
          <w:sz w:val="20"/>
          <w:szCs w:val="20"/>
          <w:color w:val="auto"/>
        </w:rPr>
      </w:pPr>
    </w:p>
    <w:p>
      <w:pPr>
        <w:jc w:val="both"/>
        <w:ind w:firstLine="884"/>
        <w:spacing w:after="0" w:line="248" w:lineRule="auto"/>
        <w:tabs>
          <w:tab w:leader="none" w:pos="1805"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USAT shall have “Cause” to terminate Arora’s employment hereunder upon: (i) Arora’s conviction or Arora’s entry of a guilty plea or plea of no contest to any felony or to any other crime involving moral turpitude; or (ii) Arora materially breaches any term, condition, representation, or warranty of this Agreement; or</w:t>
      </w:r>
    </w:p>
    <w:p>
      <w:pPr>
        <w:jc w:val="both"/>
        <w:ind w:firstLine="8"/>
        <w:spacing w:after="0" w:line="231" w:lineRule="auto"/>
        <w:tabs>
          <w:tab w:leader="none" w:pos="52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willfully abandons his duties hereunder, unless arising from Arora’s Disability; or (iv) Arora’s fraud, gross malfeasance or willful misconduct with respect to USAT’s business; or (v) any willful violation by Arora of any law, rule or regulation, which violation results or could reasonably be expected to result in material harm to the business or reputation of USAT; or (vi) any intentional misapplication by Arora of USAT’s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1" w:name="page272"/>
    <w:bookmarkEnd w:id="271"/>
    <w:p>
      <w:pPr>
        <w:jc w:val="both"/>
        <w:spacing w:after="0" w:line="231" w:lineRule="auto"/>
        <w:rPr>
          <w:sz w:val="20"/>
          <w:szCs w:val="20"/>
          <w:color w:val="auto"/>
        </w:rPr>
      </w:pPr>
      <w:r>
        <w:rPr>
          <w:rFonts w:ascii="Courier New" w:cs="Courier New" w:eastAsia="Courier New" w:hAnsi="Courier New"/>
          <w:sz w:val="15"/>
          <w:szCs w:val="15"/>
          <w:color w:val="auto"/>
        </w:rPr>
        <w:t>funds; or (vii) any willful failure by Arora to obey the reasonable and lawful instructions from USAT’s Chief Executive Officer or the Board made within the scope of the Chief Executive Officer’s or Board’s respective authority in a manner that is both material in nature and detrimental to USAT; and which, in the case of clauses</w:t>
      </w:r>
    </w:p>
    <w:p>
      <w:pPr>
        <w:spacing w:after="0" w:line="1" w:lineRule="exact"/>
        <w:rPr>
          <w:sz w:val="20"/>
          <w:szCs w:val="20"/>
          <w:color w:val="auto"/>
        </w:rPr>
      </w:pPr>
    </w:p>
    <w:p>
      <w:pPr>
        <w:jc w:val="both"/>
        <w:ind w:firstLine="8"/>
        <w:spacing w:after="0" w:line="231" w:lineRule="auto"/>
        <w:tabs>
          <w:tab w:leader="none" w:pos="45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(vii), continues beyond thirty (30) days after USAT has provided Arora written notice of such failure or breach. Upon such termination, neither party hereto shall have any further duties or obligations except as provided in this Section; however, that Arora's obligations under Sections 5 and 6 hereof shall survive any such termination.</w:t>
      </w:r>
    </w:p>
    <w:p>
      <w:pPr>
        <w:spacing w:after="0" w:line="166" w:lineRule="exact"/>
        <w:rPr>
          <w:rFonts w:ascii="Courier New" w:cs="Courier New" w:eastAsia="Courier New" w:hAnsi="Courier New"/>
          <w:sz w:val="15"/>
          <w:szCs w:val="15"/>
          <w:color w:val="auto"/>
        </w:rPr>
      </w:pPr>
    </w:p>
    <w:p>
      <w:pPr>
        <w:jc w:val="both"/>
        <w:ind w:firstLine="884"/>
        <w:spacing w:after="0" w:line="231" w:lineRule="auto"/>
        <w:tabs>
          <w:tab w:leader="none" w:pos="190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shall have “Good Reason” to terminate Arora’s employment hereunder within ninety (90) days after the initial occurrence of one or more of the following conditions: (i) a material diminution in Arora’s authority, duties, or responsibilities, as described herein; (ii) a material diminution in Arora’s Annual Base Salary or if USAT maintains a LTI and STI plan and Arora’s performance level bonus is decreased and the percentage of decrease is materially higher than the decrease for other USAT C-level executives (other than the Chief Executive Officer and the Chief Financial Officer); (iii) any other action or inaction that constitutes a material breach of this Agreement by USAT; (iv) a relocation of Arora’s principal office and place of business to a location more than thirty (30) miles from Arora’s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2" w:name="page273"/>
    <w:bookmarkEnd w:id="272"/>
    <w:p>
      <w:pPr>
        <w:jc w:val="both"/>
        <w:spacing w:after="0" w:line="231" w:lineRule="auto"/>
        <w:rPr>
          <w:sz w:val="20"/>
          <w:szCs w:val="20"/>
          <w:color w:val="auto"/>
        </w:rPr>
      </w:pPr>
      <w:r>
        <w:rPr>
          <w:rFonts w:ascii="Courier New" w:cs="Courier New" w:eastAsia="Courier New" w:hAnsi="Courier New"/>
          <w:sz w:val="15"/>
          <w:szCs w:val="15"/>
          <w:color w:val="auto"/>
        </w:rPr>
        <w:t>current residence in San Francisco, California and which, in the case of any of the foregoing, continues beyond thirty (30) days after Arora has provided USAT written notice that Arora believes in good faith that such condition giving rise to such claim of Good Reason has occurred, so long as such notice is provided within ninety (90) days after the initial existence of such condition.</w:t>
      </w:r>
    </w:p>
    <w:p>
      <w:pPr>
        <w:spacing w:after="0" w:line="166" w:lineRule="exact"/>
        <w:rPr>
          <w:sz w:val="20"/>
          <w:szCs w:val="20"/>
          <w:color w:val="auto"/>
        </w:rPr>
      </w:pPr>
    </w:p>
    <w:p>
      <w:pPr>
        <w:jc w:val="both"/>
        <w:ind w:firstLine="884"/>
        <w:spacing w:after="0" w:line="231" w:lineRule="auto"/>
        <w:tabs>
          <w:tab w:leader="none" w:pos="180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shall mean (i) if Arora’s employment is terminated due to Arora’s death, the date of Arora’s death; (ii) if Arora’s employment is terminated due to Arora’s Disability, the date determined pursuant to Section 3(a)(ii); or (iii) if Arora’s employment is terminated pursuant to Section 3(a)(iii)-(vi) either the date indicated in the Notice of Termination or the date specified by USAT pursuant to Section 3(b), whichever is earlier.</w:t>
      </w:r>
    </w:p>
    <w:p>
      <w:pPr>
        <w:spacing w:after="0" w:line="16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20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USAT Obligations Upon Termination of Employment</w:t>
      </w:r>
    </w:p>
    <w:p>
      <w:pPr>
        <w:spacing w:after="0" w:line="164" w:lineRule="exact"/>
        <w:rPr>
          <w:rFonts w:ascii="Courier New" w:cs="Courier New" w:eastAsia="Courier New" w:hAnsi="Courier New"/>
          <w:sz w:val="15"/>
          <w:szCs w:val="15"/>
          <w:b w:val="1"/>
          <w:bCs w:val="1"/>
          <w:color w:val="auto"/>
        </w:rPr>
      </w:pPr>
    </w:p>
    <w:p>
      <w:pPr>
        <w:jc w:val="both"/>
        <w:ind w:firstLine="884"/>
        <w:spacing w:after="0" w:line="250" w:lineRule="auto"/>
        <w:tabs>
          <w:tab w:leader="none" w:pos="1769"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Upon a termination of Arora’s employment for any reason, Arora (or Arora’s estate) shall be entitled to receive: (i) any portion of Arora’s Annual Base Salary through the Date of Termination not theretofore paid, (ii) any expenses owed to Arora under Section 2(f), (iii) any accrued but unused PTO pay owed to Arora pursuant to Section 2(g), and (iv) any amount arising from Arora’s participation in, or benefits under, any employee benefit plans, programs or arrangements under Section 2(g), which amounts shall be payable or vested 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5"/>
          <w:szCs w:val="15"/>
          <w:color w:val="auto"/>
        </w:rPr>
        <w:t>accordance with the terms and conditions of such employee benefit plans, programs or arrangements.</w:t>
      </w:r>
    </w:p>
    <w:p>
      <w:pPr>
        <w:spacing w:after="0" w:line="165" w:lineRule="exact"/>
        <w:rPr>
          <w:sz w:val="20"/>
          <w:szCs w:val="20"/>
          <w:color w:val="auto"/>
        </w:rPr>
      </w:pPr>
    </w:p>
    <w:p>
      <w:pPr>
        <w:jc w:val="both"/>
        <w:ind w:firstLine="884"/>
        <w:spacing w:after="0" w:line="231" w:lineRule="auto"/>
        <w:tabs>
          <w:tab w:leader="none" w:pos="188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Arora’s termination of employment by USAT without Cause pursuant to Section 3(a)(iv) or by Arora’s resignation for Good Reason pursuant to Section 3(a)(v), USAT shall pay Arora any STI or LTI award that was earned prior to Termination, and any portion of any STI or LTI award for the year in which Termination occurs with the award and targets adjusted pro rata for the partial year. For the purposes of this Subsection 4(b), the term earned shall mean the pro rata target for the STI or LTI as of the date of Arora’s termination without Cause, regardless whether Arora is employed for USAT’s full fiscal year. Except as otherwise set forth in Section 4(c) below, the payments and benefits described in Section 4(a) and this Section 4(b) shall be the only payments and benefits payable in the event of Arora’s termination of employment for any reason.</w:t>
      </w:r>
    </w:p>
    <w:p>
      <w:pPr>
        <w:spacing w:after="0" w:line="169" w:lineRule="exact"/>
        <w:rPr>
          <w:rFonts w:ascii="Courier New" w:cs="Courier New" w:eastAsia="Courier New" w:hAnsi="Courier New"/>
          <w:sz w:val="15"/>
          <w:szCs w:val="15"/>
          <w:color w:val="auto"/>
        </w:rPr>
      </w:pPr>
    </w:p>
    <w:p>
      <w:pPr>
        <w:jc w:val="both"/>
        <w:ind w:firstLine="884"/>
        <w:spacing w:after="0" w:line="231" w:lineRule="auto"/>
        <w:tabs>
          <w:tab w:leader="none" w:pos="191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Payments. In the event of (1) Arora’s termination of employment by USAT without Cause pursuant to Section 3(a)(iv), (2) by Arora’s resignation for Good Reason pursuant to Section 3(a)(v), or (3) nonrenewal of this Agreement under Section 1(a) by USAT; in addition to the payments and benefits described in Sections 4(a) and 4(b) above, USAT shall, subject to Section 15 and Section 4(d) and subject to Arora’s execution of a release of any and all claims, suits, or causes of action (except for 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274" w:name="page275"/>
    <w:bookmarkEnd w:id="274"/>
    <w:p>
      <w:pPr>
        <w:spacing w:after="0" w:line="230" w:lineRule="auto"/>
        <w:rPr>
          <w:sz w:val="20"/>
          <w:szCs w:val="20"/>
          <w:color w:val="auto"/>
        </w:rPr>
      </w:pPr>
      <w:r>
        <w:rPr>
          <w:rFonts w:ascii="Courier New" w:cs="Courier New" w:eastAsia="Courier New" w:hAnsi="Courier New"/>
          <w:sz w:val="15"/>
          <w:szCs w:val="15"/>
          <w:color w:val="auto"/>
        </w:rPr>
        <w:t>USAT post termination obligations under this Agreement) against USAT and its affiliates in form reasonably acceptable to USAT:</w:t>
      </w:r>
    </w:p>
    <w:p>
      <w:pPr>
        <w:spacing w:after="0" w:line="166" w:lineRule="exact"/>
        <w:rPr>
          <w:sz w:val="20"/>
          <w:szCs w:val="20"/>
          <w:color w:val="auto"/>
        </w:rPr>
      </w:pPr>
    </w:p>
    <w:p>
      <w:pPr>
        <w:jc w:val="both"/>
        <w:ind w:firstLine="1322"/>
        <w:spacing w:after="0" w:line="231" w:lineRule="auto"/>
        <w:tabs>
          <w:tab w:leader="none" w:pos="2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pay to Arora Annual Base Salary (as it exists on the Date of Termination), during the period beginning on the Date of Termination and ending on the first anniversary of the Date of Termination (the “Severance Period”) in accordance with USAT’s regular payroll practice as of the Date of Termination; and</w:t>
      </w:r>
    </w:p>
    <w:p>
      <w:pPr>
        <w:spacing w:after="0" w:line="166" w:lineRule="exact"/>
        <w:rPr>
          <w:rFonts w:ascii="Courier New" w:cs="Courier New" w:eastAsia="Courier New" w:hAnsi="Courier New"/>
          <w:sz w:val="15"/>
          <w:szCs w:val="15"/>
          <w:color w:val="auto"/>
        </w:rPr>
      </w:pPr>
    </w:p>
    <w:p>
      <w:pPr>
        <w:jc w:val="both"/>
        <w:ind w:firstLine="1322"/>
        <w:spacing w:after="0" w:line="231" w:lineRule="auto"/>
        <w:tabs>
          <w:tab w:leader="none" w:pos="223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during the Severance Period coverage for Arora and any eligible dependents under all USAT group health benefit plans in which Arora and any dependents were entitled to participate immediately prior to the Date of Termination, to the extent permitted (“Continued Coverage”); provided that if such Continued Coverage would result in penalties under Section 4980D of the Code, then USAT may in its sole discretion provide that (i) Arora shall pay to USAT, on an after-tax basis, a monthly amount equal to the full premium cost of the Continued Coverage (determined in accordance with the methodology under the Consolidated Omnibus Budget Reconciliation Act of 1985, as amended,) for such month and (ii) within 30 days of such premium payment, USAT shall reimburse Arora in cash (less required withholding) an amount equal to the sum of (A) the full premium cost of the Continued Coverage for such month and (B) an additional tax “gross up” payment to cover all estimated applicable local,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5"/>
          <w:szCs w:val="15"/>
          <w:color w:val="auto"/>
        </w:rPr>
        <w:t>state and federal income and payroll taxes imposed on Arora with respect to the Continued Coverage.</w:t>
      </w:r>
    </w:p>
    <w:p>
      <w:pPr>
        <w:spacing w:after="0" w:line="165" w:lineRule="exact"/>
        <w:rPr>
          <w:sz w:val="20"/>
          <w:szCs w:val="20"/>
          <w:color w:val="auto"/>
        </w:rPr>
      </w:pPr>
    </w:p>
    <w:p>
      <w:pPr>
        <w:jc w:val="both"/>
        <w:ind w:firstLine="884"/>
        <w:spacing w:after="0" w:line="231" w:lineRule="auto"/>
        <w:tabs>
          <w:tab w:leader="none" w:pos="1924"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no payment shall be made or benefit provided pursuant to Sections 4(b) or 4(c) if Arora has violated any of the restrictive covenants set forth in Sections 5 and 6. The provisions of this Section 4 shall supersede in their entirety any severance payment provisions in any severance plan, policy, program or other arrangement maintained by USAT.</w:t>
      </w:r>
    </w:p>
    <w:p>
      <w:pPr>
        <w:spacing w:after="0" w:line="16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20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Business Secrets, Disclosure of Inventions, and Invention Assignment.</w:t>
      </w:r>
    </w:p>
    <w:p>
      <w:pPr>
        <w:spacing w:after="0" w:line="164" w:lineRule="exact"/>
        <w:rPr>
          <w:rFonts w:ascii="Courier New" w:cs="Courier New" w:eastAsia="Courier New" w:hAnsi="Courier New"/>
          <w:sz w:val="15"/>
          <w:szCs w:val="15"/>
          <w:b w:val="1"/>
          <w:bCs w:val="1"/>
          <w:color w:val="auto"/>
        </w:rPr>
      </w:pPr>
    </w:p>
    <w:p>
      <w:pPr>
        <w:jc w:val="both"/>
        <w:ind w:firstLine="884"/>
        <w:spacing w:after="0" w:line="231" w:lineRule="auto"/>
        <w:tabs>
          <w:tab w:leader="none" w:pos="193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“Invention” includes all inventions, improvements, modifications and enhancements, whether or not patentable and whether or not reduced to practice, together with each work of such owner, whether or not copyrightable, as well as ideas, concepts, designs, and processes, whether or not patentable.</w:t>
      </w:r>
    </w:p>
    <w:p>
      <w:pPr>
        <w:spacing w:after="0" w:line="166" w:lineRule="exact"/>
        <w:rPr>
          <w:rFonts w:ascii="Courier New" w:cs="Courier New" w:eastAsia="Courier New" w:hAnsi="Courier New"/>
          <w:sz w:val="15"/>
          <w:szCs w:val="15"/>
          <w:color w:val="auto"/>
        </w:rPr>
      </w:pPr>
    </w:p>
    <w:p>
      <w:pPr>
        <w:jc w:val="both"/>
        <w:ind w:firstLine="884"/>
        <w:spacing w:after="0" w:line="231" w:lineRule="auto"/>
        <w:tabs>
          <w:tab w:leader="none" w:pos="1824"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connection with Arora’s duties hereunder and as set forth in Section 7 below, Arora shall not, directly or indirectly, at any time from and after the date hereof, and whether or not the Employment Period has terminated, or whether or not Arora's employment has terminated for any reason whatsoever, make any use of, exploit, disclose, or divulge to any other person, firm or corporation, any confidential information including, but</w:t>
      </w: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276" w:name="page277"/>
    <w:bookmarkEnd w:id="276"/>
    <w:p>
      <w:pPr>
        <w:jc w:val="both"/>
        <w:spacing w:after="0" w:line="248" w:lineRule="auto"/>
        <w:rPr>
          <w:sz w:val="20"/>
          <w:szCs w:val="20"/>
          <w:color w:val="auto"/>
        </w:rPr>
      </w:pPr>
      <w:r>
        <w:rPr>
          <w:rFonts w:ascii="Courier New" w:cs="Courier New" w:eastAsia="Courier New" w:hAnsi="Courier New"/>
          <w:sz w:val="14"/>
          <w:szCs w:val="14"/>
          <w:color w:val="auto"/>
        </w:rPr>
        <w:t>not limited to, proprietary information, trade secret, business secret, document, practice, process procedure, know-how, data, sales information, marketing information, marketing method, marketing means, software information, intellectual property, special arrangement, internal organization, employment list, customer list, or any other confidential information concerning the business or policies of the Company or USAT or concerning the Company or USAT's customers, clients, accounts, or suppliers, that Arora learned as a result of, in connection with, through his employment with, or through his affiliation with, the Company or USAT, whether or not pursuant to this Agreement, and whether prior to or after the date hereof, but not information that can be shown through documentary evidence to be in the public domain, or information that falls in to the public domain, unless such information falls into the public domain by Arora's direct or indirect disclosure or other improper acts. Arora agrees to use his best endeavors to prevent the unauthorized disclosure or publication of confidential information and not to copy nor remove confidential information from the Company or USAT's premises, whether physically or electronically, unless it is maintained on USAT issued equipment, without the express written permission of USAT management.</w:t>
      </w:r>
    </w:p>
    <w:p>
      <w:pPr>
        <w:spacing w:after="0" w:line="166" w:lineRule="exact"/>
        <w:rPr>
          <w:sz w:val="20"/>
          <w:szCs w:val="20"/>
          <w:color w:val="auto"/>
        </w:rPr>
      </w:pPr>
    </w:p>
    <w:p>
      <w:pPr>
        <w:ind w:firstLine="884"/>
        <w:spacing w:after="0" w:line="231" w:lineRule="auto"/>
        <w:tabs>
          <w:tab w:leader="none" w:pos="1931"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data, know-how, designs, Inventions, names, marketing information, marketing method, marketing means,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7" w:name="page278"/>
    <w:bookmarkEnd w:id="277"/>
    <w:p>
      <w:pPr>
        <w:jc w:val="both"/>
        <w:spacing w:after="0" w:line="249" w:lineRule="auto"/>
        <w:rPr>
          <w:sz w:val="20"/>
          <w:szCs w:val="20"/>
          <w:color w:val="auto"/>
        </w:rPr>
      </w:pPr>
      <w:r>
        <w:rPr>
          <w:rFonts w:ascii="Courier New" w:cs="Courier New" w:eastAsia="Courier New" w:hAnsi="Courier New"/>
          <w:sz w:val="14"/>
          <w:szCs w:val="14"/>
          <w:color w:val="auto"/>
        </w:rPr>
        <w:t>materials, software programs, hardware, configurations, information, data processing reports, lists and sales analyses, price lists or information, or any other materials or data of any kind furnished to Arora by the Company or USAT, or by the Company or USAT's customers, clients, accounts, and suppliers, or developed by Arora on behalf of the Company or USAT or at the Company or USAT's direction or for the Company or USAT's use, or otherwise devised, developed, created, or invented in connection with Arora's employment hereunder or his affiliation with the Company or USAT(whether or not during normal working hours), are, and shall remain, the sole and exclusive property of the Company or USAT, and Arora shall have no right or interest whatsoever thereto, including but not limited to, any copyright or patent interest whatsoever. If USAT requests the return of any such items (including all copies) at any time whatsoever, Arora shall immediately deliver the same to USAT.</w:t>
      </w:r>
    </w:p>
    <w:p>
      <w:pPr>
        <w:spacing w:after="0" w:line="160" w:lineRule="exact"/>
        <w:rPr>
          <w:sz w:val="20"/>
          <w:szCs w:val="20"/>
          <w:color w:val="auto"/>
        </w:rPr>
      </w:pPr>
    </w:p>
    <w:p>
      <w:pPr>
        <w:jc w:val="both"/>
        <w:ind w:firstLine="884"/>
        <w:spacing w:after="0" w:line="231" w:lineRule="auto"/>
        <w:tabs>
          <w:tab w:leader="none" w:pos="180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shall promptly disclose in writing to USAT’s Chief Executive Officer all Inventions made by Arora during the term of Arora’s employment with either the Company or USAT, including all Inventions made prior to the date of this Agreement, or subsequent to the date of this Agreement, whether made solely or jointly with others, and regardless of whether Arora contends the Invention is Arora’s own Invention including the inventions listed on Exhibit A attached hereto and incorporated by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8" w:name="page279"/>
    <w:bookmarkEnd w:id="278"/>
    <w:p>
      <w:pPr>
        <w:jc w:val="both"/>
        <w:spacing w:after="0" w:line="231" w:lineRule="auto"/>
        <w:rPr>
          <w:sz w:val="20"/>
          <w:szCs w:val="20"/>
          <w:color w:val="auto"/>
        </w:rPr>
      </w:pPr>
      <w:r>
        <w:rPr>
          <w:rFonts w:ascii="Courier New" w:cs="Courier New" w:eastAsia="Courier New" w:hAnsi="Courier New"/>
          <w:sz w:val="15"/>
          <w:szCs w:val="15"/>
          <w:color w:val="auto"/>
        </w:rPr>
        <w:t>reference(“Excluded Invention”), or the Company or USAT’s Invention (“Subject Invention”). Arora shall promptly disclose to USAT a general description of the Invention made or conceived by Arora during the term of Arora’s employment with either the Company or USAT, so that USAT can determine whether the Invention is properly classified as a Subject Invention or Excluded Invention.</w:t>
      </w:r>
    </w:p>
    <w:p>
      <w:pPr>
        <w:spacing w:after="0" w:line="166" w:lineRule="exact"/>
        <w:rPr>
          <w:sz w:val="20"/>
          <w:szCs w:val="20"/>
          <w:color w:val="auto"/>
        </w:rPr>
      </w:pPr>
    </w:p>
    <w:p>
      <w:pPr>
        <w:jc w:val="both"/>
        <w:ind w:firstLine="884"/>
        <w:spacing w:after="0" w:line="249" w:lineRule="auto"/>
        <w:tabs>
          <w:tab w:leader="none" w:pos="1933"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Arora hereby assigns to USAT, without additional consideration to Arora, the entire right, title and interest in and to all Subject Inventions (including Subject Inventions made prior to the execution hereof) and all confidential information writings, apparatus, and other matter related to the Subject Inventions and in and to all proprietary rights therein or based thereon. Arora understands and agrees that all material included in any Subject Invention which is eligible for protection under the United States, or any other country’s or jurisdiction’s copyright laws shall be deemed created in the ordinary course and scope of Arora’s employment by the Company and shall be “Works for Hire” under the copyright laws of the United States. Arora and USAT acknowledge the terms of California Labor Code Section 2870 and Arora is hereby notified that the obligation to assign or offer to assign any of Arora’s rights in any Invention to USAT do not apply to any Invention which qualifies as an Excluded Invention and which complies fully with the provisions of California Labor Code Section 2870(a).</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79" w:name="page280"/>
    <w:bookmarkEnd w:id="279"/>
    <w:p>
      <w:pPr>
        <w:jc w:val="both"/>
        <w:ind w:left="-20" w:firstLine="884"/>
        <w:spacing w:after="0" w:line="231" w:lineRule="auto"/>
        <w:tabs>
          <w:tab w:leader="none" w:pos="200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Excluded Inventions, all documents, data, know-how, designs, products, ideas, equipment, Inventions, names, devices, marketing information, marketing methods, marketing means, materials, software programs, hardware, configurations, information, or any other materials or data of any kind developed by Arora on behalf of the Company or USAT or at their direction or for the Company or USAT's use, or otherwise devised, developed, created, or invented in connection with Arora's employment with the Company or USAT or Arora's affiliation with the Company or USAT (whether or not during normal working hours), whether before or after the date of this Agreement, are and shall remain the sole and exclusive property of USAT, and Arora agrees to apprise USAT of the existence of such, and Arora does not and shall not have any right, title or interest whatsoever thereto. Arora hereby acknowledges that all such rights to such intellectual property shall belong exclusively to USAT and not to Arora. Any and all rights of ownership in connection with any of the foregoing shall belong solely to USAT, and all copyright, patent, trademark, or similar rights or interests shall be the sole and exclusive property of USAT. Arora hereby assigns, transfers, and conveys to USAT all of his right, title and interest in and to any and all such Inventions, discoveries, improvements, modifications, and other intellectual property rights, and agrees to take all such actions as may be required by USAT at any time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4338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20"/>
          </w:cols>
          <w:pgMar w:left="900" w:top="138" w:right="879" w:bottom="1440" w:gutter="0" w:footer="0" w:header="0"/>
        </w:sectPr>
      </w:pPr>
    </w:p>
    <w:bookmarkStart w:id="280" w:name="page281"/>
    <w:bookmarkEnd w:id="280"/>
    <w:p>
      <w:pPr>
        <w:jc w:val="both"/>
        <w:spacing w:after="0" w:line="231" w:lineRule="auto"/>
        <w:rPr>
          <w:sz w:val="20"/>
          <w:szCs w:val="20"/>
          <w:color w:val="auto"/>
        </w:rPr>
      </w:pPr>
      <w:r>
        <w:rPr>
          <w:rFonts w:ascii="Courier New" w:cs="Courier New" w:eastAsia="Courier New" w:hAnsi="Courier New"/>
          <w:sz w:val="15"/>
          <w:szCs w:val="15"/>
          <w:color w:val="auto"/>
        </w:rPr>
        <w:t>and with respect to any such Invention, discovery, improvement, modification, or other intellectual property rights to effectuate, confirm, or evidence such assignment, transfer, and conveyance, including, but not limited to, executing and delivering any and all applicable forms, documents, or applications required under any applicable copyright, patent, trademark, or other law, rule, or regulation.</w:t>
      </w:r>
    </w:p>
    <w:p>
      <w:pPr>
        <w:spacing w:after="0" w:line="166" w:lineRule="exact"/>
        <w:rPr>
          <w:sz w:val="20"/>
          <w:szCs w:val="20"/>
          <w:color w:val="auto"/>
        </w:rPr>
      </w:pPr>
    </w:p>
    <w:p>
      <w:pPr>
        <w:jc w:val="both"/>
        <w:ind w:firstLine="884"/>
        <w:spacing w:after="0" w:line="231" w:lineRule="auto"/>
        <w:tabs>
          <w:tab w:leader="none" w:pos="176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may respond to a lawful and valid subpoena or other legal process but shall give USAT the earliest possible notice thereof, and shall, as much in advance of the return date as possible, make available to USAT and its counsel the documents and other information sought, and shall assist such counsel in resisting or otherwise responding to such process.</w:t>
      </w:r>
    </w:p>
    <w:p>
      <w:pPr>
        <w:spacing w:after="0" w:line="16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21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Non-Compete, Non-Solicitation and Non-Interference.</w:t>
      </w:r>
    </w:p>
    <w:p>
      <w:pPr>
        <w:spacing w:after="0" w:line="164" w:lineRule="exact"/>
        <w:rPr>
          <w:rFonts w:ascii="Courier New" w:cs="Courier New" w:eastAsia="Courier New" w:hAnsi="Courier New"/>
          <w:sz w:val="15"/>
          <w:szCs w:val="15"/>
          <w:b w:val="1"/>
          <w:bCs w:val="1"/>
          <w:color w:val="auto"/>
        </w:rPr>
      </w:pPr>
    </w:p>
    <w:p>
      <w:pPr>
        <w:jc w:val="both"/>
        <w:ind w:firstLine="884"/>
        <w:spacing w:after="0" w:line="231" w:lineRule="auto"/>
        <w:tabs>
          <w:tab w:leader="none" w:pos="1824"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b w:val="1"/>
          <w:bCs w:val="1"/>
          <w:u w:val="single" w:color="auto"/>
          <w:color w:val="auto"/>
        </w:rPr>
        <w:t>Non-Compete</w:t>
      </w:r>
      <w:r>
        <w:rPr>
          <w:rFonts w:ascii="Courier New" w:cs="Courier New" w:eastAsia="Courier New" w:hAnsi="Courier New"/>
          <w:sz w:val="15"/>
          <w:szCs w:val="15"/>
          <w:color w:val="auto"/>
        </w:rPr>
        <w:t>. For a three (3) year period following the date of this Agreement, Arora shall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prohibited from competing within any geographic area in which the Company’s business was conducted as of the date this Agreement, with the business of USAT or the Company, as presently or as hereinafter conducted as of the termination of the Employment Period; including but not limited to, delivering services or products to unattended retail locations, and including any production, promotion, marketing, or sales activities relating thereto. For the purposes hereof, the term "competing" shall mean acting, directly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1" w:name="page282"/>
    <w:bookmarkEnd w:id="281"/>
    <w:p>
      <w:pPr>
        <w:jc w:val="both"/>
        <w:spacing w:after="0" w:line="231" w:lineRule="auto"/>
        <w:rPr>
          <w:sz w:val="20"/>
          <w:szCs w:val="20"/>
          <w:color w:val="auto"/>
        </w:rPr>
      </w:pPr>
      <w:r>
        <w:rPr>
          <w:rFonts w:ascii="Courier New" w:cs="Courier New" w:eastAsia="Courier New" w:hAnsi="Courier New"/>
          <w:sz w:val="15"/>
          <w:szCs w:val="15"/>
          <w:color w:val="auto"/>
        </w:rPr>
        <w:t>indirectly, as a partner, principal, stockholder, joint venturer, associate, independent contractor, creditor of, consultant, trustee, lessor to, sub-lessor to, employee or agent of, or to have any other involvement with, any person, firm, corporation, or other business organization which is engaged in the businesses described in this Section.</w:t>
      </w:r>
    </w:p>
    <w:p>
      <w:pPr>
        <w:spacing w:after="0" w:line="166" w:lineRule="exact"/>
        <w:rPr>
          <w:sz w:val="20"/>
          <w:szCs w:val="20"/>
          <w:color w:val="auto"/>
        </w:rPr>
      </w:pPr>
    </w:p>
    <w:p>
      <w:pPr>
        <w:jc w:val="both"/>
        <w:ind w:firstLine="884"/>
        <w:spacing w:after="0" w:line="231" w:lineRule="auto"/>
        <w:tabs>
          <w:tab w:leader="none" w:pos="2016"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b w:val="1"/>
          <w:bCs w:val="1"/>
          <w:u w:val="single" w:color="auto"/>
          <w:color w:val="auto"/>
        </w:rPr>
        <w:t>Non-Interference with Employees</w:t>
      </w:r>
      <w:r>
        <w:rPr>
          <w:rFonts w:ascii="Courier New" w:cs="Courier New" w:eastAsia="Courier New" w:hAnsi="Courier New"/>
          <w:sz w:val="15"/>
          <w:szCs w:val="15"/>
          <w:color w:val="auto"/>
        </w:rPr>
        <w:t>. For a three (3) year period following the date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or one year following the termination of the Employment Period, whichever is later (the “Non-Interference Period”), Arora shall not (a) directly or indirectly, solicit for hire for any business entity other than USAT or the Company, any person employed by the Company as of the date of termination of this Agreement or at any time through the duration of the Non-Interference Period; or (b) directly or indirectly interfere with USAT's relations with any person employed by the Company as of the date of termination of this Agreement or at any time through the duration of the Non-Interference Period. Such restriction shall not limit any employee or candidate responding to a general job posting.</w:t>
      </w:r>
    </w:p>
    <w:p>
      <w:pPr>
        <w:spacing w:after="0" w:line="169" w:lineRule="exact"/>
        <w:rPr>
          <w:rFonts w:ascii="Courier New" w:cs="Courier New" w:eastAsia="Courier New" w:hAnsi="Courier New"/>
          <w:sz w:val="15"/>
          <w:szCs w:val="15"/>
          <w:color w:val="auto"/>
        </w:rPr>
      </w:pPr>
    </w:p>
    <w:p>
      <w:pPr>
        <w:jc w:val="both"/>
        <w:ind w:firstLine="884"/>
        <w:spacing w:after="0" w:line="231" w:lineRule="auto"/>
        <w:tabs>
          <w:tab w:leader="none" w:pos="207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b w:val="1"/>
          <w:bCs w:val="1"/>
          <w:u w:val="single" w:color="auto"/>
          <w:color w:val="auto"/>
        </w:rPr>
        <w:t>Non-Solicitation of Customers</w:t>
      </w:r>
      <w:r>
        <w:rPr>
          <w:rFonts w:ascii="Courier New" w:cs="Courier New" w:eastAsia="Courier New" w:hAnsi="Courier New"/>
          <w:sz w:val="15"/>
          <w:szCs w:val="15"/>
          <w:color w:val="auto"/>
        </w:rPr>
        <w:t>. For a three (3) year period following the date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or one year following the termination of the Employment Period, whichever is later, Arora shall be prohibited from soliciting any customer of the Company in connection with Arora’s engaging in a business competing with 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2" w:name="page283"/>
    <w:bookmarkEnd w:id="282"/>
    <w:p>
      <w:pPr>
        <w:jc w:val="both"/>
        <w:spacing w:after="0" w:line="231" w:lineRule="auto"/>
        <w:rPr>
          <w:sz w:val="20"/>
          <w:szCs w:val="20"/>
          <w:color w:val="auto"/>
        </w:rPr>
      </w:pPr>
      <w:r>
        <w:rPr>
          <w:rFonts w:ascii="Courier New" w:cs="Courier New" w:eastAsia="Courier New" w:hAnsi="Courier New"/>
          <w:sz w:val="15"/>
          <w:szCs w:val="15"/>
          <w:color w:val="auto"/>
        </w:rPr>
        <w:t>similar to that of the Company as conducted as of the date this Agreement, including but not limited to, delivering services or products to unattended retail locations, and including any production, promotion, marketing, or sales activities relating thereto, and including any production, promotion, marketing, or sales activities relating thereto.</w:t>
      </w:r>
    </w:p>
    <w:p>
      <w:pPr>
        <w:spacing w:after="0" w:line="166" w:lineRule="exact"/>
        <w:rPr>
          <w:sz w:val="20"/>
          <w:szCs w:val="20"/>
          <w:color w:val="auto"/>
        </w:rPr>
      </w:pPr>
    </w:p>
    <w:p>
      <w:pPr>
        <w:jc w:val="both"/>
        <w:ind w:firstLine="884"/>
        <w:spacing w:after="0" w:line="231" w:lineRule="auto"/>
        <w:tabs>
          <w:tab w:leader="none" w:pos="1893"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b w:val="1"/>
          <w:bCs w:val="1"/>
          <w:u w:val="single" w:color="auto"/>
          <w:color w:val="auto"/>
        </w:rPr>
        <w:t>Exempt Businesses</w:t>
      </w:r>
      <w:r>
        <w:rPr>
          <w:rFonts w:ascii="Courier New" w:cs="Courier New" w:eastAsia="Courier New" w:hAnsi="Courier New"/>
          <w:sz w:val="15"/>
          <w:szCs w:val="15"/>
          <w:color w:val="auto"/>
        </w:rPr>
        <w:t>. Notwithstanding such restrictions or any other USAT policy or provision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Arora shall not be prohibited after the Employment Period from investing in, or advising Permitted Activities.</w:t>
      </w:r>
    </w:p>
    <w:p>
      <w:pPr>
        <w:spacing w:after="0" w:line="166" w:lineRule="exact"/>
        <w:rPr>
          <w:rFonts w:ascii="Courier New" w:cs="Courier New" w:eastAsia="Courier New" w:hAnsi="Courier New"/>
          <w:sz w:val="15"/>
          <w:szCs w:val="15"/>
          <w:color w:val="auto"/>
        </w:rPr>
      </w:pPr>
    </w:p>
    <w:p>
      <w:pPr>
        <w:jc w:val="both"/>
        <w:ind w:firstLine="884"/>
        <w:spacing w:after="0" w:line="231" w:lineRule="auto"/>
        <w:tabs>
          <w:tab w:leader="none" w:pos="176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provisions contained in this Section shall, for any reason, be held by a court of competent jurisdiction to be excessively broad as to duration, scope, activity, or subject, those provisions shall be construed by limiting and reducing them so as to be valid and enforceable to the extent compatible with the applicable law.</w:t>
      </w:r>
    </w:p>
    <w:p>
      <w:pPr>
        <w:spacing w:after="0" w:line="16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2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Government Agencies and Legal Proceedings Brought By Others</w:t>
      </w:r>
      <w:r>
        <w:rPr>
          <w:rFonts w:ascii="Courier New" w:cs="Courier New" w:eastAsia="Courier New" w:hAnsi="Courier New"/>
          <w:sz w:val="15"/>
          <w:szCs w:val="15"/>
          <w:u w:val="single" w:color="auto"/>
          <w:color w:val="auto"/>
        </w:rPr>
        <w:t>;</w:t>
      </w:r>
      <w:r>
        <w:rPr>
          <w:rFonts w:ascii="Courier New" w:cs="Courier New" w:eastAsia="Courier New" w:hAnsi="Courier New"/>
          <w:sz w:val="15"/>
          <w:szCs w:val="15"/>
          <w:b w:val="1"/>
          <w:bCs w:val="1"/>
          <w:u w:val="single" w:color="auto"/>
          <w:color w:val="auto"/>
        </w:rPr>
        <w:t xml:space="preserve">  No disparagement.</w:t>
      </w:r>
    </w:p>
    <w:p>
      <w:pPr>
        <w:spacing w:after="0" w:line="164" w:lineRule="exact"/>
        <w:rPr>
          <w:rFonts w:ascii="Courier New" w:cs="Courier New" w:eastAsia="Courier New" w:hAnsi="Courier New"/>
          <w:sz w:val="15"/>
          <w:szCs w:val="15"/>
          <w:b w:val="1"/>
          <w:bCs w:val="1"/>
          <w:color w:val="auto"/>
        </w:rPr>
      </w:pPr>
    </w:p>
    <w:p>
      <w:pPr>
        <w:jc w:val="both"/>
        <w:ind w:firstLine="884"/>
        <w:spacing w:after="0" w:line="231" w:lineRule="auto"/>
        <w:tabs>
          <w:tab w:leader="none" w:pos="2169"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prohibits or prevents Arora from filing a charge with or participating, testifying, or assisting in any investigation, hearing, or other proceeding before any federal, state, or local government agency. Arora further understands that this Agreement does not limit his ability to make any disclosures that are protected under the whistleblower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3" w:name="page284"/>
    <w:bookmarkEnd w:id="283"/>
    <w:p>
      <w:pPr>
        <w:spacing w:after="0" w:line="230" w:lineRule="auto"/>
        <w:rPr>
          <w:sz w:val="20"/>
          <w:szCs w:val="20"/>
          <w:color w:val="auto"/>
        </w:rPr>
      </w:pPr>
      <w:r>
        <w:rPr>
          <w:rFonts w:ascii="Courier New" w:cs="Courier New" w:eastAsia="Courier New" w:hAnsi="Courier New"/>
          <w:sz w:val="15"/>
          <w:szCs w:val="15"/>
          <w:color w:val="auto"/>
        </w:rPr>
        <w:t>provisions of federal law or regulation. This Agreement does not limit Arora’s right to receive an award for information provided to any Government Agencies.</w:t>
      </w:r>
    </w:p>
    <w:p>
      <w:pPr>
        <w:spacing w:after="0" w:line="166" w:lineRule="exact"/>
        <w:rPr>
          <w:sz w:val="20"/>
          <w:szCs w:val="20"/>
          <w:color w:val="auto"/>
        </w:rPr>
      </w:pPr>
    </w:p>
    <w:p>
      <w:pPr>
        <w:jc w:val="both"/>
        <w:ind w:firstLine="884"/>
        <w:spacing w:after="0" w:line="231" w:lineRule="auto"/>
        <w:tabs>
          <w:tab w:leader="none" w:pos="1821"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Arora and USAT agree not to disparage each other, any of USAT’s products or practices, or any of its directors, officers, agents, representatives, equity holders or affiliates, either orally or in writing, at any time; provided that the parties may confer in confidence with their legal representatives and make truthful statements as required by law, rule or regulation.</w:t>
      </w:r>
    </w:p>
    <w:p>
      <w:pPr>
        <w:spacing w:after="0" w:line="16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2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Remedies.</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Arora acknowledges that any breach by Arora of the obligations set forth in Sections 5 or 6 hereof would substantially and materially impair and irreparably harm USAT's business and goodwill; that such impairment and harm would be difficult to measure; and, therefore, total compensation in solely monetary terms would be inadequate. Consequently, Arora agrees that in the event of any breach or any threatened breach by Arora of any of the provisions of Section 5 or 6 hereof, USAT shall be entitled, in addition to monetary damages or other remedies, and without posting bond, to equitable relief, including injunctive relief, and to the payment by Arora of all costs and expenses incurred by USAT in enforcing the provisions thereof, including attorneys' fees. The remedies granted to USAT in this Agreement are cumulative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and are in addition to remedies otherwise available to USAT at law or in equity.</w:t>
      </w:r>
    </w:p>
    <w:p>
      <w:pPr>
        <w:spacing w:after="0" w:line="158" w:lineRule="exact"/>
        <w:rPr>
          <w:sz w:val="20"/>
          <w:szCs w:val="20"/>
          <w:color w:val="auto"/>
        </w:rPr>
      </w:pPr>
    </w:p>
    <w:p>
      <w:pPr>
        <w:ind w:left="800" w:hanging="354"/>
        <w:spacing w:after="0"/>
        <w:tabs>
          <w:tab w:leader="none" w:pos="800" w:val="left"/>
        </w:tabs>
        <w:numPr>
          <w:ilvl w:val="0"/>
          <w:numId w:val="2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Non-Waiver.</w:t>
      </w:r>
    </w:p>
    <w:p>
      <w:pPr>
        <w:spacing w:after="0" w:line="165" w:lineRule="exact"/>
        <w:rPr>
          <w:sz w:val="20"/>
          <w:szCs w:val="20"/>
          <w:color w:val="auto"/>
        </w:rPr>
      </w:pPr>
    </w:p>
    <w:p>
      <w:pPr>
        <w:ind w:firstLine="438"/>
        <w:spacing w:after="0" w:line="255" w:lineRule="auto"/>
        <w:rPr>
          <w:sz w:val="20"/>
          <w:szCs w:val="20"/>
          <w:color w:val="auto"/>
        </w:rPr>
      </w:pPr>
      <w:r>
        <w:rPr>
          <w:rFonts w:ascii="Courier New" w:cs="Courier New" w:eastAsia="Courier New" w:hAnsi="Courier New"/>
          <w:sz w:val="14"/>
          <w:szCs w:val="14"/>
          <w:color w:val="auto"/>
        </w:rPr>
        <w:t>The waiver by either party of a breach of any provision of this Agreement by the other party shall not operate or be construed as a waiver of any other or subsequent breach by such party of such or any other provision.</w:t>
      </w:r>
    </w:p>
    <w:p>
      <w:pPr>
        <w:spacing w:after="0" w:line="149" w:lineRule="exact"/>
        <w:rPr>
          <w:sz w:val="20"/>
          <w:szCs w:val="20"/>
          <w:color w:val="auto"/>
        </w:rPr>
      </w:pPr>
    </w:p>
    <w:p>
      <w:pPr>
        <w:ind w:left="800" w:hanging="354"/>
        <w:spacing w:after="0"/>
        <w:tabs>
          <w:tab w:leader="none" w:pos="800" w:val="left"/>
        </w:tabs>
        <w:numPr>
          <w:ilvl w:val="0"/>
          <w:numId w:val="2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Notices.</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All notices required or permitted hereunder shall be in writing and shall be sent by overnight delivery service, as follows: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USAT:</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USA Technologies, Inc.</w:t>
      </w:r>
    </w:p>
    <w:p>
      <w:pPr>
        <w:ind w:left="880"/>
        <w:spacing w:after="0" w:line="231" w:lineRule="auto"/>
        <w:rPr>
          <w:sz w:val="20"/>
          <w:szCs w:val="20"/>
          <w:color w:val="auto"/>
        </w:rPr>
      </w:pPr>
      <w:r>
        <w:rPr>
          <w:rFonts w:ascii="Courier New" w:cs="Courier New" w:eastAsia="Courier New" w:hAnsi="Courier New"/>
          <w:sz w:val="15"/>
          <w:szCs w:val="15"/>
          <w:color w:val="auto"/>
        </w:rPr>
        <w:t>100 Deerfield Lane, Suite 300</w:t>
      </w:r>
    </w:p>
    <w:p>
      <w:pPr>
        <w:ind w:left="880"/>
        <w:spacing w:after="0" w:line="232" w:lineRule="auto"/>
        <w:rPr>
          <w:sz w:val="20"/>
          <w:szCs w:val="20"/>
          <w:color w:val="auto"/>
        </w:rPr>
      </w:pPr>
      <w:r>
        <w:rPr>
          <w:rFonts w:ascii="Courier New" w:cs="Courier New" w:eastAsia="Courier New" w:hAnsi="Courier New"/>
          <w:sz w:val="15"/>
          <w:szCs w:val="15"/>
          <w:color w:val="auto"/>
        </w:rPr>
        <w:t>Malvern, Pennsylvania 19355</w:t>
      </w:r>
    </w:p>
    <w:p>
      <w:pPr>
        <w:ind w:left="880"/>
        <w:spacing w:after="0" w:line="232" w:lineRule="auto"/>
        <w:rPr>
          <w:sz w:val="20"/>
          <w:szCs w:val="20"/>
          <w:color w:val="auto"/>
        </w:rPr>
      </w:pPr>
      <w:r>
        <w:rPr>
          <w:rFonts w:ascii="Courier New" w:cs="Courier New" w:eastAsia="Courier New" w:hAnsi="Courier New"/>
          <w:sz w:val="15"/>
          <w:szCs w:val="15"/>
          <w:color w:val="auto"/>
        </w:rPr>
        <w:t>Attn: Stephen P. Herbert, Chief Executive Officer</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Arora:</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Mandeep Arora</w:t>
      </w:r>
    </w:p>
    <w:p>
      <w:pPr>
        <w:ind w:left="880"/>
        <w:spacing w:after="0" w:line="231" w:lineRule="auto"/>
        <w:rPr>
          <w:sz w:val="20"/>
          <w:szCs w:val="20"/>
          <w:color w:val="auto"/>
        </w:rPr>
      </w:pPr>
      <w:r>
        <w:rPr>
          <w:rFonts w:ascii="Courier New" w:cs="Courier New" w:eastAsia="Courier New" w:hAnsi="Courier New"/>
          <w:sz w:val="15"/>
          <w:szCs w:val="15"/>
          <w:color w:val="auto"/>
        </w:rPr>
        <w:t>1839 15</w:t>
      </w:r>
      <w:r>
        <w:rPr>
          <w:rFonts w:ascii="Courier New" w:cs="Courier New" w:eastAsia="Courier New" w:hAnsi="Courier New"/>
          <w:sz w:val="7"/>
          <w:szCs w:val="7"/>
          <w:color w:val="auto"/>
        </w:rPr>
        <w:t>th</w:t>
      </w:r>
      <w:r>
        <w:rPr>
          <w:rFonts w:ascii="Courier New" w:cs="Courier New" w:eastAsia="Courier New" w:hAnsi="Courier New"/>
          <w:sz w:val="15"/>
          <w:szCs w:val="15"/>
          <w:color w:val="auto"/>
        </w:rPr>
        <w:t xml:space="preserve">  Street, Unit #357</w:t>
      </w:r>
    </w:p>
    <w:p>
      <w:pPr>
        <w:ind w:left="880"/>
        <w:spacing w:after="0" w:line="232" w:lineRule="auto"/>
        <w:rPr>
          <w:sz w:val="20"/>
          <w:szCs w:val="20"/>
          <w:color w:val="auto"/>
        </w:rPr>
      </w:pPr>
      <w:r>
        <w:rPr>
          <w:rFonts w:ascii="Courier New" w:cs="Courier New" w:eastAsia="Courier New" w:hAnsi="Courier New"/>
          <w:sz w:val="15"/>
          <w:szCs w:val="15"/>
          <w:color w:val="auto"/>
        </w:rPr>
        <w:t>San Francisco, CA 94103</w:t>
      </w:r>
    </w:p>
    <w:p>
      <w:pPr>
        <w:spacing w:after="0" w:line="200" w:lineRule="exact"/>
        <w:rPr>
          <w:sz w:val="20"/>
          <w:szCs w:val="20"/>
          <w:color w:val="auto"/>
        </w:rPr>
      </w:pPr>
    </w:p>
    <w:p>
      <w:pPr>
        <w:spacing w:after="0" w:line="294" w:lineRule="exact"/>
        <w:rPr>
          <w:sz w:val="20"/>
          <w:szCs w:val="20"/>
          <w:color w:val="auto"/>
        </w:rPr>
      </w:pPr>
    </w:p>
    <w:p>
      <w:pPr>
        <w:jc w:val="both"/>
        <w:spacing w:after="0" w:line="231" w:lineRule="auto"/>
        <w:rPr>
          <w:sz w:val="20"/>
          <w:szCs w:val="20"/>
          <w:color w:val="auto"/>
        </w:rPr>
      </w:pPr>
      <w:r>
        <w:rPr>
          <w:rFonts w:ascii="Courier New" w:cs="Courier New" w:eastAsia="Courier New" w:hAnsi="Courier New"/>
          <w:sz w:val="15"/>
          <w:szCs w:val="15"/>
          <w:color w:val="auto"/>
        </w:rPr>
        <w:t>or to such other address as either of them may designate in a written notice served upon the other party in the manner provided herein. All notices required or permitted hereunder shall be deemed duly given and received on the first day next succeeding the date of mailing.</w:t>
      </w:r>
    </w:p>
    <w:p>
      <w:pPr>
        <w:spacing w:after="0" w:line="28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285" w:name="page286"/>
    <w:bookmarkEnd w:id="285"/>
    <w:p>
      <w:pPr>
        <w:ind w:left="800" w:hanging="354"/>
        <w:spacing w:after="0"/>
        <w:tabs>
          <w:tab w:leader="none" w:pos="800" w:val="left"/>
        </w:tabs>
        <w:numPr>
          <w:ilvl w:val="0"/>
          <w:numId w:val="22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Severability.</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If any term or provision of this Agreement or the application thereof to any person or circumstances shall, to any extent, be invalid or unenforceable, the remainder of this 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w:t>
      </w:r>
    </w:p>
    <w:p>
      <w:pPr>
        <w:spacing w:after="0" w:line="161" w:lineRule="exact"/>
        <w:rPr>
          <w:sz w:val="20"/>
          <w:szCs w:val="20"/>
          <w:color w:val="auto"/>
        </w:rPr>
      </w:pPr>
    </w:p>
    <w:p>
      <w:pPr>
        <w:ind w:left="800" w:hanging="354"/>
        <w:spacing w:after="0"/>
        <w:tabs>
          <w:tab w:leader="none" w:pos="800" w:val="left"/>
        </w:tabs>
        <w:numPr>
          <w:ilvl w:val="0"/>
          <w:numId w:val="22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Binding Effect and Assignability.</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The rights and obligations of both parties under this Agreement shall inure to the benefit of, and shall be binding upon, their personal representatives, heirs, successors and assigns. This Agreement, or any part hereof, may be assigned by USAT without the consent of Arora. This Agreement, or any part thereof, may not be assigned by Arora.</w:t>
      </w:r>
    </w:p>
    <w:p>
      <w:pPr>
        <w:spacing w:after="0" w:line="160" w:lineRule="exact"/>
        <w:rPr>
          <w:sz w:val="20"/>
          <w:szCs w:val="20"/>
          <w:color w:val="auto"/>
        </w:rPr>
      </w:pPr>
    </w:p>
    <w:p>
      <w:pPr>
        <w:ind w:left="800" w:hanging="354"/>
        <w:spacing w:after="0"/>
        <w:tabs>
          <w:tab w:leader="none" w:pos="800" w:val="left"/>
        </w:tabs>
        <w:numPr>
          <w:ilvl w:val="0"/>
          <w:numId w:val="22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Entire Agreement and Prior Agreements</w:t>
      </w:r>
      <w:r>
        <w:rPr>
          <w:rFonts w:ascii="Courier New" w:cs="Courier New" w:eastAsia="Courier New" w:hAnsi="Courier New"/>
          <w:sz w:val="15"/>
          <w:szCs w:val="15"/>
          <w:b w:val="1"/>
          <w:bCs w:val="1"/>
          <w:color w:val="auto"/>
        </w:rPr>
        <w:t>.</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As of the date of this Agreement; Arora’s Employment Agreement with the Company dated April 1, 2010, and signed by Arora on March 11, 2011 (“April 1, 2010 Agreement”), is superseded and replaced by this Agreement, except for Arora’s duties and obligations set forth in Sections 6 and 7(a) of the April 1, 2010 Agreement. Arora shall have no right to any of the Cash and Incentive Compensation provided for in the April 1, 2010 Agreement. Arora’s duties and obligations set forth in the Employee Nondisclosure, Non-Compete,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286" w:name="page287"/>
    <w:bookmarkEnd w:id="286"/>
    <w:p>
      <w:pPr>
        <w:jc w:val="both"/>
        <w:spacing w:after="0" w:line="231" w:lineRule="auto"/>
        <w:rPr>
          <w:sz w:val="20"/>
          <w:szCs w:val="20"/>
          <w:color w:val="auto"/>
        </w:rPr>
      </w:pPr>
      <w:r>
        <w:rPr>
          <w:rFonts w:ascii="Courier New" w:cs="Courier New" w:eastAsia="Courier New" w:hAnsi="Courier New"/>
          <w:sz w:val="15"/>
          <w:szCs w:val="15"/>
          <w:color w:val="auto"/>
        </w:rPr>
        <w:t>Non-Solicitation and Invention Assignment Agreement as of 2004 (“2004 NDA Agreement”) shall remain in full force and effect, and are not abrogated by this Agreement. To the extent Sections 6 and 7(a) of the April 1, 2010 Agreement and the provisions of the 2004 NDA Agreement conflict with the terms of this Agreement, the terms of this Agreement shall govern. Except as set forth above in this Section, this Agreement constitutes the entire agreement with respect to the subject matter hereof between the parties hereto and, except as provided herein, there are no other agreements between the parties relating to the subject matter hereof. This Agreement may only be modified by an agreement in writing executed by both USAT and Arora. USAT hereby agrees that all actions taken by Arora consistent with the terms of this Agreement shall not be a violation of the April 1, 2010 Agreement or 2004 NDA Agreement.</w:t>
      </w:r>
    </w:p>
    <w:p>
      <w:pPr>
        <w:spacing w:after="0" w:line="162" w:lineRule="exact"/>
        <w:rPr>
          <w:sz w:val="20"/>
          <w:szCs w:val="20"/>
          <w:color w:val="auto"/>
        </w:rPr>
      </w:pPr>
    </w:p>
    <w:p>
      <w:pPr>
        <w:ind w:left="800" w:hanging="354"/>
        <w:spacing w:after="0"/>
        <w:tabs>
          <w:tab w:leader="none" w:pos="800" w:val="left"/>
        </w:tabs>
        <w:numPr>
          <w:ilvl w:val="0"/>
          <w:numId w:val="22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Understanding of Agreement.</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Arora hereby represents and warrants each of the following: (i) he has carefully read all of the terms and conditions of this Agreement; (ii) he fully understands the meaning and effect of this Agreement; (iii) the entry into, and execution of, this Agreement by him is his own free and voluntary act and deed; and (iv) he has received (or had the opportunity to receive) the advice of his own attorney, accountant, or other advisors, concerning this Agreement and its meaning and legal effect, and has fully and completely discussed and reviewed (or has had the opportunity to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7" w:name="page288"/>
    <w:bookmarkEnd w:id="287"/>
    <w:p>
      <w:pPr>
        <w:spacing w:after="0" w:line="230" w:lineRule="auto"/>
        <w:rPr>
          <w:sz w:val="20"/>
          <w:szCs w:val="20"/>
          <w:color w:val="auto"/>
        </w:rPr>
      </w:pPr>
      <w:r>
        <w:rPr>
          <w:rFonts w:ascii="Courier New" w:cs="Courier New" w:eastAsia="Courier New" w:hAnsi="Courier New"/>
          <w:sz w:val="15"/>
          <w:szCs w:val="15"/>
          <w:color w:val="auto"/>
        </w:rPr>
        <w:t>fully and completely discuss and review) the Agreement and its meaning and legal effect, with his own attorney, accountant or other advisors.</w:t>
      </w:r>
    </w:p>
    <w:p>
      <w:pPr>
        <w:spacing w:after="0" w:line="159" w:lineRule="exact"/>
        <w:rPr>
          <w:sz w:val="20"/>
          <w:szCs w:val="20"/>
          <w:color w:val="auto"/>
        </w:rPr>
      </w:pPr>
    </w:p>
    <w:p>
      <w:pPr>
        <w:ind w:left="800" w:hanging="354"/>
        <w:spacing w:after="0"/>
        <w:tabs>
          <w:tab w:leader="none" w:pos="800" w:val="left"/>
        </w:tabs>
        <w:numPr>
          <w:ilvl w:val="0"/>
          <w:numId w:val="22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Section 409A</w:t>
      </w:r>
      <w:r>
        <w:rPr>
          <w:rFonts w:ascii="Courier New" w:cs="Courier New" w:eastAsia="Courier New" w:hAnsi="Courier New"/>
          <w:sz w:val="15"/>
          <w:szCs w:val="15"/>
          <w:color w:val="auto"/>
        </w:rPr>
        <w:t>.</w:t>
      </w:r>
    </w:p>
    <w:p>
      <w:pPr>
        <w:spacing w:after="0" w:line="164" w:lineRule="exact"/>
        <w:rPr>
          <w:rFonts w:ascii="Courier New" w:cs="Courier New" w:eastAsia="Courier New" w:hAnsi="Courier New"/>
          <w:sz w:val="15"/>
          <w:szCs w:val="15"/>
          <w:b w:val="1"/>
          <w:bCs w:val="1"/>
          <w:color w:val="auto"/>
        </w:rPr>
      </w:pPr>
    </w:p>
    <w:p>
      <w:pPr>
        <w:jc w:val="both"/>
        <w:ind w:firstLine="884"/>
        <w:spacing w:after="0" w:line="231" w:lineRule="auto"/>
        <w:tabs>
          <w:tab w:leader="none" w:pos="188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“Section 409A”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66" w:lineRule="exact"/>
        <w:rPr>
          <w:sz w:val="20"/>
          <w:szCs w:val="20"/>
          <w:color w:val="auto"/>
        </w:rPr>
      </w:pPr>
    </w:p>
    <w:p>
      <w:pPr>
        <w:jc w:val="both"/>
        <w:ind w:firstLine="876"/>
        <w:spacing w:after="0" w:line="231" w:lineRule="auto"/>
        <w:rPr>
          <w:sz w:val="20"/>
          <w:szCs w:val="20"/>
          <w:color w:val="auto"/>
        </w:rPr>
      </w:pPr>
      <w:r>
        <w:rPr>
          <w:rFonts w:ascii="Courier New" w:cs="Courier New" w:eastAsia="Courier New" w:hAnsi="Courier New"/>
          <w:sz w:val="15"/>
          <w:szCs w:val="15"/>
          <w:color w:val="auto"/>
        </w:rPr>
        <w:t>The parties hereto acknowledge and agree that, to the extent applicable, this Agreement shall be interpreted in accordance with, and incorporate the terms and conditions required by, Section 409A. Notwithstanding any provision of this Agreement to the contrary, in the event that USAT determines that any amounts payable hereunder will be immediately taxable to Arora under Section 409A, USAT reserves the right (without any obligation to do so or to indemnify Arora for failure to do so) to (i) adopt such amendments to this Agreement and appropriate policies and procedures, including amendments and policies with retroactive effect, that USAT determines to be necessary or appropriate to preserve the intended tax treatment of the benefits provided by this Agreement, to preserve the economic benefits of this Agreement and to avoid less favorable accounting or tax consequences for USAT and/or (ii) take such other actions as USAT determines to be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8" w:name="page289"/>
    <w:bookmarkEnd w:id="288"/>
    <w:p>
      <w:pPr>
        <w:jc w:val="both"/>
        <w:spacing w:after="0" w:line="231" w:lineRule="auto"/>
        <w:rPr>
          <w:sz w:val="20"/>
          <w:szCs w:val="20"/>
          <w:color w:val="auto"/>
        </w:rPr>
      </w:pPr>
      <w:r>
        <w:rPr>
          <w:rFonts w:ascii="Courier New" w:cs="Courier New" w:eastAsia="Courier New" w:hAnsi="Courier New"/>
          <w:sz w:val="15"/>
          <w:szCs w:val="15"/>
          <w:color w:val="auto"/>
        </w:rPr>
        <w:t>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Arora or any other individual to USAT or any of its Affiliates, employees or agents and in no event shall USAT or any of its affiliates, employees or agents be responsible for reimbursing or indemnifying Argawal for any violation of Section 409A.</w:t>
      </w:r>
    </w:p>
    <w:p>
      <w:pPr>
        <w:spacing w:after="0" w:line="167" w:lineRule="exact"/>
        <w:rPr>
          <w:sz w:val="20"/>
          <w:szCs w:val="20"/>
          <w:color w:val="auto"/>
        </w:rPr>
      </w:pPr>
    </w:p>
    <w:p>
      <w:pPr>
        <w:ind w:left="1840" w:hanging="956"/>
        <w:spacing w:after="0"/>
        <w:tabs>
          <w:tab w:leader="none" w:pos="18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Separation from Service under Section 409A.   Notwithstanding any provision to the contrary in</w:t>
      </w:r>
    </w:p>
    <w:p>
      <w:pPr>
        <w:spacing w:after="0" w:line="5" w:lineRule="exact"/>
        <w:rPr>
          <w:rFonts w:ascii="Courier New" w:cs="Courier New" w:eastAsia="Courier New" w:hAnsi="Courier New"/>
          <w:sz w:val="14"/>
          <w:szCs w:val="14"/>
          <w:color w:val="auto"/>
        </w:rPr>
      </w:pPr>
    </w:p>
    <w:p>
      <w:pPr>
        <w:jc w:val="both"/>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 no amount shall be payable pursuant to Section 4(b) unless the termination of Arora’s employment constitutes a “separation from service” within the meaning of Section 1.409A-1(h) of the Department of Treasury Regulations; (ii) for purposes of Section 409A, Arora’s right to receive installment payments pursuant to Section 4(b)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89" w:name="page290"/>
    <w:bookmarkEnd w:id="289"/>
    <w:p>
      <w:pPr>
        <w:jc w:val="both"/>
        <w:spacing w:after="0" w:line="231" w:lineRule="auto"/>
        <w:rPr>
          <w:sz w:val="20"/>
          <w:szCs w:val="20"/>
          <w:color w:val="auto"/>
        </w:rPr>
      </w:pPr>
      <w:r>
        <w:rPr>
          <w:rFonts w:ascii="Courier New" w:cs="Courier New" w:eastAsia="Courier New" w:hAnsi="Courier New"/>
          <w:sz w:val="15"/>
          <w:szCs w:val="15"/>
          <w:color w:val="auto"/>
        </w:rPr>
        <w:t>eligible for reimbursement in any subsequent year. The amount of any in-kind benefits provided in one year shall not affect the amount of in-kind benefits provided in any other year. Notwithstanding any provision to the contrary in this Agreement, if Arora is deemed at the time of his separation from service to be a “specified employee” for purposes of Section 409A(a)(2)(B)(i) of the Code, to the extent delayed commencement of any portion of the termination benefits to which Arora is entitled under this Agreement is required in order to avoid a prohibited distribution under Section 409A(a)(2)(B)(i) of the Code, such portion of Arora’s termination benefits shall not be provided to Arora prior to the earlier of (x) the expiration of the six-month period measured from the date of Arora’s “separation from service” with USAT (as such term is defined in the Treasury Regulations issued under Section 409A of the Code) or (y) the date of Arora’s death; upon the earlier of such dates, all payments deferred pursuant to this sentence shall be paid in a lump sum to Arora, and any remaining payments due under the Agreement shall be paid as otherwise provided herein.</w:t>
      </w:r>
    </w:p>
    <w:p>
      <w:pPr>
        <w:spacing w:after="0" w:line="164" w:lineRule="exact"/>
        <w:rPr>
          <w:sz w:val="20"/>
          <w:szCs w:val="20"/>
          <w:color w:val="auto"/>
        </w:rPr>
      </w:pPr>
    </w:p>
    <w:p>
      <w:pPr>
        <w:ind w:left="800" w:hanging="354"/>
        <w:spacing w:after="0"/>
        <w:tabs>
          <w:tab w:leader="none" w:pos="800" w:val="left"/>
        </w:tabs>
        <w:numPr>
          <w:ilvl w:val="0"/>
          <w:numId w:val="22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Choice of Law, Venue and Arbitration</w:t>
      </w:r>
      <w:r>
        <w:rPr>
          <w:rFonts w:ascii="Courier New" w:cs="Courier New" w:eastAsia="Courier New" w:hAnsi="Courier New"/>
          <w:sz w:val="15"/>
          <w:szCs w:val="15"/>
          <w:color w:val="auto"/>
        </w:rPr>
        <w:t>.</w:t>
      </w:r>
    </w:p>
    <w:p>
      <w:pPr>
        <w:spacing w:after="0" w:line="165" w:lineRule="exact"/>
        <w:rPr>
          <w:sz w:val="20"/>
          <w:szCs w:val="20"/>
          <w:color w:val="auto"/>
        </w:rPr>
      </w:pPr>
    </w:p>
    <w:p>
      <w:pPr>
        <w:jc w:val="both"/>
        <w:ind w:firstLine="438"/>
        <w:spacing w:after="0" w:line="231" w:lineRule="auto"/>
        <w:rPr>
          <w:sz w:val="20"/>
          <w:szCs w:val="20"/>
          <w:color w:val="auto"/>
        </w:rPr>
      </w:pPr>
      <w:r>
        <w:rPr>
          <w:rFonts w:ascii="Courier New" w:cs="Courier New" w:eastAsia="Courier New" w:hAnsi="Courier New"/>
          <w:sz w:val="15"/>
          <w:szCs w:val="15"/>
          <w:color w:val="auto"/>
        </w:rPr>
        <w:t>This Agreement will be governed by California law, without application of that state’s conflict of laws principles. Except for a claimed breach of Sections 5 and 6 of this Agreement, USAT and Arora agree that any dispute between the Parties will be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90" w:name="page291"/>
    <w:bookmarkEnd w:id="290"/>
    <w:p>
      <w:pPr>
        <w:jc w:val="both"/>
        <w:spacing w:after="0" w:line="231" w:lineRule="auto"/>
        <w:rPr>
          <w:sz w:val="20"/>
          <w:szCs w:val="20"/>
          <w:color w:val="auto"/>
        </w:rPr>
      </w:pPr>
      <w:r>
        <w:rPr>
          <w:rFonts w:ascii="Courier New" w:cs="Courier New" w:eastAsia="Courier New" w:hAnsi="Courier New"/>
          <w:sz w:val="15"/>
          <w:szCs w:val="15"/>
          <w:color w:val="auto"/>
        </w:rPr>
        <w:t>referred to final and binding arbitration, in accordance with the then-current Employment Arbitration Rules (the “Rules”) of the American Arbitration Association (“AAA”) with the hearing venue to be located in California. To the extent any dispute between the Parties is not subject to AAA arbitration, then the Parties hereby consent to the exclusive jurisdiction of the state and federal courts of the State of California. USAT and Arora, upon prior mutual written agreement, may agree to have any Dispute referred to and conducted in accordance with the rules (as same may be modified by such written mutual agreement) of another private arbitration institution, such as by way of example only, Judicial Arbitration &amp; Mediations Services, Inc.</w:t>
      </w:r>
    </w:p>
    <w:p>
      <w:pPr>
        <w:spacing w:after="0" w:line="161" w:lineRule="exact"/>
        <w:rPr>
          <w:sz w:val="20"/>
          <w:szCs w:val="20"/>
          <w:color w:val="auto"/>
        </w:rPr>
      </w:pPr>
    </w:p>
    <w:p>
      <w:pPr>
        <w:ind w:left="800" w:hanging="354"/>
        <w:spacing w:after="0"/>
        <w:tabs>
          <w:tab w:leader="none" w:pos="800" w:val="left"/>
        </w:tabs>
        <w:numPr>
          <w:ilvl w:val="0"/>
          <w:numId w:val="2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u w:val="single" w:color="auto"/>
          <w:color w:val="auto"/>
        </w:rPr>
        <w:t>Merger Agreement Beneficiary.</w:t>
      </w:r>
    </w:p>
    <w:p>
      <w:pPr>
        <w:spacing w:after="0" w:line="165" w:lineRule="exact"/>
        <w:rPr>
          <w:sz w:val="20"/>
          <w:szCs w:val="20"/>
          <w:color w:val="auto"/>
        </w:rPr>
      </w:pPr>
    </w:p>
    <w:p>
      <w:pPr>
        <w:ind w:firstLine="438"/>
        <w:spacing w:after="0" w:line="231" w:lineRule="auto"/>
        <w:rPr>
          <w:sz w:val="20"/>
          <w:szCs w:val="20"/>
          <w:color w:val="auto"/>
        </w:rPr>
      </w:pPr>
      <w:r>
        <w:rPr>
          <w:rFonts w:ascii="Courier New" w:cs="Courier New" w:eastAsia="Courier New" w:hAnsi="Courier New"/>
          <w:sz w:val="15"/>
          <w:szCs w:val="15"/>
          <w:color w:val="auto"/>
        </w:rPr>
        <w:t>USAT and Arora acknowledge that Arora is an intended beneficiary of Section 5.6 of the Merger Agreement, and he shall be a third party beneficiary thereof.</w:t>
      </w:r>
    </w:p>
    <w:p>
      <w:pPr>
        <w:spacing w:after="0" w:line="32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15"/>
          <w:szCs w:val="15"/>
          <w:i w:val="1"/>
          <w:iCs w:val="1"/>
          <w:color w:val="auto"/>
        </w:rPr>
        <w:t>Signature page follows</w:t>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4338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10140"/>
          </w:cols>
          <w:pgMar w:left="880" w:top="138" w:right="879"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4"/>
          <w:szCs w:val="14"/>
          <w:color w:val="auto"/>
        </w:rPr>
        <w:t>IN WITNESS WHEREOF, the parties hereto have executed this Agreement on the day and year first above written.</w:t>
      </w:r>
    </w:p>
    <w:p>
      <w:pPr>
        <w:spacing w:after="0" w:line="16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USA TECHNOLOGIES, INC.</w:t>
      </w:r>
    </w:p>
    <w:p>
      <w:pPr>
        <w:spacing w:after="0" w:line="323" w:lineRule="exact"/>
        <w:rPr>
          <w:sz w:val="20"/>
          <w:szCs w:val="20"/>
          <w:color w:val="auto"/>
        </w:rPr>
      </w:pPr>
    </w:p>
    <w:p>
      <w:pPr>
        <w:ind w:left="4640"/>
        <w:spacing w:after="0"/>
        <w:tabs>
          <w:tab w:leader="none" w:pos="5120" w:val="left"/>
        </w:tabs>
        <w:rPr>
          <w:sz w:val="20"/>
          <w:szCs w:val="20"/>
          <w:color w:val="auto"/>
        </w:rPr>
      </w:pPr>
      <w:r>
        <w:rPr>
          <w:rFonts w:ascii="Courier New" w:cs="Courier New" w:eastAsia="Courier New" w:hAnsi="Courier New"/>
          <w:sz w:val="15"/>
          <w:szCs w:val="15"/>
          <w:color w:val="auto"/>
        </w:rPr>
        <w:t>By:</w:t>
        <w:tab/>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2540</wp:posOffset>
            </wp:positionV>
            <wp:extent cx="288988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89885" cy="5715"/>
                    </a:xfrm>
                    <a:prstGeom prst="rect">
                      <a:avLst/>
                    </a:prstGeom>
                    <a:noFill/>
                  </pic:spPr>
                </pic:pic>
              </a:graphicData>
            </a:graphic>
          </wp:anchor>
        </w:drawing>
      </w:r>
    </w:p>
    <w:p>
      <w:pPr>
        <w:ind w:left="5140"/>
        <w:spacing w:after="0"/>
        <w:rPr>
          <w:sz w:val="20"/>
          <w:szCs w:val="20"/>
          <w:color w:val="auto"/>
        </w:rPr>
      </w:pPr>
      <w:r>
        <w:rPr>
          <w:rFonts w:ascii="Courier New" w:cs="Courier New" w:eastAsia="Courier New" w:hAnsi="Courier New"/>
          <w:sz w:val="15"/>
          <w:szCs w:val="15"/>
          <w:color w:val="auto"/>
        </w:rPr>
        <w:t>Stephen P. Herbert,</w:t>
      </w:r>
    </w:p>
    <w:p>
      <w:pPr>
        <w:ind w:left="5140"/>
        <w:spacing w:after="0" w:line="231" w:lineRule="auto"/>
        <w:rPr>
          <w:sz w:val="20"/>
          <w:szCs w:val="20"/>
          <w:color w:val="auto"/>
        </w:rPr>
      </w:pPr>
      <w:r>
        <w:rPr>
          <w:rFonts w:ascii="Courier New" w:cs="Courier New" w:eastAsia="Courier New" w:hAnsi="Courier New"/>
          <w:sz w:val="15"/>
          <w:szCs w:val="15"/>
          <w:color w:val="auto"/>
        </w:rPr>
        <w:t>Chief Executive Officer</w:t>
      </w:r>
    </w:p>
    <w:p>
      <w:pPr>
        <w:spacing w:after="0" w:line="323"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/s/ Mandeep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2540</wp:posOffset>
            </wp:positionV>
            <wp:extent cx="288988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89885" cy="5715"/>
                    </a:xfrm>
                    <a:prstGeom prst="rect">
                      <a:avLst/>
                    </a:prstGeom>
                    <a:noFill/>
                  </pic:spPr>
                </pic:pic>
              </a:graphicData>
            </a:graphic>
          </wp:anchor>
        </w:drawing>
      </w:r>
    </w:p>
    <w:p>
      <w:pPr>
        <w:ind w:left="5140"/>
        <w:spacing w:after="0"/>
        <w:rPr>
          <w:sz w:val="20"/>
          <w:szCs w:val="20"/>
          <w:color w:val="auto"/>
        </w:rPr>
      </w:pPr>
      <w:r>
        <w:rPr>
          <w:rFonts w:ascii="Courier New" w:cs="Courier New" w:eastAsia="Courier New" w:hAnsi="Courier New"/>
          <w:sz w:val="15"/>
          <w:szCs w:val="15"/>
          <w:color w:val="auto"/>
        </w:rPr>
        <w:t>MANDEEP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749300</wp:posOffset>
            </wp:positionV>
            <wp:extent cx="64338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460"/>
          </w:cols>
          <w:pgMar w:left="1320" w:top="138" w:right="1119" w:bottom="1440" w:gutter="0" w:footer="0" w:header="0"/>
        </w:sectPr>
      </w:pPr>
    </w:p>
    <w:bookmarkStart w:id="292" w:name="page293"/>
    <w:bookmarkEnd w:id="292"/>
    <w:p>
      <w:pPr>
        <w:jc w:val="center"/>
        <w:ind w:right="-580"/>
        <w:spacing w:after="0"/>
        <w:rPr>
          <w:sz w:val="20"/>
          <w:szCs w:val="20"/>
          <w:color w:val="auto"/>
        </w:rPr>
      </w:pPr>
      <w:r>
        <w:rPr>
          <w:rFonts w:ascii="Courier New" w:cs="Courier New" w:eastAsia="Courier New" w:hAnsi="Courier New"/>
          <w:sz w:val="15"/>
          <w:szCs w:val="15"/>
          <w:color w:val="auto"/>
        </w:rPr>
        <w:t>EXHIBIT A</w:t>
      </w:r>
    </w:p>
    <w:p>
      <w:pPr>
        <w:spacing w:after="0" w:line="158"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EXCLUDED INVENTIONS AND CONCEPTS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64338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33820" cy="17145"/>
                    </a:xfrm>
                    <a:prstGeom prst="rect">
                      <a:avLst/>
                    </a:prstGeom>
                    <a:noFill/>
                  </pic:spPr>
                </pic:pic>
              </a:graphicData>
            </a:graphic>
          </wp:anchor>
        </w:drawing>
      </w:r>
    </w:p>
    <w:p>
      <w:pPr>
        <w:sectPr>
          <w:pgSz w:w="11900" w:h="16838" w:orient="portrait"/>
          <w:cols w:equalWidth="0" w:num="1">
            <w:col w:w="9579"/>
          </w:cols>
          <w:pgMar w:left="880" w:top="130"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2"/>
          <w:szCs w:val="12"/>
          <w:b w:val="1"/>
          <w:bCs w:val="1"/>
          <w:color w:val="auto"/>
        </w:rPr>
        <w:t>Exhibit 31.1</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2"/>
          <w:szCs w:val="12"/>
          <w:color w:val="auto"/>
        </w:rPr>
        <w:t>I, Stephen P. Herbert, certify that:</w:t>
      </w:r>
    </w:p>
    <w:p>
      <w:pPr>
        <w:spacing w:after="0" w:line="154" w:lineRule="exact"/>
        <w:rPr>
          <w:sz w:val="20"/>
          <w:szCs w:val="20"/>
          <w:color w:val="auto"/>
        </w:rPr>
      </w:pPr>
    </w:p>
    <w:p>
      <w:pPr>
        <w:ind w:left="445" w:hanging="445"/>
        <w:spacing w:after="0" w:line="138" w:lineRule="exact"/>
        <w:tabs>
          <w:tab w:leader="none" w:pos="44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I have reviewed this quarterly report on Form 10</w:t>
      </w:r>
      <w:r>
        <w:rPr>
          <w:rFonts w:ascii="MS PGothic" w:cs="MS PGothic" w:eastAsia="MS PGothic" w:hAnsi="MS PGothic"/>
          <w:sz w:val="12"/>
          <w:szCs w:val="12"/>
          <w:color w:val="auto"/>
        </w:rPr>
        <w:t>‑</w:t>
      </w:r>
      <w:r>
        <w:rPr>
          <w:rFonts w:ascii="Arial" w:cs="Arial" w:eastAsia="Arial" w:hAnsi="Arial"/>
          <w:sz w:val="12"/>
          <w:szCs w:val="12"/>
          <w:color w:val="auto"/>
        </w:rPr>
        <w:t>Q of USA Technologies, Inc.;</w:t>
      </w:r>
    </w:p>
    <w:p>
      <w:pPr>
        <w:spacing w:after="0" w:line="15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13" w:lineRule="exact"/>
        <w:rPr>
          <w:rFonts w:ascii="Arial" w:cs="Arial" w:eastAsia="Arial" w:hAnsi="Arial"/>
          <w:sz w:val="12"/>
          <w:szCs w:val="12"/>
          <w:color w:val="auto"/>
        </w:rPr>
      </w:pPr>
    </w:p>
    <w:p>
      <w:pPr>
        <w:ind w:left="445" w:hanging="445"/>
        <w:spacing w:after="0" w:line="127" w:lineRule="exact"/>
        <w:tabs>
          <w:tab w:leader="none" w:pos="445"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w:t>
      </w:r>
    </w:p>
    <w:p>
      <w:pPr>
        <w:spacing w:after="0" w:line="27" w:lineRule="exact"/>
        <w:rPr>
          <w:rFonts w:ascii="Arial" w:cs="Arial" w:eastAsia="Arial" w:hAnsi="Arial"/>
          <w:sz w:val="11"/>
          <w:szCs w:val="11"/>
          <w:color w:val="auto"/>
        </w:rPr>
      </w:pPr>
    </w:p>
    <w:p>
      <w:pPr>
        <w:ind w:left="445"/>
        <w:spacing w:after="0" w:line="138" w:lineRule="exact"/>
        <w:rPr>
          <w:rFonts w:ascii="Arial" w:cs="Arial" w:eastAsia="Arial" w:hAnsi="Arial"/>
          <w:sz w:val="11"/>
          <w:szCs w:val="11"/>
          <w:color w:val="auto"/>
        </w:rPr>
      </w:pPr>
      <w:r>
        <w:rPr>
          <w:rFonts w:ascii="Arial" w:cs="Arial" w:eastAsia="Arial" w:hAnsi="Arial"/>
          <w:sz w:val="12"/>
          <w:szCs w:val="12"/>
          <w:color w:val="auto"/>
        </w:rPr>
        <w:t>15d</w:t>
      </w:r>
      <w:r>
        <w:rPr>
          <w:rFonts w:ascii="MS PGothic" w:cs="MS PGothic" w:eastAsia="MS PGothic" w:hAnsi="MS PGothic"/>
          <w:sz w:val="12"/>
          <w:szCs w:val="12"/>
          <w:color w:val="auto"/>
        </w:rPr>
        <w:t>‑</w:t>
      </w:r>
      <w:r>
        <w:rPr>
          <w:rFonts w:ascii="Arial" w:cs="Arial" w:eastAsia="Arial" w:hAnsi="Arial"/>
          <w:sz w:val="12"/>
          <w:szCs w:val="12"/>
          <w:color w:val="auto"/>
        </w:rPr>
        <w:t>15(e)) and internal control over financial reporting (as defined in Exchange Act Rules 13a</w:t>
      </w:r>
      <w:r>
        <w:rPr>
          <w:rFonts w:ascii="MS PGothic" w:cs="MS PGothic" w:eastAsia="MS PGothic" w:hAnsi="MS PGothic"/>
          <w:sz w:val="12"/>
          <w:szCs w:val="12"/>
          <w:color w:val="auto"/>
        </w:rPr>
        <w:t>‑</w:t>
      </w:r>
      <w:r>
        <w:rPr>
          <w:rFonts w:ascii="Arial" w:cs="Arial" w:eastAsia="Arial" w:hAnsi="Arial"/>
          <w:sz w:val="12"/>
          <w:szCs w:val="12"/>
          <w:color w:val="auto"/>
        </w:rPr>
        <w:t>15(f) and 15d</w:t>
      </w:r>
      <w:r>
        <w:rPr>
          <w:rFonts w:ascii="MS PGothic" w:cs="MS PGothic" w:eastAsia="MS PGothic" w:hAnsi="MS PGothic"/>
          <w:sz w:val="12"/>
          <w:szCs w:val="12"/>
          <w:color w:val="auto"/>
        </w:rPr>
        <w:t>‑</w:t>
      </w:r>
      <w:r>
        <w:rPr>
          <w:rFonts w:ascii="Arial" w:cs="Arial" w:eastAsia="Arial" w:hAnsi="Arial"/>
          <w:sz w:val="12"/>
          <w:szCs w:val="12"/>
          <w:color w:val="auto"/>
        </w:rPr>
        <w:t>15(f)) for the registrant and have:</w:t>
      </w:r>
    </w:p>
    <w:p>
      <w:pPr>
        <w:spacing w:after="0" w:line="145" w:lineRule="exact"/>
        <w:rPr>
          <w:rFonts w:ascii="Arial" w:cs="Arial" w:eastAsia="Arial" w:hAnsi="Arial"/>
          <w:sz w:val="11"/>
          <w:szCs w:val="11"/>
          <w:color w:val="auto"/>
        </w:rPr>
      </w:pPr>
    </w:p>
    <w:p>
      <w:pPr>
        <w:jc w:val="both"/>
        <w:ind w:left="885" w:right="20" w:hanging="447"/>
        <w:spacing w:after="0" w:line="267" w:lineRule="auto"/>
        <w:tabs>
          <w:tab w:leader="none" w:pos="896" w:val="left"/>
        </w:tabs>
        <w:numPr>
          <w:ilvl w:val="1"/>
          <w:numId w:val="2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2"/>
          <w:szCs w:val="12"/>
          <w:color w:val="auto"/>
        </w:rPr>
      </w:pPr>
    </w:p>
    <w:p>
      <w:pPr>
        <w:jc w:val="both"/>
        <w:ind w:left="885" w:hanging="447"/>
        <w:spacing w:after="0" w:line="267" w:lineRule="auto"/>
        <w:tabs>
          <w:tab w:leader="none" w:pos="903" w:val="left"/>
        </w:tabs>
        <w:numPr>
          <w:ilvl w:val="1"/>
          <w:numId w:val="2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2"/>
          <w:szCs w:val="12"/>
          <w:color w:val="auto"/>
        </w:rPr>
      </w:pPr>
    </w:p>
    <w:p>
      <w:pPr>
        <w:ind w:left="885" w:hanging="447"/>
        <w:spacing w:after="0" w:line="282" w:lineRule="auto"/>
        <w:tabs>
          <w:tab w:leader="none" w:pos="896" w:val="left"/>
        </w:tabs>
        <w:numPr>
          <w:ilvl w:val="1"/>
          <w:numId w:val="23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13" w:lineRule="exact"/>
        <w:rPr>
          <w:rFonts w:ascii="Arial" w:cs="Arial" w:eastAsia="Arial" w:hAnsi="Arial"/>
          <w:sz w:val="12"/>
          <w:szCs w:val="12"/>
          <w:color w:val="auto"/>
        </w:rPr>
      </w:pPr>
    </w:p>
    <w:p>
      <w:pPr>
        <w:jc w:val="both"/>
        <w:ind w:left="885" w:hanging="447"/>
        <w:spacing w:after="0" w:line="267" w:lineRule="auto"/>
        <w:tabs>
          <w:tab w:leader="none" w:pos="903" w:val="left"/>
        </w:tabs>
        <w:numPr>
          <w:ilvl w:val="1"/>
          <w:numId w:val="2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2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13" w:lineRule="exact"/>
        <w:rPr>
          <w:rFonts w:ascii="Arial" w:cs="Arial" w:eastAsia="Arial" w:hAnsi="Arial"/>
          <w:sz w:val="12"/>
          <w:szCs w:val="12"/>
          <w:color w:val="auto"/>
        </w:rPr>
      </w:pPr>
    </w:p>
    <w:p>
      <w:pPr>
        <w:ind w:left="885" w:right="20" w:hanging="447"/>
        <w:spacing w:after="0" w:line="282" w:lineRule="auto"/>
        <w:tabs>
          <w:tab w:leader="none" w:pos="896" w:val="left"/>
        </w:tabs>
        <w:numPr>
          <w:ilvl w:val="1"/>
          <w:numId w:val="23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3" w:lineRule="exact"/>
        <w:rPr>
          <w:rFonts w:ascii="Arial" w:cs="Arial" w:eastAsia="Arial" w:hAnsi="Arial"/>
          <w:sz w:val="12"/>
          <w:szCs w:val="12"/>
          <w:color w:val="auto"/>
        </w:rPr>
      </w:pPr>
    </w:p>
    <w:p>
      <w:pPr>
        <w:ind w:left="885" w:hanging="447"/>
        <w:spacing w:after="0"/>
        <w:tabs>
          <w:tab w:leader="none" w:pos="885" w:val="left"/>
        </w:tabs>
        <w:numPr>
          <w:ilvl w:val="1"/>
          <w:numId w:val="230"/>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Date: February 9, 2018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Stephen P. Herbert</w:t>
            </w:r>
          </w:p>
        </w:tc>
      </w:tr>
      <w:tr>
        <w:trPr>
          <w:trHeight w:val="126"/>
        </w:trPr>
        <w:tc>
          <w:tcPr>
            <w:tcW w:w="45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Stephen P. Herbert</w:t>
            </w:r>
          </w:p>
        </w:tc>
      </w:tr>
      <w:tr>
        <w:trPr>
          <w:trHeight w:val="154"/>
        </w:trPr>
        <w:tc>
          <w:tcPr>
            <w:tcW w:w="45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519"/>
        </w:trPr>
        <w:tc>
          <w:tcPr>
            <w:tcW w:w="45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125"/>
          </w:cols>
          <w:pgMar w:left="1395" w:top="127" w:right="1379" w:bottom="1440" w:gutter="0" w:footer="0" w:header="0"/>
        </w:sectPr>
      </w:pPr>
    </w:p>
    <w:bookmarkStart w:id="294" w:name="page295"/>
    <w:bookmarkEnd w:id="294"/>
    <w:p>
      <w:pPr>
        <w:jc w:val="right"/>
        <w:spacing w:after="0"/>
        <w:rPr>
          <w:sz w:val="20"/>
          <w:szCs w:val="20"/>
          <w:color w:val="auto"/>
        </w:rPr>
      </w:pPr>
      <w:r>
        <w:rPr>
          <w:rFonts w:ascii="Arial" w:cs="Arial" w:eastAsia="Arial" w:hAnsi="Arial"/>
          <w:sz w:val="12"/>
          <w:szCs w:val="12"/>
          <w:b w:val="1"/>
          <w:bCs w:val="1"/>
          <w:color w:val="auto"/>
        </w:rPr>
        <w:t>Exhibit 31.2</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2"/>
          <w:szCs w:val="12"/>
          <w:color w:val="auto"/>
        </w:rPr>
        <w:t>I, Priyanka Singh, certify that:</w:t>
      </w:r>
    </w:p>
    <w:p>
      <w:pPr>
        <w:spacing w:after="0" w:line="154" w:lineRule="exact"/>
        <w:rPr>
          <w:sz w:val="20"/>
          <w:szCs w:val="20"/>
          <w:color w:val="auto"/>
        </w:rPr>
      </w:pPr>
    </w:p>
    <w:p>
      <w:pPr>
        <w:ind w:left="445" w:hanging="445"/>
        <w:spacing w:after="0" w:line="138" w:lineRule="exact"/>
        <w:tabs>
          <w:tab w:leader="none" w:pos="44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w:t>
      </w:r>
      <w:r>
        <w:rPr>
          <w:rFonts w:ascii="MS PGothic" w:cs="MS PGothic" w:eastAsia="MS PGothic" w:hAnsi="MS PGothic"/>
          <w:sz w:val="12"/>
          <w:szCs w:val="12"/>
          <w:color w:val="auto"/>
        </w:rPr>
        <w:t>‑</w:t>
      </w:r>
      <w:r>
        <w:rPr>
          <w:rFonts w:ascii="Arial" w:cs="Arial" w:eastAsia="Arial" w:hAnsi="Arial"/>
          <w:sz w:val="12"/>
          <w:szCs w:val="12"/>
          <w:color w:val="auto"/>
        </w:rPr>
        <w:t>Q of USA Technologies, Inc.;</w:t>
      </w:r>
    </w:p>
    <w:p>
      <w:pPr>
        <w:spacing w:after="0" w:line="15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13" w:lineRule="exact"/>
        <w:rPr>
          <w:rFonts w:ascii="Arial" w:cs="Arial" w:eastAsia="Arial" w:hAnsi="Arial"/>
          <w:sz w:val="12"/>
          <w:szCs w:val="12"/>
          <w:color w:val="auto"/>
        </w:rPr>
      </w:pPr>
    </w:p>
    <w:p>
      <w:pPr>
        <w:ind w:left="445" w:hanging="445"/>
        <w:spacing w:after="0" w:line="127" w:lineRule="exact"/>
        <w:tabs>
          <w:tab w:leader="none" w:pos="445" w:val="left"/>
        </w:tabs>
        <w:numPr>
          <w:ilvl w:val="0"/>
          <w:numId w:val="231"/>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w:t>
      </w:r>
    </w:p>
    <w:p>
      <w:pPr>
        <w:spacing w:after="0" w:line="27" w:lineRule="exact"/>
        <w:rPr>
          <w:rFonts w:ascii="Arial" w:cs="Arial" w:eastAsia="Arial" w:hAnsi="Arial"/>
          <w:sz w:val="11"/>
          <w:szCs w:val="11"/>
          <w:color w:val="auto"/>
        </w:rPr>
      </w:pPr>
    </w:p>
    <w:p>
      <w:pPr>
        <w:ind w:left="445"/>
        <w:spacing w:after="0" w:line="138" w:lineRule="exact"/>
        <w:rPr>
          <w:rFonts w:ascii="Arial" w:cs="Arial" w:eastAsia="Arial" w:hAnsi="Arial"/>
          <w:sz w:val="11"/>
          <w:szCs w:val="11"/>
          <w:color w:val="auto"/>
        </w:rPr>
      </w:pPr>
      <w:r>
        <w:rPr>
          <w:rFonts w:ascii="Arial" w:cs="Arial" w:eastAsia="Arial" w:hAnsi="Arial"/>
          <w:sz w:val="12"/>
          <w:szCs w:val="12"/>
          <w:color w:val="auto"/>
        </w:rPr>
        <w:t>15d</w:t>
      </w:r>
      <w:r>
        <w:rPr>
          <w:rFonts w:ascii="MS PGothic" w:cs="MS PGothic" w:eastAsia="MS PGothic" w:hAnsi="MS PGothic"/>
          <w:sz w:val="12"/>
          <w:szCs w:val="12"/>
          <w:color w:val="auto"/>
        </w:rPr>
        <w:t>‑</w:t>
      </w:r>
      <w:r>
        <w:rPr>
          <w:rFonts w:ascii="Arial" w:cs="Arial" w:eastAsia="Arial" w:hAnsi="Arial"/>
          <w:sz w:val="12"/>
          <w:szCs w:val="12"/>
          <w:color w:val="auto"/>
        </w:rPr>
        <w:t>15(e)) and internal control over financial reporting (as defined in Exchange Act Rules 13a</w:t>
      </w:r>
      <w:r>
        <w:rPr>
          <w:rFonts w:ascii="MS PGothic" w:cs="MS PGothic" w:eastAsia="MS PGothic" w:hAnsi="MS PGothic"/>
          <w:sz w:val="12"/>
          <w:szCs w:val="12"/>
          <w:color w:val="auto"/>
        </w:rPr>
        <w:t>‑</w:t>
      </w:r>
      <w:r>
        <w:rPr>
          <w:rFonts w:ascii="Arial" w:cs="Arial" w:eastAsia="Arial" w:hAnsi="Arial"/>
          <w:sz w:val="12"/>
          <w:szCs w:val="12"/>
          <w:color w:val="auto"/>
        </w:rPr>
        <w:t>15(f) and 15d</w:t>
      </w:r>
      <w:r>
        <w:rPr>
          <w:rFonts w:ascii="MS PGothic" w:cs="MS PGothic" w:eastAsia="MS PGothic" w:hAnsi="MS PGothic"/>
          <w:sz w:val="12"/>
          <w:szCs w:val="12"/>
          <w:color w:val="auto"/>
        </w:rPr>
        <w:t>‑</w:t>
      </w:r>
      <w:r>
        <w:rPr>
          <w:rFonts w:ascii="Arial" w:cs="Arial" w:eastAsia="Arial" w:hAnsi="Arial"/>
          <w:sz w:val="12"/>
          <w:szCs w:val="12"/>
          <w:color w:val="auto"/>
        </w:rPr>
        <w:t>15(f)) for the registrant and have:</w:t>
      </w:r>
    </w:p>
    <w:p>
      <w:pPr>
        <w:spacing w:after="0" w:line="145" w:lineRule="exact"/>
        <w:rPr>
          <w:rFonts w:ascii="Arial" w:cs="Arial" w:eastAsia="Arial" w:hAnsi="Arial"/>
          <w:sz w:val="11"/>
          <w:szCs w:val="11"/>
          <w:color w:val="auto"/>
        </w:rPr>
      </w:pPr>
    </w:p>
    <w:p>
      <w:pPr>
        <w:jc w:val="both"/>
        <w:ind w:left="885" w:right="20" w:hanging="447"/>
        <w:spacing w:after="0" w:line="267" w:lineRule="auto"/>
        <w:tabs>
          <w:tab w:leader="none" w:pos="896" w:val="left"/>
        </w:tabs>
        <w:numPr>
          <w:ilvl w:val="1"/>
          <w:numId w:val="2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2"/>
          <w:szCs w:val="12"/>
          <w:color w:val="auto"/>
        </w:rPr>
      </w:pPr>
    </w:p>
    <w:p>
      <w:pPr>
        <w:jc w:val="both"/>
        <w:ind w:left="885" w:hanging="447"/>
        <w:spacing w:after="0" w:line="267" w:lineRule="auto"/>
        <w:tabs>
          <w:tab w:leader="none" w:pos="903" w:val="left"/>
        </w:tabs>
        <w:numPr>
          <w:ilvl w:val="1"/>
          <w:numId w:val="2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2"/>
          <w:szCs w:val="12"/>
          <w:color w:val="auto"/>
        </w:rPr>
      </w:pPr>
    </w:p>
    <w:p>
      <w:pPr>
        <w:ind w:left="885" w:hanging="447"/>
        <w:spacing w:after="0" w:line="282" w:lineRule="auto"/>
        <w:tabs>
          <w:tab w:leader="none" w:pos="896" w:val="left"/>
        </w:tabs>
        <w:numPr>
          <w:ilvl w:val="1"/>
          <w:numId w:val="2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13" w:lineRule="exact"/>
        <w:rPr>
          <w:rFonts w:ascii="Arial" w:cs="Arial" w:eastAsia="Arial" w:hAnsi="Arial"/>
          <w:sz w:val="12"/>
          <w:szCs w:val="12"/>
          <w:color w:val="auto"/>
        </w:rPr>
      </w:pPr>
    </w:p>
    <w:p>
      <w:pPr>
        <w:jc w:val="both"/>
        <w:ind w:left="885" w:hanging="447"/>
        <w:spacing w:after="0" w:line="267" w:lineRule="auto"/>
        <w:tabs>
          <w:tab w:leader="none" w:pos="903" w:val="left"/>
        </w:tabs>
        <w:numPr>
          <w:ilvl w:val="1"/>
          <w:numId w:val="2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23" w:lineRule="exact"/>
        <w:rPr>
          <w:rFonts w:ascii="Arial" w:cs="Arial" w:eastAsia="Arial" w:hAnsi="Arial"/>
          <w:sz w:val="12"/>
          <w:szCs w:val="12"/>
          <w:color w:val="auto"/>
        </w:rPr>
      </w:pPr>
    </w:p>
    <w:p>
      <w:pPr>
        <w:ind w:left="445" w:right="20" w:hanging="445"/>
        <w:spacing w:after="0" w:line="282" w:lineRule="auto"/>
        <w:tabs>
          <w:tab w:leader="none" w:pos="44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13" w:lineRule="exact"/>
        <w:rPr>
          <w:rFonts w:ascii="Arial" w:cs="Arial" w:eastAsia="Arial" w:hAnsi="Arial"/>
          <w:sz w:val="12"/>
          <w:szCs w:val="12"/>
          <w:color w:val="auto"/>
        </w:rPr>
      </w:pPr>
    </w:p>
    <w:p>
      <w:pPr>
        <w:ind w:left="885" w:right="20" w:hanging="447"/>
        <w:spacing w:after="0" w:line="282" w:lineRule="auto"/>
        <w:tabs>
          <w:tab w:leader="none" w:pos="896" w:val="left"/>
        </w:tabs>
        <w:numPr>
          <w:ilvl w:val="1"/>
          <w:numId w:val="2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3" w:lineRule="exact"/>
        <w:rPr>
          <w:rFonts w:ascii="Arial" w:cs="Arial" w:eastAsia="Arial" w:hAnsi="Arial"/>
          <w:sz w:val="12"/>
          <w:szCs w:val="12"/>
          <w:color w:val="auto"/>
        </w:rPr>
      </w:pPr>
    </w:p>
    <w:p>
      <w:pPr>
        <w:ind w:left="885" w:hanging="447"/>
        <w:spacing w:after="0"/>
        <w:tabs>
          <w:tab w:leader="none" w:pos="885" w:val="left"/>
        </w:tabs>
        <w:numPr>
          <w:ilvl w:val="1"/>
          <w:numId w:val="231"/>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Date: February 9, 2018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Priyanka Singh</w:t>
            </w:r>
          </w:p>
        </w:tc>
      </w:tr>
      <w:tr>
        <w:trPr>
          <w:trHeight w:val="126"/>
        </w:trPr>
        <w:tc>
          <w:tcPr>
            <w:tcW w:w="45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Priyanka Singh</w:t>
            </w:r>
          </w:p>
        </w:tc>
      </w:tr>
      <w:tr>
        <w:trPr>
          <w:trHeight w:val="154"/>
        </w:trPr>
        <w:tc>
          <w:tcPr>
            <w:tcW w:w="45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519"/>
        </w:trPr>
        <w:tc>
          <w:tcPr>
            <w:tcW w:w="45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125"/>
          </w:cols>
          <w:pgMar w:left="1395" w:top="127" w:right="1379" w:bottom="1440" w:gutter="0" w:footer="0" w:header="0"/>
        </w:sectPr>
      </w:pPr>
    </w:p>
    <w:bookmarkStart w:id="295" w:name="page296"/>
    <w:bookmarkEnd w:id="295"/>
    <w:p>
      <w:pPr>
        <w:jc w:val="right"/>
        <w:spacing w:after="0"/>
        <w:rPr>
          <w:sz w:val="20"/>
          <w:szCs w:val="20"/>
          <w:color w:val="auto"/>
        </w:rPr>
      </w:pPr>
      <w:r>
        <w:rPr>
          <w:rFonts w:ascii="Arial" w:cs="Arial" w:eastAsia="Arial" w:hAnsi="Arial"/>
          <w:sz w:val="12"/>
          <w:szCs w:val="12"/>
          <w:b w:val="1"/>
          <w:bCs w:val="1"/>
          <w:color w:val="auto"/>
        </w:rPr>
        <w:t>Exhibit 32.1</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(18 U.S.C. SECTION 1350)</w:t>
      </w:r>
    </w:p>
    <w:p>
      <w:pPr>
        <w:spacing w:after="0" w:line="145" w:lineRule="exact"/>
        <w:rPr>
          <w:sz w:val="20"/>
          <w:szCs w:val="20"/>
          <w:color w:val="auto"/>
        </w:rPr>
      </w:pPr>
    </w:p>
    <w:p>
      <w:pPr>
        <w:ind w:left="5"/>
        <w:spacing w:after="0" w:line="127" w:lineRule="exact"/>
        <w:rPr>
          <w:sz w:val="20"/>
          <w:szCs w:val="20"/>
          <w:color w:val="auto"/>
        </w:rPr>
      </w:pPr>
      <w:r>
        <w:rPr>
          <w:rFonts w:ascii="Arial" w:cs="Arial" w:eastAsia="Arial" w:hAnsi="Arial"/>
          <w:sz w:val="11"/>
          <w:szCs w:val="11"/>
          <w:color w:val="auto"/>
        </w:rPr>
        <w:t>In connection with the accompanying Quarterly Report of USA Technologies, Inc., (the “Company”) on Form 10</w:t>
      </w:r>
      <w:r>
        <w:rPr>
          <w:rFonts w:ascii="MS PGothic" w:cs="MS PGothic" w:eastAsia="MS PGothic" w:hAnsi="MS PGothic"/>
          <w:sz w:val="11"/>
          <w:szCs w:val="11"/>
          <w:color w:val="auto"/>
        </w:rPr>
        <w:t>‑</w:t>
      </w:r>
      <w:r>
        <w:rPr>
          <w:rFonts w:ascii="Arial" w:cs="Arial" w:eastAsia="Arial" w:hAnsi="Arial"/>
          <w:sz w:val="11"/>
          <w:szCs w:val="11"/>
          <w:color w:val="auto"/>
        </w:rPr>
        <w:t>Q for the period ended December 31, 2017 (the “Report”), I, Stephen P.</w:t>
      </w:r>
    </w:p>
    <w:p>
      <w:pPr>
        <w:spacing w:after="0" w:line="28" w:lineRule="exact"/>
        <w:rPr>
          <w:sz w:val="20"/>
          <w:szCs w:val="20"/>
          <w:color w:val="auto"/>
        </w:rPr>
      </w:pPr>
    </w:p>
    <w:p>
      <w:pPr>
        <w:ind w:left="5"/>
        <w:spacing w:after="0"/>
        <w:rPr>
          <w:sz w:val="20"/>
          <w:szCs w:val="20"/>
          <w:color w:val="auto"/>
        </w:rPr>
      </w:pPr>
      <w:r>
        <w:rPr>
          <w:rFonts w:ascii="Arial" w:cs="Arial" w:eastAsia="Arial" w:hAnsi="Arial"/>
          <w:sz w:val="12"/>
          <w:szCs w:val="12"/>
          <w:color w:val="auto"/>
        </w:rPr>
        <w:t>Herbert., Chief Executive Officer of the Company, hereby certify that to my knowledge:</w:t>
      </w:r>
    </w:p>
    <w:p>
      <w:pPr>
        <w:spacing w:after="0" w:line="145" w:lineRule="exact"/>
        <w:rPr>
          <w:sz w:val="20"/>
          <w:szCs w:val="20"/>
          <w:color w:val="auto"/>
        </w:rPr>
      </w:pPr>
    </w:p>
    <w:p>
      <w:pPr>
        <w:ind w:left="445" w:hanging="445"/>
        <w:spacing w:after="0"/>
        <w:tabs>
          <w:tab w:leader="none" w:pos="445" w:val="left"/>
        </w:tabs>
        <w:numPr>
          <w:ilvl w:val="0"/>
          <w:numId w:val="23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3" w:lineRule="exact"/>
        <w:rPr>
          <w:rFonts w:ascii="Arial" w:cs="Arial" w:eastAsia="Arial" w:hAnsi="Arial"/>
          <w:sz w:val="12"/>
          <w:szCs w:val="12"/>
          <w:color w:val="auto"/>
        </w:rPr>
      </w:pPr>
    </w:p>
    <w:p>
      <w:pPr>
        <w:ind w:left="445" w:hanging="445"/>
        <w:spacing w:after="0"/>
        <w:tabs>
          <w:tab w:leader="none" w:pos="445" w:val="left"/>
        </w:tabs>
        <w:numPr>
          <w:ilvl w:val="0"/>
          <w:numId w:val="23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Date: February 9, 2018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Stephen P. Herbert</w:t>
            </w:r>
          </w:p>
        </w:tc>
      </w:tr>
      <w:tr>
        <w:trPr>
          <w:trHeight w:val="126"/>
        </w:trPr>
        <w:tc>
          <w:tcPr>
            <w:tcW w:w="45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Stephen P. Herbert</w:t>
            </w:r>
          </w:p>
        </w:tc>
      </w:tr>
      <w:tr>
        <w:trPr>
          <w:trHeight w:val="154"/>
        </w:trPr>
        <w:tc>
          <w:tcPr>
            <w:tcW w:w="45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519"/>
        </w:trPr>
        <w:tc>
          <w:tcPr>
            <w:tcW w:w="45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125"/>
          </w:cols>
          <w:pgMar w:left="1395" w:top="127" w:right="1379" w:bottom="1440" w:gutter="0" w:footer="0" w:header="0"/>
        </w:sectPr>
      </w:pPr>
    </w:p>
    <w:bookmarkStart w:id="296" w:name="page297"/>
    <w:bookmarkEnd w:id="296"/>
    <w:p>
      <w:pPr>
        <w:jc w:val="right"/>
        <w:spacing w:after="0"/>
        <w:rPr>
          <w:sz w:val="20"/>
          <w:szCs w:val="20"/>
          <w:color w:val="auto"/>
        </w:rPr>
      </w:pPr>
      <w:r>
        <w:rPr>
          <w:rFonts w:ascii="Arial" w:cs="Arial" w:eastAsia="Arial" w:hAnsi="Arial"/>
          <w:sz w:val="12"/>
          <w:szCs w:val="12"/>
          <w:b w:val="1"/>
          <w:bCs w:val="1"/>
          <w:color w:val="auto"/>
        </w:rPr>
        <w:t>Exhibit 32.2</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(18 U.S.C. SECTION 1350)</w:t>
      </w:r>
    </w:p>
    <w:p>
      <w:pPr>
        <w:spacing w:after="0" w:line="145" w:lineRule="exact"/>
        <w:rPr>
          <w:sz w:val="20"/>
          <w:szCs w:val="20"/>
          <w:color w:val="auto"/>
        </w:rPr>
      </w:pPr>
    </w:p>
    <w:p>
      <w:pPr>
        <w:ind w:left="5" w:right="20"/>
        <w:spacing w:after="0" w:line="151" w:lineRule="exact"/>
        <w:rPr>
          <w:sz w:val="20"/>
          <w:szCs w:val="20"/>
          <w:color w:val="auto"/>
        </w:rPr>
      </w:pPr>
      <w:r>
        <w:rPr>
          <w:rFonts w:ascii="Arial" w:cs="Arial" w:eastAsia="Arial" w:hAnsi="Arial"/>
          <w:sz w:val="12"/>
          <w:szCs w:val="12"/>
          <w:color w:val="auto"/>
        </w:rPr>
        <w:t>In connection with the accompanying Quarterly Report of USA Technologies, Inc., (the “Company”) on Form 10</w:t>
      </w:r>
      <w:r>
        <w:rPr>
          <w:rFonts w:ascii="MS PGothic" w:cs="MS PGothic" w:eastAsia="MS PGothic" w:hAnsi="MS PGothic"/>
          <w:sz w:val="12"/>
          <w:szCs w:val="12"/>
          <w:color w:val="auto"/>
        </w:rPr>
        <w:t>‑</w:t>
      </w:r>
      <w:r>
        <w:rPr>
          <w:rFonts w:ascii="Arial" w:cs="Arial" w:eastAsia="Arial" w:hAnsi="Arial"/>
          <w:sz w:val="12"/>
          <w:szCs w:val="12"/>
          <w:color w:val="auto"/>
        </w:rPr>
        <w:t>Q for the period ended December 31, 2017 (the “Report”), I, Priyanka Singh, Chief Financial Officer of the Company, hereby certify that to my knowledge:</w:t>
      </w:r>
    </w:p>
    <w:p>
      <w:pPr>
        <w:spacing w:after="0" w:line="138" w:lineRule="exact"/>
        <w:rPr>
          <w:sz w:val="20"/>
          <w:szCs w:val="20"/>
          <w:color w:val="auto"/>
        </w:rPr>
      </w:pPr>
    </w:p>
    <w:p>
      <w:pPr>
        <w:ind w:left="445" w:hanging="445"/>
        <w:spacing w:after="0"/>
        <w:tabs>
          <w:tab w:leader="none" w:pos="445"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3" w:lineRule="exact"/>
        <w:rPr>
          <w:rFonts w:ascii="Arial" w:cs="Arial" w:eastAsia="Arial" w:hAnsi="Arial"/>
          <w:sz w:val="12"/>
          <w:szCs w:val="12"/>
          <w:color w:val="auto"/>
        </w:rPr>
      </w:pPr>
    </w:p>
    <w:p>
      <w:pPr>
        <w:ind w:left="445" w:hanging="445"/>
        <w:spacing w:after="0"/>
        <w:tabs>
          <w:tab w:leader="none" w:pos="445"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Date: February 9, 2018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Priyanka Singh</w:t>
            </w:r>
          </w:p>
        </w:tc>
      </w:tr>
      <w:tr>
        <w:trPr>
          <w:trHeight w:val="126"/>
        </w:trPr>
        <w:tc>
          <w:tcPr>
            <w:tcW w:w="4560" w:type="dxa"/>
            <w:vAlign w:val="bottom"/>
          </w:tcPr>
          <w:p>
            <w:pPr>
              <w:spacing w:after="0"/>
              <w:rPr>
                <w:sz w:val="10"/>
                <w:szCs w:val="10"/>
                <w:color w:val="auto"/>
              </w:rPr>
            </w:pPr>
          </w:p>
        </w:tc>
        <w:tc>
          <w:tcPr>
            <w:tcW w:w="4540" w:type="dxa"/>
            <w:vAlign w:val="bottom"/>
          </w:tcPr>
          <w:p>
            <w:pPr>
              <w:spacing w:after="0" w:line="126" w:lineRule="exact"/>
              <w:rPr>
                <w:sz w:val="20"/>
                <w:szCs w:val="20"/>
                <w:color w:val="auto"/>
              </w:rPr>
            </w:pPr>
            <w:r>
              <w:rPr>
                <w:rFonts w:ascii="Arial" w:cs="Arial" w:eastAsia="Arial" w:hAnsi="Arial"/>
                <w:sz w:val="12"/>
                <w:szCs w:val="12"/>
                <w:color w:val="auto"/>
              </w:rPr>
              <w:t>Priyanka Singh</w:t>
            </w:r>
          </w:p>
        </w:tc>
      </w:tr>
      <w:tr>
        <w:trPr>
          <w:trHeight w:val="154"/>
        </w:trPr>
        <w:tc>
          <w:tcPr>
            <w:tcW w:w="456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519"/>
        </w:trPr>
        <w:tc>
          <w:tcPr>
            <w:tcW w:w="45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125"/>
      </w:cols>
      <w:pgMar w:left="1395" w:top="12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80EC70"/>
    <w:multiLevelType w:val="hybridMultilevel"/>
    <w:lvl w:ilvl="0">
      <w:lvlJc w:val="left"/>
      <w:lvlText w:val=" "/>
      <w:numFmt w:val="bullet"/>
      <w:start w:val="1"/>
    </w:lvl>
  </w:abstractNum>
  <w:abstractNum w:abstractNumId="1">
    <w:nsid w:val="379E21B5"/>
    <w:multiLevelType w:val="hybridMultilevel"/>
    <w:lvl w:ilvl="0">
      <w:lvlJc w:val="left"/>
      <w:lvlText w:val=" "/>
      <w:numFmt w:val="bullet"/>
      <w:start w:val="1"/>
    </w:lvl>
  </w:abstractNum>
  <w:abstractNum w:abstractNumId="2">
    <w:nsid w:val="69E373"/>
    <w:multiLevelType w:val="hybridMultilevel"/>
    <w:lvl w:ilvl="0">
      <w:lvlJc w:val="left"/>
      <w:lvlText w:val="(%1)"/>
      <w:numFmt w:val="lowerLetter"/>
      <w:start w:val="1"/>
    </w:lvl>
  </w:abstractNum>
  <w:abstractNum w:abstractNumId="3">
    <w:nsid w:val="2C27173B"/>
    <w:multiLevelType w:val="hybridMultilevel"/>
    <w:lvl w:ilvl="0">
      <w:lvlJc w:val="left"/>
      <w:lvlText w:val="(%1)"/>
      <w:numFmt w:val="lowerRoman"/>
      <w:start w:val="2"/>
    </w:lvl>
  </w:abstractNum>
  <w:abstractNum w:abstractNumId="4">
    <w:nsid w:val="4C9B0904"/>
    <w:multiLevelType w:val="hybridMultilevel"/>
    <w:lvl w:ilvl="0">
      <w:lvlJc w:val="left"/>
      <w:lvlText w:val="(%1)"/>
      <w:numFmt w:val="decimal"/>
      <w:start w:val="1"/>
    </w:lvl>
  </w:abstractNum>
  <w:abstractNum w:abstractNumId="5">
    <w:nsid w:val="6AA7B75C"/>
    <w:multiLevelType w:val="hybridMultilevel"/>
    <w:lvl w:ilvl="0">
      <w:lvlJc w:val="left"/>
      <w:lvlText w:val="%1)"/>
      <w:numFmt w:val="lowerLetter"/>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
      <w:numFmt w:val="bullet"/>
      <w:start w:val="1"/>
    </w:lvl>
  </w:abstractNum>
  <w:abstractNum w:abstractNumId="8">
    <w:nsid w:val="3DD15094"/>
    <w:multiLevelType w:val="hybridMultilevel"/>
    <w:lvl w:ilvl="0">
      <w:lvlJc w:val="left"/>
      <w:lvlText w:val="·"/>
      <w:numFmt w:val="bullet"/>
      <w:start w:val="1"/>
    </w:lvl>
  </w:abstractNum>
  <w:abstractNum w:abstractNumId="9">
    <w:nsid w:val="3DB012B3"/>
    <w:multiLevelType w:val="hybridMultilevel"/>
    <w:lvl w:ilvl="0">
      <w:lvlJc w:val="left"/>
      <w:lvlText w:val="·"/>
      <w:numFmt w:val="bullet"/>
      <w:start w:val="1"/>
    </w:lvl>
  </w:abstractNum>
  <w:abstractNum w:abstractNumId="10">
    <w:nsid w:val="2708C9AF"/>
    <w:multiLevelType w:val="hybridMultilevel"/>
    <w:lvl w:ilvl="0">
      <w:lvlJc w:val="left"/>
      <w:lvlText w:val="%1)"/>
      <w:numFmt w:val="lowerLetter"/>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1"/>
      <w:numFmt w:val="decimal"/>
      <w:start w:val="101"/>
    </w:lvl>
  </w:abstractNum>
  <w:abstractNum w:abstractNumId="14">
    <w:nsid w:val="53B0A9E"/>
    <w:multiLevelType w:val="hybridMultilevel"/>
    <w:lvl w:ilvl="0">
      <w:lvlJc w:val="left"/>
      <w:lvlText w:val="(%1)"/>
      <w:numFmt w:val="lowerLetter"/>
      <w:start w:val="1"/>
    </w:lvl>
  </w:abstractNum>
  <w:abstractNum w:abstractNumId="15">
    <w:nsid w:val="34FD6B4F"/>
    <w:multiLevelType w:val="hybridMultilevel"/>
    <w:lvl w:ilvl="0">
      <w:lvlJc w:val="left"/>
      <w:lvlText w:val="(%1)"/>
      <w:numFmt w:val="lowerLetter"/>
      <w:start w:val="5"/>
    </w:lvl>
  </w:abstractNum>
  <w:abstractNum w:abstractNumId="16">
    <w:nsid w:val="5915FF32"/>
    <w:multiLevelType w:val="hybridMultilevel"/>
    <w:lvl w:ilvl="0">
      <w:lvlJc w:val="left"/>
      <w:lvlText w:val="(%1)"/>
      <w:numFmt w:val="lowerRoman"/>
      <w:start w:val="2"/>
    </w:lvl>
  </w:abstractNum>
  <w:abstractNum w:abstractNumId="17">
    <w:nsid w:val="56438D1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8">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9">
    <w:nsid w:val="2C6E4AFD"/>
    <w:multiLevelType w:val="hybridMultilevel"/>
    <w:lvl w:ilvl="0">
      <w:lvlJc w:val="left"/>
      <w:lvlText w:val="(%1)"/>
      <w:numFmt w:val="decimal"/>
      <w:start w:val="8"/>
    </w:lvl>
    <w:lvl w:ilvl="1">
      <w:lvlJc w:val="left"/>
      <w:lvlText w:val="(%2)"/>
      <w:numFmt w:val="lowerLetter"/>
      <w:start w:val="3"/>
    </w:lvl>
    <w:lvl w:ilvl="2">
      <w:lvlJc w:val="left"/>
      <w:lvlText w:val="%3"/>
      <w:numFmt w:val="lowerLetter"/>
      <w:start w:val="1"/>
    </w:lvl>
  </w:abstractNum>
  <w:abstractNum w:abstractNumId="20">
    <w:nsid w:val="17A1B582"/>
    <w:multiLevelType w:val="hybridMultilevel"/>
    <w:lvl w:ilvl="0">
      <w:lvlJc w:val="left"/>
      <w:lvlText w:val="(%1)"/>
      <w:numFmt w:val="decimal"/>
      <w:start w:val="21"/>
    </w:lvl>
    <w:lvl w:ilvl="1">
      <w:lvlJc w:val="left"/>
      <w:lvlText w:val="***"/>
      <w:numFmt w:val="bullet"/>
      <w:start w:val="1"/>
    </w:lvl>
  </w:abstractNum>
  <w:abstractNum w:abstractNumId="21">
    <w:nsid w:val="4DF72E4E"/>
    <w:multiLevelType w:val="hybridMultilevel"/>
    <w:lvl w:ilvl="0">
      <w:lvlJc w:val="left"/>
      <w:lvlText w:val="%1"/>
      <w:numFmt w:val="upperLetter"/>
      <w:start w:val="1"/>
    </w:lvl>
    <w:lvl w:ilvl="1">
      <w:lvlJc w:val="left"/>
      <w:lvlText w:val="(%2)"/>
      <w:numFmt w:val="decimal"/>
      <w:start w:val="37"/>
    </w:lvl>
  </w:abstractNum>
  <w:abstractNum w:abstractNumId="22">
    <w:nsid w:val="5046B5A9"/>
    <w:multiLevelType w:val="hybridMultilevel"/>
    <w:lvl w:ilvl="0">
      <w:lvlJc w:val="left"/>
      <w:lvlText w:val="%1."/>
      <w:numFmt w:val="upperLetter"/>
      <w:start w:val="2"/>
    </w:lvl>
    <w:lvl w:ilvl="1">
      <w:lvlJc w:val="left"/>
      <w:lvlText w:val="(%2)"/>
      <w:numFmt w:val="decimal"/>
      <w:start w:val="1"/>
    </w:lvl>
  </w:abstractNum>
  <w:abstractNum w:abstractNumId="23">
    <w:nsid w:val="5D888A0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4">
    <w:nsid w:val="2A082C70"/>
    <w:multiLevelType w:val="hybridMultilevel"/>
    <w:lvl w:ilvl="0">
      <w:lvlJc w:val="left"/>
      <w:lvlText w:val="%1)"/>
      <w:numFmt w:val="lowerLetter"/>
      <w:start w:val="8"/>
    </w:lvl>
    <w:lvl w:ilvl="1">
      <w:lvlJc w:val="left"/>
      <w:lvlText w:val="***"/>
      <w:numFmt w:val="bullet"/>
      <w:start w:val="1"/>
    </w:lvl>
  </w:abstractNum>
  <w:abstractNum w:abstractNumId="25">
    <w:nsid w:val="5EC6AFD4"/>
    <w:multiLevelType w:val="hybridMultilevel"/>
    <w:lvl w:ilvl="0">
      <w:lvlJc w:val="left"/>
      <w:lvlText w:val="(%1)"/>
      <w:numFmt w:val="decimal"/>
      <w:start w:val="3"/>
    </w:lvl>
  </w:abstractNum>
  <w:abstractNum w:abstractNumId="26">
    <w:nsid w:val="19E21BB2"/>
    <w:multiLevelType w:val="hybridMultilevel"/>
    <w:lvl w:ilvl="0">
      <w:lvlJc w:val="left"/>
      <w:lvlText w:val="(%1)"/>
      <w:numFmt w:val="decimal"/>
      <w:start w:val="4"/>
    </w:lvl>
  </w:abstractNum>
  <w:abstractNum w:abstractNumId="27">
    <w:nsid w:val="75E0858A"/>
    <w:multiLevelType w:val="hybridMultilevel"/>
    <w:lvl w:ilvl="0">
      <w:lvlJc w:val="left"/>
      <w:lvlText w:val="%1)"/>
      <w:numFmt w:val="lowerLetter"/>
      <w:start w:val="1"/>
    </w:lvl>
  </w:abstractNum>
  <w:abstractNum w:abstractNumId="28">
    <w:nsid w:val="57A61A29"/>
    <w:multiLevelType w:val="hybridMultilevel"/>
    <w:lvl w:ilvl="0">
      <w:lvlJc w:val="left"/>
      <w:lvlText w:val="%1"/>
      <w:numFmt w:val="decimal"/>
      <w:start w:val="1"/>
    </w:lvl>
    <w:lvl w:ilvl="1">
      <w:lvlJc w:val="left"/>
      <w:lvlText w:val="%2)"/>
      <w:numFmt w:val="lowerLetter"/>
      <w:start w:val="9"/>
    </w:lvl>
  </w:abstractNum>
  <w:abstractNum w:abstractNumId="29">
    <w:nsid w:val="5399C654"/>
    <w:multiLevelType w:val="hybridMultilevel"/>
    <w:lvl w:ilvl="0">
      <w:lvlJc w:val="left"/>
      <w:lvlText w:val="(%1)"/>
      <w:numFmt w:val="decimal"/>
      <w:start w:val="6"/>
    </w:lvl>
    <w:lvl w:ilvl="1">
      <w:lvlJc w:val="left"/>
      <w:lvlText w:val="%2)"/>
      <w:numFmt w:val="lowerLetter"/>
      <w:start w:val="1"/>
    </w:lvl>
  </w:abstractNum>
  <w:abstractNum w:abstractNumId="30">
    <w:nsid w:val="20EE1348"/>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31">
    <w:nsid w:val="4427069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2">
    <w:nsid w:val="B37E80A"/>
    <w:multiLevelType w:val="hybridMultilevel"/>
    <w:lvl w:ilvl="0">
      <w:lvlJc w:val="left"/>
      <w:lvlText w:val="%1"/>
      <w:numFmt w:val="decimal"/>
      <w:start w:val="1"/>
    </w:lvl>
    <w:lvl w:ilvl="1">
      <w:lvlJc w:val="left"/>
      <w:lvlText w:val="%2)"/>
      <w:numFmt w:val="lowerLetter"/>
      <w:start w:val="2"/>
    </w:lvl>
  </w:abstractNum>
  <w:abstractNum w:abstractNumId="33">
    <w:nsid w:val="2157F6BC"/>
    <w:multiLevelType w:val="hybridMultilevel"/>
    <w:lvl w:ilvl="0">
      <w:lvlJc w:val="left"/>
      <w:lvlText w:val="(%1)"/>
      <w:numFmt w:val="decimal"/>
      <w:start w:val="2"/>
    </w:lvl>
    <w:lvl w:ilvl="1">
      <w:lvlJc w:val="left"/>
      <w:lvlText w:val="%2)"/>
      <w:numFmt w:val="lowerLetter"/>
      <w:start w:val="1"/>
    </w:lvl>
  </w:abstractNum>
  <w:abstractNum w:abstractNumId="34">
    <w:nsid w:val="704E1DD5"/>
    <w:multiLevelType w:val="hybridMultilevel"/>
    <w:lvl w:ilvl="0">
      <w:lvlJc w:val="left"/>
      <w:lvlText w:val="(%1)"/>
      <w:numFmt w:val="decimal"/>
      <w:start w:val="4"/>
    </w:lvl>
  </w:abstractNum>
  <w:abstractNum w:abstractNumId="35">
    <w:nsid w:val="57D2F10E"/>
    <w:multiLevelType w:val="hybridMultilevel"/>
    <w:lvl w:ilvl="0">
      <w:lvlJc w:val="left"/>
      <w:lvlText w:val="%1"/>
      <w:numFmt w:val="decimal"/>
      <w:start w:val="1"/>
    </w:lvl>
    <w:lvl w:ilvl="1">
      <w:lvlJc w:val="left"/>
      <w:lvlText w:val="%2)"/>
      <w:numFmt w:val="lowerLetter"/>
      <w:start w:val="1"/>
    </w:lvl>
  </w:abstractNum>
  <w:abstractNum w:abstractNumId="36">
    <w:nsid w:val="BFFAE18"/>
    <w:multiLevelType w:val="hybridMultilevel"/>
    <w:lvl w:ilvl="0">
      <w:lvlJc w:val="left"/>
      <w:lvlText w:val="(%1)"/>
      <w:numFmt w:val="decimal"/>
      <w:start w:val="8"/>
    </w:lvl>
    <w:lvl w:ilvl="1">
      <w:lvlJc w:val="left"/>
      <w:lvlText w:val="%2)"/>
      <w:numFmt w:val="lowerLetter"/>
      <w:start w:val="1"/>
    </w:lvl>
  </w:abstractNum>
  <w:abstractNum w:abstractNumId="37">
    <w:nsid w:val="E3E47A8"/>
    <w:multiLevelType w:val="hybridMultilevel"/>
    <w:lvl w:ilvl="0">
      <w:lvlJc w:val="left"/>
      <w:lvlText w:val="%1"/>
      <w:numFmt w:val="upperLetter"/>
      <w:start w:val="1"/>
    </w:lvl>
    <w:lvl w:ilvl="1">
      <w:lvlJc w:val="left"/>
      <w:lvlText w:val="(%2)"/>
      <w:numFmt w:val="decimal"/>
      <w:start w:val="9"/>
    </w:lvl>
  </w:abstractNum>
  <w:abstractNum w:abstractNumId="38">
    <w:nsid w:val="2E48F044"/>
    <w:multiLevelType w:val="hybridMultilevel"/>
    <w:lvl w:ilvl="0">
      <w:lvlJc w:val="left"/>
      <w:lvlText w:val="%1."/>
      <w:numFmt w:val="upperLetter"/>
      <w:start w:val="4"/>
    </w:lvl>
    <w:lvl w:ilvl="1">
      <w:lvlJc w:val="left"/>
      <w:lvlText w:val="%2"/>
      <w:numFmt w:val="decimal"/>
      <w:start w:val="1"/>
    </w:lvl>
  </w:abstractNum>
  <w:abstractNum w:abstractNumId="39">
    <w:nsid w:val="49D0FEAC"/>
    <w:multiLevelType w:val="hybridMultilevel"/>
    <w:lvl w:ilvl="0">
      <w:lvlJc w:val="left"/>
      <w:lvlText w:val="%1."/>
      <w:numFmt w:val="upperLetter"/>
      <w:start w:val="6"/>
    </w:lvl>
  </w:abstractNum>
  <w:abstractNum w:abstractNumId="40">
    <w:nsid w:val="4BEE5A5B"/>
    <w:multiLevelType w:val="hybridMultilevel"/>
    <w:lvl w:ilvl="0">
      <w:lvlJc w:val="left"/>
      <w:lvlText w:val="(%1)"/>
      <w:numFmt w:val="decimal"/>
      <w:start w:val="1"/>
    </w:lvl>
  </w:abstractNum>
  <w:abstractNum w:abstractNumId="41">
    <w:nsid w:val="5551B9F3"/>
    <w:multiLevelType w:val="hybridMultilevel"/>
    <w:lvl w:ilvl="0">
      <w:lvlJc w:val="left"/>
      <w:lvlText w:val="(%1)"/>
      <w:numFmt w:val="lowerRoman"/>
      <w:start w:val="1"/>
    </w:lvl>
  </w:abstractNum>
  <w:abstractNum w:abstractNumId="42">
    <w:nsid w:val="24F6AB8E"/>
    <w:multiLevelType w:val="hybridMultilevel"/>
    <w:lvl w:ilvl="0">
      <w:lvlJc w:val="left"/>
      <w:lvlText w:val="(%1)"/>
      <w:numFmt w:val="lowerRoman"/>
      <w:start w:val="5"/>
    </w:lvl>
  </w:abstractNum>
  <w:abstractNum w:abstractNumId="43">
    <w:nsid w:val="634C574C"/>
    <w:multiLevelType w:val="hybridMultilevel"/>
    <w:lvl w:ilvl="0">
      <w:lvlJc w:val="left"/>
      <w:lvlText w:val="(%1)"/>
      <w:numFmt w:val="lowerLetter"/>
      <w:start w:val="3"/>
    </w:lvl>
  </w:abstractNum>
  <w:abstractNum w:abstractNumId="44">
    <w:nsid w:val="24E99DD7"/>
    <w:multiLevelType w:val="hybridMultilevel"/>
    <w:lvl w:ilvl="0">
      <w:lvlJc w:val="left"/>
      <w:lvlText w:val="(%1)"/>
      <w:numFmt w:val="lowerLetter"/>
      <w:start w:val="13"/>
    </w:lvl>
  </w:abstractNum>
  <w:abstractNum w:abstractNumId="45">
    <w:nsid w:val="2A31B62D"/>
    <w:multiLevelType w:val="hybridMultilevel"/>
    <w:lvl w:ilvl="0">
      <w:lvlJc w:val="left"/>
      <w:lvlText w:val="(%1)"/>
      <w:numFmt w:val="lowerRoman"/>
      <w:start w:val="3"/>
    </w:lvl>
  </w:abstractNum>
  <w:abstractNum w:abstractNumId="46">
    <w:nsid w:val="1849C29B"/>
    <w:multiLevelType w:val="hybridMultilevel"/>
    <w:lvl w:ilvl="0">
      <w:lvlJc w:val="left"/>
      <w:lvlText w:val="(%1)"/>
      <w:numFmt w:val="lowerLetter"/>
      <w:start w:val="1"/>
    </w:lvl>
  </w:abstractNum>
  <w:abstractNum w:abstractNumId="47">
    <w:nsid w:val="7DFF9D09"/>
    <w:multiLevelType w:val="hybridMultilevel"/>
    <w:lvl w:ilvl="0">
      <w:lvlJc w:val="left"/>
      <w:lvlText w:val="(%1)"/>
      <w:numFmt w:val="lowerLetter"/>
      <w:start w:val="1"/>
    </w:lvl>
  </w:abstractNum>
  <w:abstractNum w:abstractNumId="48">
    <w:nsid w:val="754342"/>
    <w:multiLevelType w:val="hybridMultilevel"/>
    <w:lvl w:ilvl="0">
      <w:lvlJc w:val="left"/>
      <w:lvlText w:val="(%1)"/>
      <w:numFmt w:val="lowerLetter"/>
      <w:start w:val="8"/>
    </w:lvl>
  </w:abstractNum>
  <w:abstractNum w:abstractNumId="49">
    <w:nsid w:val="69E7F3E5"/>
    <w:multiLevelType w:val="hybridMultilevel"/>
    <w:lvl w:ilvl="0">
      <w:lvlJc w:val="left"/>
      <w:lvlText w:val="(%1)"/>
      <w:numFmt w:val="lowerLetter"/>
      <w:start w:val="1"/>
    </w:lvl>
  </w:abstractNum>
  <w:abstractNum w:abstractNumId="50">
    <w:nsid w:val="2A6DE806"/>
    <w:multiLevelType w:val="hybridMultilevel"/>
    <w:lvl w:ilvl="0">
      <w:lvlJc w:val="left"/>
      <w:lvlText w:val="(%1)"/>
      <w:numFmt w:val="lowerLetter"/>
      <w:start w:val="1"/>
    </w:lvl>
  </w:abstractNum>
  <w:abstractNum w:abstractNumId="51">
    <w:nsid w:val="1816F8C4"/>
    <w:multiLevelType w:val="hybridMultilevel"/>
    <w:lvl w:ilvl="0">
      <w:lvlJc w:val="left"/>
      <w:lvlText w:val="(%1)"/>
      <w:numFmt w:val="lowerLetter"/>
      <w:start w:val="1"/>
    </w:lvl>
  </w:abstractNum>
  <w:abstractNum w:abstractNumId="52">
    <w:nsid w:val="37DF2233"/>
    <w:multiLevelType w:val="hybridMultilevel"/>
    <w:lvl w:ilvl="0">
      <w:lvlJc w:val="left"/>
      <w:lvlText w:val="(%1)"/>
      <w:numFmt w:val="lowerLetter"/>
      <w:start w:val="1"/>
    </w:lvl>
  </w:abstractNum>
  <w:abstractNum w:abstractNumId="53">
    <w:nsid w:val="7AB49DAF"/>
    <w:multiLevelType w:val="hybridMultilevel"/>
    <w:lvl w:ilvl="0">
      <w:lvlJc w:val="left"/>
      <w:lvlText w:val="(%1)"/>
      <w:numFmt w:val="lowerLetter"/>
      <w:start w:val="1"/>
    </w:lvl>
  </w:abstractNum>
  <w:abstractNum w:abstractNumId="54">
    <w:nsid w:val="759F82CD"/>
    <w:multiLevelType w:val="hybridMultilevel"/>
    <w:lvl w:ilvl="0">
      <w:lvlJc w:val="left"/>
      <w:lvlText w:val="(%1)"/>
      <w:numFmt w:val="lowerLetter"/>
      <w:start w:val="4"/>
    </w:lvl>
  </w:abstractNum>
  <w:abstractNum w:abstractNumId="55">
    <w:nsid w:val="61E74EA3"/>
    <w:multiLevelType w:val="hybridMultilevel"/>
    <w:lvl w:ilvl="0">
      <w:lvlJc w:val="left"/>
      <w:lvlText w:val="(%1)"/>
      <w:numFmt w:val="lowerRoman"/>
      <w:start w:val="1"/>
    </w:lvl>
  </w:abstractNum>
  <w:abstractNum w:abstractNumId="56">
    <w:nsid w:val="597B4D84"/>
    <w:multiLevelType w:val="hybridMultilevel"/>
    <w:lvl w:ilvl="0">
      <w:lvlJc w:val="left"/>
      <w:lvlText w:val="(%1)"/>
      <w:numFmt w:val="lowerRoman"/>
      <w:start w:val="2"/>
    </w:lvl>
  </w:abstractNum>
  <w:abstractNum w:abstractNumId="57">
    <w:nsid w:val="F819E7F"/>
    <w:multiLevelType w:val="hybridMultilevel"/>
    <w:lvl w:ilvl="0">
      <w:lvlJc w:val="left"/>
      <w:lvlText w:val="(%1)"/>
      <w:numFmt w:val="lowerLetter"/>
      <w:start w:val="1"/>
    </w:lvl>
  </w:abstractNum>
  <w:abstractNum w:abstractNumId="58">
    <w:nsid w:val="57C7D42D"/>
    <w:multiLevelType w:val="hybridMultilevel"/>
    <w:lvl w:ilvl="0">
      <w:lvlJc w:val="left"/>
      <w:lvlText w:val="(%1)"/>
      <w:numFmt w:val="lowerLetter"/>
      <w:start w:val="2"/>
    </w:lvl>
  </w:abstractNum>
  <w:abstractNum w:abstractNumId="59">
    <w:nsid w:val="312167AD"/>
    <w:multiLevelType w:val="hybridMultilevel"/>
    <w:lvl w:ilvl="0">
      <w:lvlJc w:val="left"/>
      <w:lvlText w:val="(%1)"/>
      <w:numFmt w:val="lowerLetter"/>
      <w:start w:val="1"/>
    </w:lvl>
  </w:abstractNum>
  <w:abstractNum w:abstractNumId="60">
    <w:nsid w:val="631B64D4"/>
    <w:multiLevelType w:val="hybridMultilevel"/>
    <w:lvl w:ilvl="0">
      <w:lvlJc w:val="left"/>
      <w:lvlText w:val="(%1)"/>
      <w:numFmt w:val="lowerLetter"/>
      <w:start w:val="2"/>
    </w:lvl>
  </w:abstractNum>
  <w:abstractNum w:abstractNumId="61">
    <w:nsid w:val="78B5E776"/>
    <w:multiLevelType w:val="hybridMultilevel"/>
    <w:lvl w:ilvl="0">
      <w:lvlJc w:val="left"/>
      <w:lvlText w:val="(%1)"/>
      <w:numFmt w:val="lowerLetter"/>
      <w:start w:val="3"/>
    </w:lvl>
  </w:abstractNum>
  <w:abstractNum w:abstractNumId="62">
    <w:nsid w:val="75486E47"/>
    <w:multiLevelType w:val="hybridMultilevel"/>
    <w:lvl w:ilvl="0">
      <w:lvlJc w:val="left"/>
      <w:lvlText w:val="(%1)"/>
      <w:numFmt w:val="lowerLetter"/>
      <w:start w:val="6"/>
    </w:lvl>
  </w:abstractNum>
  <w:abstractNum w:abstractNumId="63">
    <w:nsid w:val="6E534CDE"/>
    <w:multiLevelType w:val="hybridMultilevel"/>
    <w:lvl w:ilvl="0">
      <w:lvlJc w:val="left"/>
      <w:lvlText w:val="(%1)"/>
      <w:numFmt w:val="lowerLetter"/>
      <w:start w:val="9"/>
    </w:lvl>
  </w:abstractNum>
  <w:abstractNum w:abstractNumId="64">
    <w:nsid w:val="1A0DDE32"/>
    <w:multiLevelType w:val="hybridMultilevel"/>
    <w:lvl w:ilvl="0">
      <w:lvlJc w:val="left"/>
      <w:lvlText w:val="(%1)"/>
      <w:numFmt w:val="lowerLetter"/>
      <w:start w:val="11"/>
    </w:lvl>
  </w:abstractNum>
  <w:abstractNum w:abstractNumId="65">
    <w:nsid w:val="65968C1C"/>
    <w:multiLevelType w:val="hybridMultilevel"/>
    <w:lvl w:ilvl="0">
      <w:lvlJc w:val="left"/>
      <w:lvlText w:val="(%1)"/>
      <w:numFmt w:val="lowerLetter"/>
      <w:start w:val="1"/>
    </w:lvl>
  </w:abstractNum>
  <w:abstractNum w:abstractNumId="66">
    <w:nsid w:val="46263DEC"/>
    <w:multiLevelType w:val="hybridMultilevel"/>
    <w:lvl w:ilvl="0">
      <w:lvlJc w:val="left"/>
      <w:lvlText w:val="(%1)"/>
      <w:numFmt w:val="lowerLetter"/>
      <w:start w:val="1"/>
    </w:lvl>
  </w:abstractNum>
  <w:abstractNum w:abstractNumId="67">
    <w:nsid w:val="260D8C4A"/>
    <w:multiLevelType w:val="hybridMultilevel"/>
    <w:lvl w:ilvl="0">
      <w:lvlJc w:val="left"/>
      <w:lvlText w:val="(%1)"/>
      <w:numFmt w:val="lowerLetter"/>
      <w:start w:val="2"/>
    </w:lvl>
  </w:abstractNum>
  <w:abstractNum w:abstractNumId="68">
    <w:nsid w:val="73D4D3C4"/>
    <w:multiLevelType w:val="hybridMultilevel"/>
    <w:lvl w:ilvl="0">
      <w:lvlJc w:val="left"/>
      <w:lvlText w:val="(%1)"/>
      <w:numFmt w:val="lowerRoman"/>
      <w:start w:val="1"/>
    </w:lvl>
  </w:abstractNum>
  <w:abstractNum w:abstractNumId="69">
    <w:nsid w:val="746F2E30"/>
    <w:multiLevelType w:val="hybridMultilevel"/>
    <w:lvl w:ilvl="0">
      <w:lvlJc w:val="left"/>
      <w:lvlText w:val="(%1)"/>
      <w:numFmt w:val="lowerLetter"/>
      <w:start w:val="4"/>
    </w:lvl>
  </w:abstractNum>
  <w:abstractNum w:abstractNumId="70">
    <w:nsid w:val="6FDE8AF6"/>
    <w:multiLevelType w:val="hybridMultilevel"/>
    <w:lvl w:ilvl="0">
      <w:lvlJc w:val="left"/>
      <w:lvlText w:val="%1"/>
      <w:numFmt w:val="lowerLetter"/>
      <w:start w:val="1"/>
    </w:lvl>
    <w:lvl w:ilvl="1">
      <w:lvlJc w:val="left"/>
      <w:lvlText w:val="(%2)"/>
      <w:numFmt w:val="lowerLetter"/>
      <w:start w:val="1"/>
    </w:lvl>
  </w:abstractNum>
  <w:abstractNum w:abstractNumId="71">
    <w:nsid w:val="3FC32E20"/>
    <w:multiLevelType w:val="hybridMultilevel"/>
    <w:lvl w:ilvl="0">
      <w:lvlJc w:val="left"/>
      <w:lvlText w:val="(%1)"/>
      <w:numFmt w:val="lowerLetter"/>
      <w:start w:val="3"/>
    </w:lvl>
    <w:lvl w:ilvl="1">
      <w:lvlJc w:val="left"/>
      <w:lvlText w:val="%2"/>
      <w:numFmt w:val="lowerLetter"/>
      <w:start w:val="1"/>
    </w:lvl>
  </w:abstractNum>
  <w:abstractNum w:abstractNumId="72">
    <w:nsid w:val="49C0E823"/>
    <w:multiLevelType w:val="hybridMultilevel"/>
    <w:lvl w:ilvl="0">
      <w:lvlJc w:val="left"/>
      <w:lvlText w:val="(%1)"/>
      <w:numFmt w:val="lowerLetter"/>
      <w:start w:val="1"/>
    </w:lvl>
  </w:abstractNum>
  <w:abstractNum w:abstractNumId="73">
    <w:nsid w:val="14D53685"/>
    <w:multiLevelType w:val="hybridMultilevel"/>
    <w:lvl w:ilvl="0">
      <w:lvlJc w:val="left"/>
      <w:lvlText w:val=";"/>
      <w:numFmt w:val="bullet"/>
      <w:start w:val="1"/>
    </w:lvl>
    <w:lvl w:ilvl="1">
      <w:lvlJc w:val="left"/>
      <w:lvlText w:val="(%2)"/>
      <w:numFmt w:val="lowerLetter"/>
      <w:start w:val="3"/>
    </w:lvl>
  </w:abstractNum>
  <w:abstractNum w:abstractNumId="74">
    <w:nsid w:val="230F856C"/>
    <w:multiLevelType w:val="hybridMultilevel"/>
    <w:lvl w:ilvl="0">
      <w:lvlJc w:val="left"/>
      <w:lvlText w:val="(%1)"/>
      <w:numFmt w:val="lowerLetter"/>
      <w:start w:val="5"/>
    </w:lvl>
  </w:abstractNum>
  <w:abstractNum w:abstractNumId="75">
    <w:nsid w:val="6EAA85FB"/>
    <w:multiLevelType w:val="hybridMultilevel"/>
    <w:lvl w:ilvl="0">
      <w:lvlJc w:val="left"/>
      <w:lvlText w:val="(%1)"/>
      <w:numFmt w:val="lowerLetter"/>
      <w:start w:val="1"/>
    </w:lvl>
  </w:abstractNum>
  <w:abstractNum w:abstractNumId="76">
    <w:nsid w:val="3F06ECB2"/>
    <w:multiLevelType w:val="hybridMultilevel"/>
    <w:lvl w:ilvl="0">
      <w:lvlJc w:val="left"/>
      <w:lvlText w:val="%1"/>
      <w:numFmt w:val="lowerLetter"/>
      <w:start w:val="1"/>
    </w:lvl>
    <w:lvl w:ilvl="1">
      <w:lvlJc w:val="left"/>
      <w:lvlText w:val="(%2)"/>
      <w:numFmt w:val="lowerLetter"/>
      <w:start w:val="5"/>
    </w:lvl>
  </w:abstractNum>
  <w:abstractNum w:abstractNumId="77">
    <w:nsid w:val="3B594807"/>
    <w:multiLevelType w:val="hybridMultilevel"/>
    <w:lvl w:ilvl="0">
      <w:lvlJc w:val="left"/>
      <w:lvlText w:val="(%1)"/>
      <w:numFmt w:val="lowerLetter"/>
      <w:start w:val="35"/>
    </w:lvl>
    <w:lvl w:ilvl="1">
      <w:lvlJc w:val="left"/>
      <w:lvlText w:val="%2"/>
      <w:numFmt w:val="lowerLetter"/>
      <w:start w:val="1"/>
    </w:lvl>
  </w:abstractNum>
  <w:abstractNum w:abstractNumId="78">
    <w:nsid w:val="6CAA2304"/>
    <w:multiLevelType w:val="hybridMultilevel"/>
    <w:lvl w:ilvl="0">
      <w:lvlJc w:val="left"/>
      <w:lvlText w:val="(%1)"/>
      <w:numFmt w:val="lowerLetter"/>
      <w:start w:val="1"/>
    </w:lvl>
  </w:abstractNum>
  <w:abstractNum w:abstractNumId="79">
    <w:nsid w:val="3F7C2FF4"/>
    <w:multiLevelType w:val="hybridMultilevel"/>
    <w:lvl w:ilvl="0">
      <w:lvlJc w:val="left"/>
      <w:lvlText w:val="(%1)"/>
      <w:numFmt w:val="lowerLetter"/>
      <w:start w:val="3"/>
    </w:lvl>
  </w:abstractNum>
  <w:abstractNum w:abstractNumId="80">
    <w:nsid w:val="25413BEC"/>
    <w:multiLevelType w:val="hybridMultilevel"/>
    <w:lvl w:ilvl="0">
      <w:lvlJc w:val="left"/>
      <w:lvlText w:val="(%1)"/>
      <w:numFmt w:val="lowerLetter"/>
      <w:start w:val="1"/>
    </w:lvl>
  </w:abstractNum>
  <w:abstractNum w:abstractNumId="81">
    <w:nsid w:val="17180B0B"/>
    <w:multiLevelType w:val="hybridMultilevel"/>
    <w:lvl w:ilvl="0">
      <w:lvlJc w:val="left"/>
      <w:lvlText w:val="(%1)"/>
      <w:numFmt w:val="lowerLetter"/>
      <w:start w:val="2"/>
    </w:lvl>
  </w:abstractNum>
  <w:abstractNum w:abstractNumId="82">
    <w:nsid w:val="579328B9"/>
    <w:multiLevelType w:val="hybridMultilevel"/>
    <w:lvl w:ilvl="0">
      <w:lvlJc w:val="left"/>
      <w:lvlText w:val="(%1)"/>
      <w:numFmt w:val="lowerLetter"/>
      <w:start w:val="1"/>
    </w:lvl>
    <w:lvl w:ilvl="1">
      <w:lvlJc w:val="left"/>
      <w:lvlText w:val="(%2)"/>
      <w:numFmt w:val="lowerRoman"/>
      <w:start w:val="1"/>
    </w:lvl>
  </w:abstractNum>
  <w:abstractNum w:abstractNumId="83">
    <w:nsid w:val="5D205E20"/>
    <w:multiLevelType w:val="hybridMultilevel"/>
    <w:lvl w:ilvl="0">
      <w:lvlJc w:val="left"/>
      <w:lvlText w:val="(%1)"/>
      <w:numFmt w:val="lowerLetter"/>
      <w:start w:val="2"/>
    </w:lvl>
  </w:abstractNum>
  <w:abstractNum w:abstractNumId="84">
    <w:nsid w:val="11CCA8BA"/>
    <w:multiLevelType w:val="hybridMultilevel"/>
    <w:lvl w:ilvl="0">
      <w:lvlJc w:val="left"/>
      <w:lvlText w:val="(%1)"/>
      <w:numFmt w:val="lowerRoman"/>
      <w:start w:val="1"/>
    </w:lvl>
  </w:abstractNum>
  <w:abstractNum w:abstractNumId="85">
    <w:nsid w:val="4D32AB86"/>
    <w:multiLevelType w:val="hybridMultilevel"/>
    <w:lvl w:ilvl="0">
      <w:lvlJc w:val="left"/>
      <w:lvlText w:val="(%1)"/>
      <w:numFmt w:val="lowerLetter"/>
      <w:start w:val="2"/>
    </w:lvl>
  </w:abstractNum>
  <w:abstractNum w:abstractNumId="86">
    <w:nsid w:val="3F07ACC3"/>
    <w:multiLevelType w:val="hybridMultilevel"/>
    <w:lvl w:ilvl="0">
      <w:lvlJc w:val="left"/>
      <w:lvlText w:val="(%1)"/>
      <w:numFmt w:val="lowerLetter"/>
      <w:start w:val="1"/>
    </w:lvl>
  </w:abstractNum>
  <w:abstractNum w:abstractNumId="87">
    <w:nsid w:val="6B47F63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8">
    <w:nsid w:val="5CB44A05"/>
    <w:multiLevelType w:val="hybridMultilevel"/>
    <w:lvl w:ilvl="0">
      <w:lvlJc w:val="left"/>
      <w:lvlText w:val="(%1)"/>
      <w:numFmt w:val="upperLetter"/>
      <w:start w:val="2"/>
    </w:lvl>
    <w:lvl w:ilvl="1">
      <w:lvlJc w:val="left"/>
      <w:lvlText w:val="(%2)"/>
      <w:numFmt w:val="decimal"/>
      <w:start w:val="1"/>
    </w:lvl>
  </w:abstractNum>
  <w:abstractNum w:abstractNumId="89">
    <w:nsid w:val="16CF80F1"/>
    <w:multiLevelType w:val="hybridMultilevel"/>
    <w:lvl w:ilvl="0">
      <w:lvlJc w:val="left"/>
      <w:lvlText w:val="(%1)"/>
      <w:numFmt w:val="lowerLetter"/>
      <w:start w:val="7"/>
    </w:lvl>
  </w:abstractNum>
  <w:abstractNum w:abstractNumId="90">
    <w:nsid w:val="1C695DEC"/>
    <w:multiLevelType w:val="hybridMultilevel"/>
    <w:lvl w:ilvl="0">
      <w:lvlJc w:val="left"/>
      <w:lvlText w:val="(%1)"/>
      <w:numFmt w:val="lowerLetter"/>
      <w:start w:val="1"/>
    </w:lvl>
  </w:abstractNum>
  <w:abstractNum w:abstractNumId="91">
    <w:nsid w:val="3FCFAED9"/>
    <w:multiLevelType w:val="hybridMultilevel"/>
    <w:lvl w:ilvl="0">
      <w:lvlJc w:val="left"/>
      <w:lvlText w:val="%1"/>
      <w:numFmt w:val="upperLetter"/>
      <w:start w:val="1"/>
    </w:lvl>
    <w:lvl w:ilvl="1">
      <w:lvlJc w:val="left"/>
      <w:lvlText w:val="(%2)"/>
      <w:numFmt w:val="lowerLetter"/>
      <w:start w:val="2"/>
    </w:lvl>
  </w:abstractNum>
  <w:abstractNum w:abstractNumId="92">
    <w:nsid w:val="F856867"/>
    <w:multiLevelType w:val="hybridMultilevel"/>
    <w:lvl w:ilvl="0">
      <w:lvlJc w:val="left"/>
      <w:lvlText w:val="(%1)"/>
      <w:numFmt w:val="upperLetter"/>
      <w:start w:val="1"/>
    </w:lvl>
    <w:lvl w:ilvl="1">
      <w:lvlJc w:val="left"/>
      <w:lvlText w:val="%2"/>
      <w:numFmt w:val="lowerLetter"/>
      <w:start w:val="1"/>
    </w:lvl>
  </w:abstractNum>
  <w:abstractNum w:abstractNumId="93">
    <w:nsid w:val="11B1CC33"/>
    <w:multiLevelType w:val="hybridMultilevel"/>
    <w:lvl w:ilvl="0">
      <w:lvlJc w:val="left"/>
      <w:lvlText w:val="(%1)"/>
      <w:numFmt w:val="lowerLetter"/>
      <w:start w:val="3"/>
    </w:lvl>
  </w:abstractNum>
  <w:abstractNum w:abstractNumId="94">
    <w:nsid w:val="2E22FBB7"/>
    <w:multiLevelType w:val="hybridMultilevel"/>
    <w:lvl w:ilvl="0">
      <w:lvlJc w:val="left"/>
      <w:lvlText w:val="(%1)"/>
      <w:numFmt w:val="lowerLetter"/>
      <w:start w:val="5"/>
    </w:lvl>
  </w:abstractNum>
  <w:abstractNum w:abstractNumId="95">
    <w:nsid w:val="29934699"/>
    <w:multiLevelType w:val="hybridMultilevel"/>
    <w:lvl w:ilvl="0">
      <w:lvlJc w:val="left"/>
      <w:lvlText w:val="(%1)"/>
      <w:numFmt w:val="lowerLetter"/>
      <w:start w:val="1"/>
    </w:lvl>
  </w:abstractNum>
  <w:abstractNum w:abstractNumId="96">
    <w:nsid w:val="77485850"/>
    <w:multiLevelType w:val="hybridMultilevel"/>
    <w:lvl w:ilvl="0">
      <w:lvlJc w:val="left"/>
      <w:lvlText w:val="(%1)"/>
      <w:numFmt w:val="lowerLetter"/>
      <w:start w:val="1"/>
    </w:lvl>
  </w:abstractNum>
  <w:abstractNum w:abstractNumId="97">
    <w:nsid w:val="744939A3"/>
    <w:multiLevelType w:val="hybridMultilevel"/>
    <w:lvl w:ilvl="0">
      <w:lvlJc w:val="left"/>
      <w:lvlText w:val="(%1)"/>
      <w:numFmt w:val="lowerLetter"/>
      <w:start w:val="3"/>
    </w:lvl>
    <w:lvl w:ilvl="1">
      <w:lvlJc w:val="left"/>
      <w:lvlText w:val="(%2)"/>
      <w:numFmt w:val="lowerRoman"/>
      <w:start w:val="1"/>
    </w:lvl>
  </w:abstractNum>
  <w:abstractNum w:abstractNumId="98">
    <w:nsid w:val="4FA0D2E3"/>
    <w:multiLevelType w:val="hybridMultilevel"/>
    <w:lvl w:ilvl="0">
      <w:lvlJc w:val="left"/>
      <w:lvlText w:val="(%1)"/>
      <w:numFmt w:val="lowerLetter"/>
      <w:start w:val="1"/>
    </w:lvl>
  </w:abstractNum>
  <w:abstractNum w:abstractNumId="99">
    <w:nsid w:val="6B1D2C14"/>
    <w:multiLevelType w:val="hybridMultilevel"/>
    <w:lvl w:ilvl="0">
      <w:lvlJc w:val="left"/>
      <w:lvlText w:val="(%1)"/>
      <w:numFmt w:val="lowerLetter"/>
      <w:start w:val="1"/>
    </w:lvl>
  </w:abstractNum>
  <w:abstractNum w:abstractNumId="100">
    <w:nsid w:val="68B867D3"/>
    <w:multiLevelType w:val="hybridMultilevel"/>
    <w:lvl w:ilvl="0">
      <w:lvlJc w:val="left"/>
      <w:lvlText w:val="(%1)"/>
      <w:numFmt w:val="lowerLetter"/>
      <w:start w:val="1"/>
    </w:lvl>
  </w:abstractNum>
  <w:abstractNum w:abstractNumId="101">
    <w:nsid w:val="3F7F5DD9"/>
    <w:multiLevelType w:val="hybridMultilevel"/>
    <w:lvl w:ilvl="0">
      <w:lvlJc w:val="left"/>
      <w:lvlText w:val="(%1)"/>
      <w:numFmt w:val="lowerLetter"/>
      <w:start w:val="35"/>
    </w:lvl>
    <w:lvl w:ilvl="1">
      <w:lvlJc w:val="left"/>
      <w:lvlText w:val="(%2)"/>
      <w:numFmt w:val="lowerLetter"/>
      <w:start w:val="2"/>
    </w:lvl>
  </w:abstractNum>
  <w:abstractNum w:abstractNumId="102">
    <w:nsid w:val="2AE05A34"/>
    <w:multiLevelType w:val="hybridMultilevel"/>
    <w:lvl w:ilvl="0">
      <w:lvlJc w:val="left"/>
      <w:lvlText w:val="(%1)"/>
      <w:numFmt w:val="lowerLetter"/>
      <w:start w:val="1"/>
    </w:lvl>
  </w:abstractNum>
  <w:abstractNum w:abstractNumId="103">
    <w:nsid w:val="32794FF7"/>
    <w:multiLevelType w:val="hybridMultilevel"/>
    <w:lvl w:ilvl="0">
      <w:lvlJc w:val="left"/>
      <w:lvlText w:val="(%1)"/>
      <w:numFmt w:val="lowerLetter"/>
      <w:start w:val="1"/>
    </w:lvl>
  </w:abstractNum>
  <w:abstractNum w:abstractNumId="104">
    <w:nsid w:val="5454945E"/>
    <w:multiLevelType w:val="hybridMultilevel"/>
    <w:lvl w:ilvl="0">
      <w:lvlJc w:val="left"/>
      <w:lvlText w:val="(%1)"/>
      <w:numFmt w:val="lowerLetter"/>
      <w:start w:val="2"/>
    </w:lvl>
  </w:abstractNum>
  <w:abstractNum w:abstractNumId="105">
    <w:nsid w:val="4DEFDFA0"/>
    <w:multiLevelType w:val="hybridMultilevel"/>
    <w:lvl w:ilvl="0">
      <w:lvlJc w:val="left"/>
      <w:lvlText w:val="(%1)"/>
      <w:numFmt w:val="lowerLetter"/>
      <w:start w:val="4"/>
    </w:lvl>
  </w:abstractNum>
  <w:abstractNum w:abstractNumId="106">
    <w:nsid w:val="2123D5F2"/>
    <w:multiLevelType w:val="hybridMultilevel"/>
    <w:lvl w:ilvl="0">
      <w:lvlJc w:val="left"/>
      <w:lvlText w:val="(%1)"/>
      <w:numFmt w:val="lowerLetter"/>
      <w:start w:val="9"/>
    </w:lvl>
    <w:lvl w:ilvl="1">
      <w:lvlJc w:val="left"/>
      <w:lvlText w:val="(%2)"/>
      <w:numFmt w:val="lowerLetter"/>
      <w:start w:val="9"/>
    </w:lvl>
  </w:abstractNum>
  <w:abstractNum w:abstractNumId="107">
    <w:nsid w:val="135B8110"/>
    <w:multiLevelType w:val="hybridMultilevel"/>
    <w:lvl w:ilvl="0">
      <w:lvlJc w:val="left"/>
      <w:lvlText w:val="%1"/>
      <w:numFmt w:val="lowerLetter"/>
      <w:start w:val="1"/>
    </w:lvl>
    <w:lvl w:ilvl="1">
      <w:lvlJc w:val="left"/>
      <w:lvlText w:val="(%2)"/>
      <w:numFmt w:val="lowerLetter"/>
      <w:start w:val="35"/>
    </w:lvl>
  </w:abstractNum>
  <w:abstractNum w:abstractNumId="108">
    <w:nsid w:val="94927A8"/>
    <w:multiLevelType w:val="hybridMultilevel"/>
    <w:lvl w:ilvl="0">
      <w:lvlJc w:val="left"/>
      <w:lvlText w:val="(%1)"/>
      <w:numFmt w:val="lowerLetter"/>
      <w:start w:val="17"/>
    </w:lvl>
    <w:lvl w:ilvl="1">
      <w:lvlJc w:val="left"/>
      <w:lvlText w:val="(%2)"/>
      <w:numFmt w:val="lowerLetter"/>
      <w:start w:val="9"/>
    </w:lvl>
  </w:abstractNum>
  <w:abstractNum w:abstractNumId="109">
    <w:nsid w:val="DCDF8F6"/>
    <w:multiLevelType w:val="hybridMultilevel"/>
    <w:lvl w:ilvl="0">
      <w:lvlJc w:val="left"/>
      <w:lvlText w:val="%1"/>
      <w:numFmt w:val="lowerLetter"/>
      <w:start w:val="1"/>
    </w:lvl>
    <w:lvl w:ilvl="1">
      <w:lvlJc w:val="left"/>
      <w:lvlText w:val="(%2)"/>
      <w:numFmt w:val="lowerLetter"/>
      <w:start w:val="35"/>
    </w:lvl>
  </w:abstractNum>
  <w:abstractNum w:abstractNumId="110">
    <w:nsid w:val="52D7B105"/>
    <w:multiLevelType w:val="hybridMultilevel"/>
    <w:lvl w:ilvl="0">
      <w:lvlJc w:val="left"/>
      <w:lvlText w:val="(%1)"/>
      <w:numFmt w:val="lowerLetter"/>
      <w:start w:val="18"/>
    </w:lvl>
    <w:lvl w:ilvl="1">
      <w:lvlJc w:val="left"/>
      <w:lvlText w:val="%2"/>
      <w:numFmt w:val="lowerLetter"/>
      <w:start w:val="1"/>
    </w:lvl>
  </w:abstractNum>
  <w:abstractNum w:abstractNumId="111">
    <w:nsid w:val="2E8A6394"/>
    <w:multiLevelType w:val="hybridMultilevel"/>
    <w:lvl w:ilvl="0">
      <w:lvlJc w:val="left"/>
      <w:lvlText w:val="(%1)"/>
      <w:numFmt w:val="lowerLetter"/>
      <w:start w:val="1"/>
    </w:lvl>
  </w:abstractNum>
  <w:abstractNum w:abstractNumId="112">
    <w:nsid w:val="24E60401"/>
    <w:multiLevelType w:val="hybridMultilevel"/>
    <w:lvl w:ilvl="0">
      <w:lvlJc w:val="left"/>
      <w:lvlText w:val="(%1)"/>
      <w:numFmt w:val="lowerLetter"/>
      <w:start w:val="1"/>
    </w:lvl>
  </w:abstractNum>
  <w:abstractNum w:abstractNumId="113">
    <w:nsid w:val="2A6AD9BE"/>
    <w:multiLevelType w:val="hybridMultilevel"/>
    <w:lvl w:ilvl="0">
      <w:lvlJc w:val="left"/>
      <w:lvlText w:val="(%1)"/>
      <w:numFmt w:val="lowerLetter"/>
      <w:start w:val="5"/>
    </w:lvl>
  </w:abstractNum>
  <w:abstractNum w:abstractNumId="114">
    <w:nsid w:val="BAAC1B4"/>
    <w:multiLevelType w:val="hybridMultilevel"/>
    <w:lvl w:ilvl="0">
      <w:lvlJc w:val="left"/>
      <w:lvlText w:val="(%1)"/>
      <w:numFmt w:val="lowerLetter"/>
      <w:start w:val="1"/>
    </w:lvl>
  </w:abstractNum>
  <w:abstractNum w:abstractNumId="115">
    <w:nsid w:val="36B2ACBC"/>
    <w:multiLevelType w:val="hybridMultilevel"/>
    <w:lvl w:ilvl="0">
      <w:lvlJc w:val="left"/>
      <w:lvlText w:val="(%1)"/>
      <w:numFmt w:val="lowerLetter"/>
      <w:start w:val="2"/>
    </w:lvl>
  </w:abstractNum>
  <w:abstractNum w:abstractNumId="116">
    <w:nsid w:val="779D8544"/>
    <w:multiLevelType w:val="hybridMultilevel"/>
    <w:lvl w:ilvl="0">
      <w:lvlJc w:val="left"/>
      <w:lvlText w:val="%1"/>
      <w:numFmt w:val="lowerLetter"/>
      <w:start w:val="1"/>
    </w:lvl>
    <w:lvl w:ilvl="1">
      <w:lvlJc w:val="left"/>
      <w:lvlText w:val="(%2)"/>
      <w:numFmt w:val="lowerLetter"/>
      <w:start w:val="1"/>
    </w:lvl>
  </w:abstractNum>
  <w:abstractNum w:abstractNumId="117">
    <w:nsid w:val="4AB26E78"/>
    <w:multiLevelType w:val="hybridMultilevel"/>
    <w:lvl w:ilvl="0">
      <w:lvlJc w:val="left"/>
      <w:lvlText w:val="(%1)"/>
      <w:numFmt w:val="lowerLetter"/>
      <w:start w:val="61"/>
    </w:lvl>
    <w:lvl w:ilvl="1">
      <w:lvlJc w:val="left"/>
      <w:lvlText w:val="%2"/>
      <w:numFmt w:val="lowerLetter"/>
      <w:start w:val="1"/>
    </w:lvl>
  </w:abstractNum>
  <w:abstractNum w:abstractNumId="118">
    <w:nsid w:val="21FAA2FA"/>
    <w:multiLevelType w:val="hybridMultilevel"/>
    <w:lvl w:ilvl="0">
      <w:lvlJc w:val="left"/>
      <w:lvlText w:val="(%1)"/>
      <w:numFmt w:val="lowerLetter"/>
      <w:start w:val="1"/>
    </w:lvl>
  </w:abstractNum>
  <w:abstractNum w:abstractNumId="119">
    <w:nsid w:val="5451CF49"/>
    <w:multiLevelType w:val="hybridMultilevel"/>
    <w:lvl w:ilvl="0">
      <w:lvlJc w:val="left"/>
      <w:lvlText w:val="(%1)"/>
      <w:numFmt w:val="lowerLetter"/>
      <w:start w:val="4"/>
    </w:lvl>
    <w:lvl w:ilvl="1">
      <w:lvlJc w:val="left"/>
      <w:lvlText w:val="(%2)"/>
      <w:numFmt w:val="lowerRoman"/>
      <w:start w:val="1"/>
    </w:lvl>
  </w:abstractNum>
  <w:abstractNum w:abstractNumId="120">
    <w:nsid w:val="6181EF69"/>
    <w:multiLevelType w:val="hybridMultilevel"/>
    <w:lvl w:ilvl="0">
      <w:lvlJc w:val="left"/>
      <w:lvlText w:val="(%1)"/>
      <w:numFmt w:val="lowerLetter"/>
      <w:start w:val="1"/>
    </w:lvl>
  </w:abstractNum>
  <w:abstractNum w:abstractNumId="121">
    <w:nsid w:val="3E6400E6"/>
    <w:multiLevelType w:val="hybridMultilevel"/>
    <w:lvl w:ilvl="0">
      <w:lvlJc w:val="left"/>
      <w:lvlText w:val="(%1)"/>
      <w:numFmt w:val="lowerLetter"/>
      <w:start w:val="1"/>
    </w:lvl>
  </w:abstractNum>
  <w:abstractNum w:abstractNumId="122">
    <w:nsid w:val="14217E23"/>
    <w:multiLevelType w:val="hybridMultilevel"/>
    <w:lvl w:ilvl="0">
      <w:lvlJc w:val="left"/>
      <w:lvlText w:val="%1"/>
      <w:numFmt w:val="lowerLetter"/>
      <w:start w:val="1"/>
    </w:lvl>
    <w:lvl w:ilvl="1">
      <w:lvlJc w:val="left"/>
      <w:lvlText w:val="(%2)"/>
      <w:numFmt w:val="lowerLetter"/>
      <w:start w:val="6"/>
    </w:lvl>
  </w:abstractNum>
  <w:abstractNum w:abstractNumId="123">
    <w:nsid w:val="710757D0"/>
    <w:multiLevelType w:val="hybridMultilevel"/>
    <w:lvl w:ilvl="0">
      <w:lvlJc w:val="left"/>
      <w:lvlText w:val="(%1)"/>
      <w:numFmt w:val="lowerLetter"/>
      <w:start w:val="22"/>
    </w:lvl>
    <w:lvl w:ilvl="1">
      <w:lvlJc w:val="left"/>
      <w:lvlText w:val="(%2)"/>
      <w:numFmt w:val="lowerLetter"/>
      <w:start w:val="7"/>
    </w:lvl>
  </w:abstractNum>
  <w:abstractNum w:abstractNumId="124">
    <w:nsid w:val="5015CD1A"/>
    <w:multiLevelType w:val="hybridMultilevel"/>
    <w:lvl w:ilvl="0">
      <w:lvlJc w:val="left"/>
      <w:lvlText w:val="(%1)"/>
      <w:numFmt w:val="lowerLetter"/>
      <w:start w:val="1"/>
    </w:lvl>
  </w:abstractNum>
  <w:abstractNum w:abstractNumId="125">
    <w:nsid w:val="424479DA"/>
    <w:multiLevelType w:val="hybridMultilevel"/>
    <w:lvl w:ilvl="0">
      <w:lvlJc w:val="left"/>
      <w:lvlText w:val="(%1)"/>
      <w:numFmt w:val="lowerLetter"/>
      <w:start w:val="3"/>
    </w:lvl>
  </w:abstractNum>
  <w:abstractNum w:abstractNumId="126">
    <w:nsid w:val="1A9A9E69"/>
    <w:multiLevelType w:val="hybridMultilevel"/>
    <w:lvl w:ilvl="0">
      <w:lvlJc w:val="left"/>
      <w:lvlText w:val="(%1)"/>
      <w:numFmt w:val="lowerLetter"/>
      <w:start w:val="1"/>
    </w:lvl>
  </w:abstractNum>
  <w:abstractNum w:abstractNumId="127">
    <w:nsid w:val="475E256A"/>
    <w:multiLevelType w:val="hybridMultilevel"/>
    <w:lvl w:ilvl="0">
      <w:lvlJc w:val="left"/>
      <w:lvlText w:val="(%1)"/>
      <w:numFmt w:val="lowerLetter"/>
      <w:start w:val="2"/>
    </w:lvl>
  </w:abstractNum>
  <w:abstractNum w:abstractNumId="128">
    <w:nsid w:val="368DB37E"/>
    <w:multiLevelType w:val="hybridMultilevel"/>
    <w:lvl w:ilvl="0">
      <w:lvlJc w:val="left"/>
      <w:lvlText w:val="(%1)"/>
      <w:numFmt w:val="lowerLetter"/>
      <w:start w:val="1"/>
    </w:lvl>
  </w:abstractNum>
  <w:abstractNum w:abstractNumId="129">
    <w:nsid w:val="6A3B714C"/>
    <w:multiLevelType w:val="hybridMultilevel"/>
    <w:lvl w:ilvl="0">
      <w:lvlJc w:val="left"/>
      <w:lvlText w:val="(%1)"/>
      <w:numFmt w:val="lowerLetter"/>
      <w:start w:val="6"/>
    </w:lvl>
  </w:abstractNum>
  <w:abstractNum w:abstractNumId="130">
    <w:nsid w:val="327B517E"/>
    <w:multiLevelType w:val="hybridMultilevel"/>
    <w:lvl w:ilvl="0">
      <w:lvlJc w:val="left"/>
      <w:lvlText w:val="(%1)"/>
      <w:numFmt w:val="lowerLetter"/>
      <w:start w:val="1"/>
    </w:lvl>
  </w:abstractNum>
  <w:abstractNum w:abstractNumId="131">
    <w:nsid w:val="1F461B51"/>
    <w:multiLevelType w:val="hybridMultilevel"/>
    <w:lvl w:ilvl="0">
      <w:lvlJc w:val="left"/>
      <w:lvlText w:val="(%1)"/>
      <w:numFmt w:val="lowerLetter"/>
      <w:start w:val="6"/>
    </w:lvl>
  </w:abstractNum>
  <w:abstractNum w:abstractNumId="132">
    <w:nsid w:val="29BACF25"/>
    <w:multiLevelType w:val="hybridMultilevel"/>
    <w:lvl w:ilvl="0">
      <w:lvlJc w:val="left"/>
      <w:lvlText w:val="(%1)"/>
      <w:numFmt w:val="lowerLetter"/>
      <w:start w:val="1"/>
    </w:lvl>
  </w:abstractNum>
  <w:abstractNum w:abstractNumId="133">
    <w:nsid w:val="5D5BABB3"/>
    <w:multiLevelType w:val="hybridMultilevel"/>
    <w:lvl w:ilvl="0">
      <w:lvlJc w:val="left"/>
      <w:lvlText w:val="(%1)"/>
      <w:numFmt w:val="lowerRoman"/>
      <w:start w:val="1"/>
    </w:lvl>
  </w:abstractNum>
  <w:abstractNum w:abstractNumId="134">
    <w:nsid w:val="51BF6B48"/>
    <w:multiLevelType w:val="hybridMultilevel"/>
    <w:lvl w:ilvl="0">
      <w:lvlJc w:val="left"/>
      <w:lvlText w:val="(%1)"/>
      <w:numFmt w:val="lowerLetter"/>
      <w:start w:val="3"/>
    </w:lvl>
  </w:abstractNum>
  <w:abstractNum w:abstractNumId="135">
    <w:nsid w:val="7E0F6384"/>
    <w:multiLevelType w:val="hybridMultilevel"/>
    <w:lvl w:ilvl="0">
      <w:lvlJc w:val="left"/>
      <w:lvlText w:val="(%1)"/>
      <w:numFmt w:val="lowerLetter"/>
      <w:start w:val="1"/>
    </w:lvl>
  </w:abstractNum>
  <w:abstractNum w:abstractNumId="136">
    <w:nsid w:val="2B4B8B53"/>
    <w:multiLevelType w:val="hybridMultilevel"/>
    <w:lvl w:ilvl="0">
      <w:lvlJc w:val="left"/>
      <w:lvlText w:val="(%1)"/>
      <w:numFmt w:val="lowerLetter"/>
      <w:start w:val="1"/>
    </w:lvl>
  </w:abstractNum>
  <w:abstractNum w:abstractNumId="137">
    <w:nsid w:val="72E3413A"/>
    <w:multiLevelType w:val="hybridMultilevel"/>
    <w:lvl w:ilvl="0">
      <w:lvlJc w:val="left"/>
      <w:lvlText w:val="%1"/>
      <w:numFmt w:val="lowerRoman"/>
      <w:start w:val="1"/>
    </w:lvl>
    <w:lvl w:ilvl="1">
      <w:lvlJc w:val="left"/>
      <w:lvlText w:val="(%2)"/>
      <w:numFmt w:val="lowerLetter"/>
      <w:start w:val="4"/>
    </w:lvl>
  </w:abstractNum>
  <w:abstractNum w:abstractNumId="138">
    <w:nsid w:val="116AE494"/>
    <w:multiLevelType w:val="hybridMultilevel"/>
    <w:lvl w:ilvl="0">
      <w:lvlJc w:val="left"/>
      <w:lvlText w:val="(%1)"/>
      <w:numFmt w:val="lowerRoman"/>
      <w:start w:val="4"/>
    </w:lvl>
    <w:lvl w:ilvl="1">
      <w:lvlJc w:val="left"/>
      <w:lvlText w:val="(%2)"/>
      <w:numFmt w:val="lowerLetter"/>
      <w:start w:val="10"/>
    </w:lvl>
  </w:abstractNum>
  <w:abstractNum w:abstractNumId="139">
    <w:nsid w:val="3494B2FB"/>
    <w:multiLevelType w:val="hybridMultilevel"/>
    <w:lvl w:ilvl="0">
      <w:lvlJc w:val="left"/>
      <w:lvlText w:val="(%1)"/>
      <w:numFmt w:val="lowerLetter"/>
      <w:start w:val="11"/>
    </w:lvl>
  </w:abstractNum>
  <w:abstractNum w:abstractNumId="140">
    <w:nsid w:val="B13A31"/>
    <w:multiLevelType w:val="hybridMultilevel"/>
    <w:lvl w:ilvl="0">
      <w:lvlJc w:val="left"/>
      <w:lvlText w:val="(%1)"/>
      <w:numFmt w:val="lowerRoman"/>
      <w:start w:val="4"/>
    </w:lvl>
  </w:abstractNum>
  <w:abstractNum w:abstractNumId="141">
    <w:nsid w:val="64429599"/>
    <w:multiLevelType w:val="hybridMultilevel"/>
    <w:lvl w:ilvl="0">
      <w:lvlJc w:val="left"/>
      <w:lvlText w:val="(%1)"/>
      <w:numFmt w:val="lowerLetter"/>
      <w:start w:val="1"/>
    </w:lvl>
  </w:abstractNum>
  <w:abstractNum w:abstractNumId="142">
    <w:nsid w:val="631F1690"/>
    <w:multiLevelType w:val="hybridMultilevel"/>
    <w:lvl w:ilvl="0">
      <w:lvlJc w:val="left"/>
      <w:lvlText w:val="(%1)"/>
      <w:numFmt w:val="lowerLetter"/>
      <w:start w:val="2"/>
    </w:lvl>
  </w:abstractNum>
  <w:abstractNum w:abstractNumId="143">
    <w:nsid w:val="25973E32"/>
    <w:multiLevelType w:val="hybridMultilevel"/>
    <w:lvl w:ilvl="0">
      <w:lvlJc w:val="left"/>
      <w:lvlText w:val="(%1)"/>
      <w:numFmt w:val="lowerLetter"/>
      <w:start w:val="2"/>
    </w:lvl>
  </w:abstractNum>
  <w:abstractNum w:abstractNumId="144">
    <w:nsid w:val="EAD6F57"/>
    <w:multiLevelType w:val="hybridMultilevel"/>
    <w:lvl w:ilvl="0">
      <w:lvlJc w:val="left"/>
      <w:lvlText w:val="(%1)"/>
      <w:numFmt w:val="lowerRoman"/>
      <w:start w:val="4"/>
    </w:lvl>
  </w:abstractNum>
  <w:abstractNum w:abstractNumId="145">
    <w:nsid w:val="6EC9D844"/>
    <w:multiLevelType w:val="hybridMultilevel"/>
    <w:lvl w:ilvl="0">
      <w:lvlJc w:val="left"/>
      <w:lvlText w:val="(%1)"/>
      <w:numFmt w:val="lowerLetter"/>
      <w:start w:val="1"/>
    </w:lvl>
    <w:lvl w:ilvl="1">
      <w:lvlJc w:val="left"/>
      <w:lvlText w:val="(%2)"/>
      <w:numFmt w:val="lowerLetter"/>
      <w:start w:val="9"/>
    </w:lvl>
  </w:abstractNum>
  <w:abstractNum w:abstractNumId="146">
    <w:nsid w:val="5C49EAEE"/>
    <w:multiLevelType w:val="hybridMultilevel"/>
    <w:lvl w:ilvl="0">
      <w:lvlJc w:val="left"/>
      <w:lvlText w:val="(%1)"/>
      <w:numFmt w:val="lowerRoman"/>
      <w:start w:val="2"/>
    </w:lvl>
  </w:abstractNum>
  <w:abstractNum w:abstractNumId="147">
    <w:nsid w:val="64AF49B"/>
    <w:multiLevelType w:val="hybridMultilevel"/>
    <w:lvl w:ilvl="0">
      <w:lvlJc w:val="left"/>
      <w:lvlText w:val="(%1)"/>
      <w:numFmt w:val="lowerRoman"/>
      <w:start w:val="3"/>
    </w:lvl>
  </w:abstractNum>
  <w:abstractNum w:abstractNumId="148">
    <w:nsid w:val="397C46BC"/>
    <w:multiLevelType w:val="hybridMultilevel"/>
    <w:lvl w:ilvl="0">
      <w:lvlJc w:val="left"/>
      <w:lvlText w:val="(%1)"/>
      <w:numFmt w:val="lowerLetter"/>
      <w:start w:val="2"/>
    </w:lvl>
  </w:abstractNum>
  <w:abstractNum w:abstractNumId="149">
    <w:nsid w:val="7E448DE9"/>
    <w:multiLevelType w:val="hybridMultilevel"/>
    <w:lvl w:ilvl="0">
      <w:lvlJc w:val="left"/>
      <w:lvlText w:val="(%1)"/>
      <w:numFmt w:val="lowerLetter"/>
      <w:start w:val="3"/>
    </w:lvl>
    <w:lvl w:ilvl="1">
      <w:lvlJc w:val="left"/>
      <w:lvlText w:val="(%2)"/>
      <w:numFmt w:val="lowerRoman"/>
      <w:start w:val="1"/>
    </w:lvl>
  </w:abstractNum>
  <w:abstractNum w:abstractNumId="150">
    <w:nsid w:val="5A9CC3E5"/>
    <w:multiLevelType w:val="hybridMultilevel"/>
    <w:lvl w:ilvl="0">
      <w:lvlJc w:val="left"/>
      <w:lvlText w:val="(%1)"/>
      <w:numFmt w:val="lowerLetter"/>
      <w:start w:val="1"/>
    </w:lvl>
  </w:abstractNum>
  <w:abstractNum w:abstractNumId="151">
    <w:nsid w:val="1AFE3625"/>
    <w:multiLevelType w:val="hybridMultilevel"/>
    <w:lvl w:ilvl="0">
      <w:lvlJc w:val="left"/>
      <w:lvlText w:val="(%1)"/>
      <w:numFmt w:val="upperLetter"/>
      <w:start w:val="9"/>
    </w:lvl>
    <w:lvl w:ilvl="1">
      <w:lvlJc w:val="left"/>
      <w:lvlText w:val="(%2)"/>
      <w:numFmt w:val="lowerLetter"/>
      <w:start w:val="3"/>
    </w:lvl>
  </w:abstractNum>
  <w:abstractNum w:abstractNumId="152">
    <w:nsid w:val="3CA88ECF"/>
    <w:multiLevelType w:val="hybridMultilevel"/>
    <w:lvl w:ilvl="0">
      <w:lvlJc w:val="left"/>
      <w:lvlText w:val="(%1)"/>
      <w:numFmt w:val="lowerLetter"/>
      <w:start w:val="4"/>
    </w:lvl>
  </w:abstractNum>
  <w:abstractNum w:abstractNumId="153">
    <w:nsid w:val="6EBE4208"/>
    <w:multiLevelType w:val="hybridMultilevel"/>
    <w:lvl w:ilvl="0">
      <w:lvlJc w:val="left"/>
      <w:lvlText w:val="(%1)"/>
      <w:numFmt w:val="lowerLetter"/>
      <w:start w:val="1"/>
    </w:lvl>
  </w:abstractNum>
  <w:abstractNum w:abstractNumId="154">
    <w:nsid w:val="C058DF5"/>
    <w:multiLevelType w:val="hybridMultilevel"/>
    <w:lvl w:ilvl="0">
      <w:lvlJc w:val="left"/>
      <w:lvlText w:val="(%1)"/>
      <w:numFmt w:val="upperLetter"/>
      <w:start w:val="1"/>
    </w:lvl>
  </w:abstractNum>
  <w:abstractNum w:abstractNumId="155">
    <w:nsid w:val="CBE5BE9"/>
    <w:multiLevelType w:val="hybridMultilevel"/>
    <w:lvl w:ilvl="0">
      <w:lvlJc w:val="left"/>
      <w:lvlText w:val="(%1)"/>
      <w:numFmt w:val="lowerLetter"/>
      <w:start w:val="2"/>
    </w:lvl>
  </w:abstractNum>
  <w:abstractNum w:abstractNumId="156">
    <w:nsid w:val="3102BBE2"/>
    <w:multiLevelType w:val="hybridMultilevel"/>
    <w:lvl w:ilvl="0">
      <w:lvlJc w:val="left"/>
      <w:lvlText w:val="(%1)"/>
      <w:numFmt w:val="lowerLetter"/>
      <w:start w:val="3"/>
    </w:lvl>
  </w:abstractNum>
  <w:abstractNum w:abstractNumId="157">
    <w:nsid w:val="26A02C5E"/>
    <w:multiLevelType w:val="hybridMultilevel"/>
    <w:lvl w:ilvl="0">
      <w:lvlJc w:val="left"/>
      <w:lvlText w:val="(%1)"/>
      <w:numFmt w:val="upperLetter"/>
      <w:start w:val="1"/>
    </w:lvl>
  </w:abstractNum>
  <w:abstractNum w:abstractNumId="158">
    <w:nsid w:val="541C8153"/>
    <w:multiLevelType w:val="hybridMultilevel"/>
    <w:lvl w:ilvl="0">
      <w:lvlJc w:val="left"/>
      <w:lvlText w:val="%1"/>
      <w:numFmt w:val="lowerRoman"/>
      <w:start w:val="1"/>
    </w:lvl>
    <w:lvl w:ilvl="1">
      <w:lvlJc w:val="left"/>
      <w:lvlText w:val="(%2)"/>
      <w:numFmt w:val="upperLetter"/>
      <w:start w:val="2"/>
    </w:lvl>
  </w:abstractNum>
  <w:abstractNum w:abstractNumId="159">
    <w:nsid w:val="67906F60"/>
    <w:multiLevelType w:val="hybridMultilevel"/>
    <w:lvl w:ilvl="0">
      <w:lvlJc w:val="left"/>
      <w:lvlText w:val="(%1)"/>
      <w:numFmt w:val="lowerRoman"/>
      <w:start w:val="2"/>
    </w:lvl>
    <w:lvl w:ilvl="1">
      <w:lvlJc w:val="left"/>
      <w:lvlText w:val="(%2)"/>
      <w:numFmt w:val="upperLetter"/>
      <w:start w:val="1"/>
    </w:lvl>
  </w:abstractNum>
  <w:abstractNum w:abstractNumId="160">
    <w:nsid w:val="10DB9DAA"/>
    <w:multiLevelType w:val="hybridMultilevel"/>
    <w:lvl w:ilvl="0">
      <w:lvlJc w:val="left"/>
      <w:lvlText w:val="(%1)"/>
      <w:numFmt w:val="lowerRoman"/>
      <w:start w:val="3"/>
    </w:lvl>
  </w:abstractNum>
  <w:abstractNum w:abstractNumId="161">
    <w:nsid w:val="697D2D2"/>
    <w:multiLevelType w:val="hybridMultilevel"/>
    <w:lvl w:ilvl="0">
      <w:lvlJc w:val="left"/>
      <w:lvlText w:val="(%1)"/>
      <w:numFmt w:val="lowerLetter"/>
      <w:start w:val="3"/>
    </w:lvl>
  </w:abstractNum>
  <w:abstractNum w:abstractNumId="162">
    <w:nsid w:val="6D68AB2"/>
    <w:multiLevelType w:val="hybridMultilevel"/>
    <w:lvl w:ilvl="0">
      <w:lvlJc w:val="left"/>
      <w:lvlText w:val="(%1)"/>
      <w:numFmt w:val="lowerLetter"/>
      <w:start w:val="4"/>
    </w:lvl>
  </w:abstractNum>
  <w:abstractNum w:abstractNumId="163">
    <w:nsid w:val="3A966CD0"/>
    <w:multiLevelType w:val="hybridMultilevel"/>
    <w:lvl w:ilvl="0">
      <w:lvlJc w:val="left"/>
      <w:lvlText w:val="(%1)"/>
      <w:numFmt w:val="lowerLetter"/>
      <w:start w:val="2"/>
    </w:lvl>
  </w:abstractNum>
  <w:abstractNum w:abstractNumId="164">
    <w:nsid w:val="63F37E85"/>
    <w:multiLevelType w:val="hybridMultilevel"/>
    <w:lvl w:ilvl="0">
      <w:lvlJc w:val="left"/>
      <w:lvlText w:val="(%1)"/>
      <w:numFmt w:val="lowerLetter"/>
      <w:start w:val="1"/>
    </w:lvl>
  </w:abstractNum>
  <w:abstractNum w:abstractNumId="165">
    <w:nsid w:val="5895F5FA"/>
    <w:multiLevelType w:val="hybridMultilevel"/>
    <w:lvl w:ilvl="0">
      <w:lvlJc w:val="left"/>
      <w:lvlText w:val="(%1)"/>
      <w:numFmt w:val="lowerLetter"/>
      <w:start w:val="1"/>
    </w:lvl>
    <w:lvl w:ilvl="1">
      <w:lvlJc w:val="left"/>
      <w:lvlText w:val="(%2)"/>
      <w:numFmt w:val="lowerLetter"/>
      <w:start w:val="9"/>
    </w:lvl>
  </w:abstractNum>
  <w:abstractNum w:abstractNumId="166">
    <w:nsid w:val="38A5D054"/>
    <w:multiLevelType w:val="hybridMultilevel"/>
    <w:lvl w:ilvl="0">
      <w:lvlJc w:val="left"/>
      <w:lvlText w:val="(%1)"/>
      <w:numFmt w:val="lowerRoman"/>
      <w:start w:val="2"/>
    </w:lvl>
  </w:abstractNum>
  <w:abstractNum w:abstractNumId="167">
    <w:nsid w:val="F3F09D8"/>
    <w:multiLevelType w:val="hybridMultilevel"/>
    <w:lvl w:ilvl="0">
      <w:lvlJc w:val="left"/>
      <w:lvlText w:val="(%1)"/>
      <w:numFmt w:val="lowerLetter"/>
      <w:start w:val="1"/>
    </w:lvl>
  </w:abstractNum>
  <w:abstractNum w:abstractNumId="168">
    <w:nsid w:val="4B793735"/>
    <w:multiLevelType w:val="hybridMultilevel"/>
    <w:lvl w:ilvl="0">
      <w:lvlJc w:val="left"/>
      <w:lvlText w:val="(%1)"/>
      <w:numFmt w:val="lowerLetter"/>
      <w:start w:val="2"/>
    </w:lvl>
  </w:abstractNum>
  <w:abstractNum w:abstractNumId="169">
    <w:nsid w:val="4A10B4E8"/>
    <w:multiLevelType w:val="hybridMultilevel"/>
    <w:lvl w:ilvl="0">
      <w:lvlJc w:val="left"/>
      <w:lvlText w:val="(%1)"/>
      <w:numFmt w:val="lowerLetter"/>
      <w:start w:val="1"/>
    </w:lvl>
  </w:abstractNum>
  <w:abstractNum w:abstractNumId="170">
    <w:nsid w:val="43D3BCD4"/>
    <w:multiLevelType w:val="hybridMultilevel"/>
    <w:lvl w:ilvl="0">
      <w:lvlJc w:val="left"/>
      <w:lvlText w:val="(%1)"/>
      <w:numFmt w:val="lowerLetter"/>
      <w:start w:val="2"/>
    </w:lvl>
  </w:abstractNum>
  <w:abstractNum w:abstractNumId="171">
    <w:nsid w:val="4C2A7166"/>
    <w:multiLevelType w:val="hybridMultilevel"/>
    <w:lvl w:ilvl="0">
      <w:lvlJc w:val="left"/>
      <w:lvlText w:val="1"/>
      <w:numFmt w:val="bullet"/>
      <w:start w:val="1"/>
    </w:lvl>
  </w:abstractNum>
  <w:abstractNum w:abstractNumId="172">
    <w:nsid w:val="2E534A82"/>
    <w:multiLevelType w:val="hybridMultilevel"/>
    <w:lvl w:ilvl="0">
      <w:lvlJc w:val="left"/>
      <w:lvlText w:val="2"/>
      <w:numFmt w:val="bullet"/>
      <w:start w:val="1"/>
    </w:lvl>
  </w:abstractNum>
  <w:abstractNum w:abstractNumId="173">
    <w:nsid w:val="26F2D364"/>
    <w:multiLevelType w:val="hybridMultilevel"/>
    <w:lvl w:ilvl="0">
      <w:lvlJc w:val="left"/>
      <w:lvlText w:val="4"/>
      <w:numFmt w:val="bullet"/>
      <w:start w:val="1"/>
    </w:lvl>
  </w:abstractNum>
  <w:abstractNum w:abstractNumId="174">
    <w:nsid w:val="71C1AF98"/>
    <w:multiLevelType w:val="hybridMultilevel"/>
    <w:lvl w:ilvl="0">
      <w:lvlJc w:val="left"/>
      <w:lvlText w:val="%1."/>
      <w:numFmt w:val="decimal"/>
      <w:start w:val="1"/>
    </w:lvl>
  </w:abstractNum>
  <w:abstractNum w:abstractNumId="175">
    <w:nsid w:val="3D00B9D9"/>
    <w:multiLevelType w:val="hybridMultilevel"/>
    <w:lvl w:ilvl="0">
      <w:lvlJc w:val="left"/>
      <w:lvlText w:val="%1."/>
      <w:numFmt w:val="decimal"/>
      <w:start w:val="3"/>
    </w:lvl>
  </w:abstractNum>
  <w:abstractNum w:abstractNumId="176">
    <w:nsid w:val="15BCABA8"/>
    <w:multiLevelType w:val="hybridMultilevel"/>
    <w:lvl w:ilvl="0">
      <w:lvlJc w:val="left"/>
      <w:lvlText w:val="%1."/>
      <w:numFmt w:val="decimal"/>
      <w:start w:val="1"/>
    </w:lvl>
    <w:lvl w:ilvl="1">
      <w:lvlJc w:val="left"/>
      <w:lvlText w:val="(%2)"/>
      <w:numFmt w:val="decimal"/>
      <w:start w:val="1"/>
    </w:lvl>
  </w:abstractNum>
  <w:abstractNum w:abstractNumId="177">
    <w:nsid w:val="4E0B9A87"/>
    <w:multiLevelType w:val="hybridMultilevel"/>
    <w:lvl w:ilvl="0">
      <w:lvlJc w:val="left"/>
      <w:lvlText w:val="%1."/>
      <w:numFmt w:val="decimal"/>
      <w:start w:val="2"/>
    </w:lvl>
    <w:lvl w:ilvl="1">
      <w:lvlJc w:val="left"/>
      <w:lvlText w:val="(%2)"/>
      <w:numFmt w:val="lowerRoman"/>
      <w:start w:val="1"/>
    </w:lvl>
  </w:abstractNum>
  <w:abstractNum w:abstractNumId="178">
    <w:nsid w:val="434BAE75"/>
    <w:multiLevelType w:val="hybridMultilevel"/>
    <w:lvl w:ilvl="0">
      <w:lvlJc w:val="left"/>
      <w:lvlText w:val="%1."/>
      <w:numFmt w:val="decimal"/>
      <w:start w:val="7"/>
    </w:lvl>
  </w:abstractNum>
  <w:abstractNum w:abstractNumId="179">
    <w:nsid w:val="4F38F265"/>
    <w:multiLevelType w:val="hybridMultilevel"/>
    <w:lvl w:ilvl="0">
      <w:lvlJc w:val="left"/>
      <w:lvlText w:val="%1."/>
      <w:numFmt w:val="decimal"/>
      <w:start w:val="1"/>
    </w:lvl>
  </w:abstractNum>
  <w:abstractNum w:abstractNumId="180">
    <w:nsid w:val="4C502870"/>
    <w:multiLevelType w:val="hybridMultilevel"/>
    <w:lvl w:ilvl="0">
      <w:lvlJc w:val="left"/>
      <w:lvlText w:val="%1."/>
      <w:numFmt w:val="decimal"/>
      <w:start w:val="4"/>
    </w:lvl>
  </w:abstractNum>
  <w:abstractNum w:abstractNumId="181">
    <w:nsid w:val="1DE8725A"/>
    <w:multiLevelType w:val="hybridMultilevel"/>
    <w:lvl w:ilvl="0">
      <w:lvlJc w:val="left"/>
      <w:lvlText w:val="%1."/>
      <w:numFmt w:val="decimal"/>
      <w:start w:val="1"/>
    </w:lvl>
  </w:abstractNum>
  <w:abstractNum w:abstractNumId="182">
    <w:nsid w:val="6A37288A"/>
    <w:multiLevelType w:val="hybridMultilevel"/>
    <w:lvl w:ilvl="0">
      <w:lvlJc w:val="left"/>
      <w:lvlText w:val="%1."/>
      <w:numFmt w:val="decimal"/>
      <w:start w:val="1"/>
    </w:lvl>
  </w:abstractNum>
  <w:abstractNum w:abstractNumId="183">
    <w:nsid w:val="8F8B73F"/>
    <w:multiLevelType w:val="hybridMultilevel"/>
    <w:lvl w:ilvl="0">
      <w:lvlJc w:val="left"/>
      <w:lvlText w:val="%1."/>
      <w:numFmt w:val="decimal"/>
      <w:start w:val="1"/>
    </w:lvl>
  </w:abstractNum>
  <w:abstractNum w:abstractNumId="184">
    <w:nsid w:val="CA6B462"/>
    <w:multiLevelType w:val="hybridMultilevel"/>
    <w:lvl w:ilvl="0">
      <w:lvlJc w:val="left"/>
      <w:lvlText w:val="(%1)"/>
      <w:numFmt w:val="lowerLetter"/>
      <w:start w:val="1"/>
    </w:lvl>
  </w:abstractNum>
  <w:abstractNum w:abstractNumId="185">
    <w:nsid w:val="763CB680"/>
    <w:multiLevelType w:val="hybridMultilevel"/>
    <w:lvl w:ilvl="0">
      <w:lvlJc w:val="left"/>
      <w:lvlText w:val="(%1)"/>
      <w:numFmt w:val="lowerLetter"/>
      <w:start w:val="1"/>
    </w:lvl>
  </w:abstractNum>
  <w:abstractNum w:abstractNumId="186">
    <w:nsid w:val="15B71329"/>
    <w:multiLevelType w:val="hybridMultilevel"/>
    <w:lvl w:ilvl="0">
      <w:lvlJc w:val="left"/>
      <w:lvlText w:val="(%1)"/>
      <w:numFmt w:val="lowerLetter"/>
      <w:start w:val="1"/>
    </w:lvl>
  </w:abstractNum>
  <w:abstractNum w:abstractNumId="187">
    <w:nsid w:val="3DA97044"/>
    <w:multiLevelType w:val="hybridMultilevel"/>
    <w:lvl w:ilvl="0">
      <w:lvlJc w:val="left"/>
      <w:lvlText w:val="%1."/>
      <w:numFmt w:val="decimal"/>
      <w:start w:val="1"/>
    </w:lvl>
  </w:abstractNum>
  <w:abstractNum w:abstractNumId="188">
    <w:nsid w:val="1CDCE2DE"/>
    <w:multiLevelType w:val="hybridMultilevel"/>
    <w:lvl w:ilvl="0">
      <w:lvlJc w:val="left"/>
      <w:lvlText w:val="%1."/>
      <w:numFmt w:val="decimal"/>
      <w:start w:val="1"/>
    </w:lvl>
  </w:abstractNum>
  <w:abstractNum w:abstractNumId="189">
    <w:nsid w:val="69D3947C"/>
    <w:multiLevelType w:val="hybridMultilevel"/>
    <w:lvl w:ilvl="0">
      <w:lvlJc w:val="left"/>
      <w:lvlText w:val="%1."/>
      <w:numFmt w:val="decimal"/>
      <w:start w:val="1"/>
    </w:lvl>
    <w:lvl w:ilvl="1">
      <w:lvlJc w:val="left"/>
      <w:lvlText w:val="(%2)"/>
      <w:numFmt w:val="lowerLetter"/>
      <w:start w:val="1"/>
    </w:lvl>
  </w:abstractNum>
  <w:abstractNum w:abstractNumId="190">
    <w:nsid w:val="2539DFA5"/>
    <w:multiLevelType w:val="hybridMultilevel"/>
    <w:lvl w:ilvl="0">
      <w:lvlJc w:val="left"/>
      <w:lvlText w:val="(%1)"/>
      <w:numFmt w:val="lowerLetter"/>
      <w:start w:val="3"/>
    </w:lvl>
  </w:abstractNum>
  <w:abstractNum w:abstractNumId="191">
    <w:nsid w:val="2DB88089"/>
    <w:multiLevelType w:val="hybridMultilevel"/>
    <w:lvl w:ilvl="0">
      <w:lvlJc w:val="left"/>
      <w:lvlText w:val="%1."/>
      <w:numFmt w:val="decimal"/>
      <w:start w:val="2"/>
    </w:lvl>
    <w:lvl w:ilvl="1">
      <w:lvlJc w:val="left"/>
      <w:lvlText w:val="(%2)"/>
      <w:numFmt w:val="lowerLetter"/>
      <w:start w:val="1"/>
    </w:lvl>
  </w:abstractNum>
  <w:abstractNum w:abstractNumId="192">
    <w:nsid w:val="706B674E"/>
    <w:multiLevelType w:val="hybridMultilevel"/>
    <w:lvl w:ilvl="0">
      <w:lvlJc w:val="left"/>
      <w:lvlText w:val="(%1)"/>
      <w:numFmt w:val="lowerLetter"/>
      <w:start w:val="2"/>
    </w:lvl>
  </w:abstractNum>
  <w:abstractNum w:abstractNumId="193">
    <w:nsid w:val="2C106A57"/>
    <w:multiLevelType w:val="hybridMultilevel"/>
    <w:lvl w:ilvl="0">
      <w:lvlJc w:val="left"/>
      <w:lvlText w:val="%1"/>
      <w:numFmt w:val="lowerLetter"/>
      <w:start w:val="1"/>
    </w:lvl>
    <w:lvl w:ilvl="1">
      <w:lvlJc w:val="left"/>
      <w:lvlText w:val="(%2)"/>
      <w:numFmt w:val="lowerLetter"/>
      <w:start w:val="5"/>
    </w:lvl>
  </w:abstractNum>
  <w:abstractNum w:abstractNumId="194">
    <w:nsid w:val="684EED59"/>
    <w:multiLevelType w:val="hybridMultilevel"/>
    <w:lvl w:ilvl="0">
      <w:lvlJc w:val="left"/>
      <w:lvlText w:val="(%1)"/>
      <w:numFmt w:val="lowerLetter"/>
      <w:start w:val="61"/>
    </w:lvl>
    <w:lvl w:ilvl="1">
      <w:lvlJc w:val="left"/>
      <w:lvlText w:val="%2"/>
      <w:numFmt w:val="lowerLetter"/>
      <w:start w:val="1"/>
    </w:lvl>
  </w:abstractNum>
  <w:abstractNum w:abstractNumId="195">
    <w:nsid w:val="545EE5D3"/>
    <w:multiLevelType w:val="hybridMultilevel"/>
    <w:lvl w:ilvl="0">
      <w:lvlJc w:val="left"/>
      <w:lvlText w:val="(%1)"/>
      <w:numFmt w:val="lowerLetter"/>
      <w:start w:val="6"/>
    </w:lvl>
  </w:abstractNum>
  <w:abstractNum w:abstractNumId="196">
    <w:nsid w:val="4A6605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7">
    <w:nsid w:val="20F4BDAD"/>
    <w:multiLevelType w:val="hybridMultilevel"/>
    <w:lvl w:ilvl="0">
      <w:lvlJc w:val="left"/>
      <w:lvlText w:val="%1"/>
      <w:numFmt w:val="lowerLetter"/>
      <w:start w:val="1"/>
    </w:lvl>
    <w:lvl w:ilvl="1">
      <w:lvlJc w:val="left"/>
      <w:lvlText w:val="(%2)"/>
      <w:numFmt w:val="lowerRoman"/>
      <w:start w:val="4"/>
    </w:lvl>
  </w:abstractNum>
  <w:abstractNum w:abstractNumId="198">
    <w:nsid w:val="639DEFAC"/>
    <w:multiLevelType w:val="hybridMultilevel"/>
    <w:lvl w:ilvl="0">
      <w:lvlJc w:val="left"/>
      <w:lvlText w:val="(%1)"/>
      <w:numFmt w:val="lowerLetter"/>
      <w:start w:val="2"/>
    </w:lvl>
    <w:lvl w:ilvl="1">
      <w:lvlJc w:val="left"/>
      <w:lvlText w:val="%2"/>
      <w:numFmt w:val="lowerRoman"/>
      <w:start w:val="1"/>
    </w:lvl>
  </w:abstractNum>
  <w:abstractNum w:abstractNumId="199">
    <w:nsid w:val="501F9786"/>
    <w:multiLevelType w:val="hybridMultilevel"/>
    <w:lvl w:ilvl="0">
      <w:lvlJc w:val="left"/>
      <w:lvlText w:val="%1"/>
      <w:numFmt w:val="lowerLetter"/>
      <w:start w:val="1"/>
    </w:lvl>
    <w:lvl w:ilvl="1">
      <w:lvlJc w:val="left"/>
      <w:lvlText w:val="(%2)"/>
      <w:numFmt w:val="lowerLetter"/>
      <w:start w:val="3"/>
    </w:lvl>
  </w:abstractNum>
  <w:abstractNum w:abstractNumId="200">
    <w:nsid w:val="6B057295"/>
    <w:multiLevelType w:val="hybridMultilevel"/>
    <w:lvl w:ilvl="0">
      <w:lvlJc w:val="left"/>
      <w:lvlText w:val="(%1)"/>
      <w:numFmt w:val="lowerLetter"/>
      <w:start w:val="61"/>
    </w:lvl>
    <w:lvl w:ilvl="1">
      <w:lvlJc w:val="left"/>
      <w:lvlText w:val="%2"/>
      <w:numFmt w:val="lowerLetter"/>
      <w:start w:val="1"/>
    </w:lvl>
  </w:abstractNum>
  <w:abstractNum w:abstractNumId="201">
    <w:nsid w:val="2771AC80"/>
    <w:multiLevelType w:val="hybridMultilevel"/>
    <w:lvl w:ilvl="0">
      <w:lvlJc w:val="left"/>
      <w:lvlText w:val="(%1)"/>
      <w:numFmt w:val="lowerLetter"/>
      <w:start w:val="35"/>
    </w:lvl>
    <w:lvl w:ilvl="1">
      <w:lvlJc w:val="left"/>
      <w:lvlText w:val="(%2)"/>
      <w:numFmt w:val="lowerLetter"/>
      <w:start w:val="4"/>
    </w:lvl>
  </w:abstractNum>
  <w:abstractNum w:abstractNumId="202">
    <w:nsid w:val="1C4A08EC"/>
    <w:multiLevelType w:val="hybridMultilevel"/>
    <w:lvl w:ilvl="0">
      <w:lvlJc w:val="left"/>
      <w:lvlText w:val="%1"/>
      <w:numFmt w:val="decimal"/>
      <w:start w:val="1"/>
    </w:lvl>
    <w:lvl w:ilvl="1">
      <w:lvlJc w:val="left"/>
      <w:lvlText w:val="(%2)"/>
      <w:numFmt w:val="lowerLetter"/>
      <w:start w:val="5"/>
    </w:lvl>
  </w:abstractNum>
  <w:abstractNum w:abstractNumId="203">
    <w:nsid w:val="1958BD17"/>
    <w:multiLevelType w:val="hybridMultilevel"/>
    <w:lvl w:ilvl="0">
      <w:lvlJc w:val="left"/>
      <w:lvlText w:val="%1."/>
      <w:numFmt w:val="decimal"/>
      <w:start w:val="4"/>
    </w:lvl>
    <w:lvl w:ilvl="1">
      <w:lvlJc w:val="left"/>
      <w:lvlText w:val="(%2)"/>
      <w:numFmt w:val="lowerLetter"/>
      <w:start w:val="1"/>
    </w:lvl>
  </w:abstractNum>
  <w:abstractNum w:abstractNumId="204">
    <w:nsid w:val="4E647FE4"/>
    <w:multiLevelType w:val="hybridMultilevel"/>
    <w:lvl w:ilvl="0">
      <w:lvlJc w:val="left"/>
      <w:lvlText w:val="(%1)"/>
      <w:numFmt w:val="lowerLetter"/>
      <w:start w:val="2"/>
    </w:lvl>
  </w:abstractNum>
  <w:abstractNum w:abstractNumId="205">
    <w:nsid w:val="E0BB885"/>
    <w:multiLevelType w:val="hybridMultilevel"/>
    <w:lvl w:ilvl="0">
      <w:lvlJc w:val="left"/>
      <w:lvlText w:val="(%1)"/>
      <w:numFmt w:val="lowerRoman"/>
      <w:start w:val="1"/>
    </w:lvl>
  </w:abstractNum>
  <w:abstractNum w:abstractNumId="206">
    <w:nsid w:val="565976F1"/>
    <w:multiLevelType w:val="hybridMultilevel"/>
    <w:lvl w:ilvl="0">
      <w:lvlJc w:val="left"/>
      <w:lvlText w:val="%1"/>
      <w:numFmt w:val="decimal"/>
      <w:start w:val="1"/>
    </w:lvl>
    <w:lvl w:ilvl="1">
      <w:lvlJc w:val="left"/>
      <w:lvlText w:val="(%2)"/>
      <w:numFmt w:val="lowerLetter"/>
      <w:start w:val="4"/>
    </w:lvl>
  </w:abstractNum>
  <w:abstractNum w:abstractNumId="207">
    <w:nsid w:val="64212B8C"/>
    <w:multiLevelType w:val="hybridMultilevel"/>
    <w:lvl w:ilvl="0">
      <w:lvlJc w:val="left"/>
      <w:lvlText w:val="%1."/>
      <w:numFmt w:val="decimal"/>
      <w:start w:val="5"/>
    </w:lvl>
    <w:lvl w:ilvl="1">
      <w:lvlJc w:val="left"/>
      <w:lvlText w:val="(%2)"/>
      <w:numFmt w:val="lowerLetter"/>
      <w:start w:val="1"/>
    </w:lvl>
  </w:abstractNum>
  <w:abstractNum w:abstractNumId="208">
    <w:nsid w:val="5C17530C"/>
    <w:multiLevelType w:val="hybridMultilevel"/>
    <w:lvl w:ilvl="0">
      <w:lvlJc w:val="left"/>
      <w:lvlText w:val="(%1)"/>
      <w:numFmt w:val="lowerLetter"/>
      <w:start w:val="3"/>
    </w:lvl>
  </w:abstractNum>
  <w:abstractNum w:abstractNumId="209">
    <w:nsid w:val="19A52566"/>
    <w:multiLevelType w:val="hybridMultilevel"/>
    <w:lvl w:ilvl="0">
      <w:lvlJc w:val="left"/>
      <w:lvlText w:val="(%1)"/>
      <w:numFmt w:val="lowerLetter"/>
      <w:start w:val="4"/>
    </w:lvl>
  </w:abstractNum>
  <w:abstractNum w:abstractNumId="210">
    <w:nsid w:val="335A1DF1"/>
    <w:multiLevelType w:val="hybridMultilevel"/>
    <w:lvl w:ilvl="0">
      <w:lvlJc w:val="left"/>
      <w:lvlText w:val="(%1)"/>
      <w:numFmt w:val="lowerLetter"/>
      <w:start w:val="5"/>
    </w:lvl>
  </w:abstractNum>
  <w:abstractNum w:abstractNumId="211">
    <w:nsid w:val="28677B7C"/>
    <w:multiLevelType w:val="hybridMultilevel"/>
    <w:lvl w:ilvl="0">
      <w:lvlJc w:val="left"/>
      <w:lvlText w:val="(%1)"/>
      <w:numFmt w:val="lowerLetter"/>
      <w:start w:val="6"/>
    </w:lvl>
  </w:abstractNum>
  <w:abstractNum w:abstractNumId="212">
    <w:nsid w:val="378D97C0"/>
    <w:multiLevelType w:val="hybridMultilevel"/>
    <w:lvl w:ilvl="0">
      <w:lvlJc w:val="left"/>
      <w:lvlText w:val="%1"/>
      <w:numFmt w:val="decimal"/>
      <w:start w:val="1"/>
    </w:lvl>
    <w:lvl w:ilvl="1">
      <w:lvlJc w:val="left"/>
      <w:lvlText w:val="(%2)"/>
      <w:numFmt w:val="lowerLetter"/>
      <w:start w:val="7"/>
    </w:lvl>
  </w:abstractNum>
  <w:abstractNum w:abstractNumId="213">
    <w:nsid w:val="1D91467C"/>
    <w:multiLevelType w:val="hybridMultilevel"/>
    <w:lvl w:ilvl="0">
      <w:lvlJc w:val="left"/>
      <w:lvlText w:val="%1."/>
      <w:numFmt w:val="decimal"/>
      <w:start w:val="6"/>
    </w:lvl>
    <w:lvl w:ilvl="1">
      <w:lvlJc w:val="left"/>
      <w:lvlText w:val="(%2)"/>
      <w:numFmt w:val="lowerLetter"/>
      <w:start w:val="1"/>
    </w:lvl>
  </w:abstractNum>
  <w:abstractNum w:abstractNumId="214">
    <w:nsid w:val="316032BB"/>
    <w:multiLevelType w:val="hybridMultilevel"/>
    <w:lvl w:ilvl="0">
      <w:lvlJc w:val="left"/>
      <w:lvlText w:val="(%1)"/>
      <w:numFmt w:val="lowerLetter"/>
      <w:start w:val="2"/>
    </w:lvl>
  </w:abstractNum>
  <w:abstractNum w:abstractNumId="215">
    <w:nsid w:val="44344C22"/>
    <w:multiLevelType w:val="hybridMultilevel"/>
    <w:lvl w:ilvl="0">
      <w:lvlJc w:val="left"/>
      <w:lvlText w:val="%1"/>
      <w:numFmt w:val="decimal"/>
      <w:start w:val="1"/>
    </w:lvl>
    <w:lvl w:ilvl="1">
      <w:lvlJc w:val="left"/>
      <w:lvlText w:val="(%2)"/>
      <w:numFmt w:val="lowerLetter"/>
      <w:start w:val="4"/>
    </w:lvl>
  </w:abstractNum>
  <w:abstractNum w:abstractNumId="216">
    <w:nsid w:val="13CDFCFC"/>
    <w:multiLevelType w:val="hybridMultilevel"/>
    <w:lvl w:ilvl="0">
      <w:lvlJc w:val="left"/>
      <w:lvlText w:val="%1."/>
      <w:numFmt w:val="decimal"/>
      <w:start w:val="7"/>
    </w:lvl>
    <w:lvl w:ilvl="1">
      <w:lvlJc w:val="left"/>
      <w:lvlText w:val="(%2)"/>
      <w:numFmt w:val="lowerLetter"/>
      <w:start w:val="1"/>
    </w:lvl>
  </w:abstractNum>
  <w:abstractNum w:abstractNumId="217">
    <w:nsid w:val="471745E4"/>
    <w:multiLevelType w:val="hybridMultilevel"/>
    <w:lvl w:ilvl="0">
      <w:lvlJc w:val="left"/>
      <w:lvlText w:val="%1"/>
      <w:numFmt w:val="decimal"/>
      <w:start w:val="1"/>
    </w:lvl>
    <w:lvl w:ilvl="1">
      <w:lvlJc w:val="left"/>
      <w:lvlText w:val="(%2)"/>
      <w:numFmt w:val="lowerLetter"/>
      <w:start w:val="2"/>
    </w:lvl>
  </w:abstractNum>
  <w:abstractNum w:abstractNumId="218">
    <w:nsid w:val="1DDBC66"/>
    <w:multiLevelType w:val="hybridMultilevel"/>
    <w:lvl w:ilvl="0">
      <w:lvlJc w:val="left"/>
      <w:lvlText w:val="%1."/>
      <w:numFmt w:val="decimal"/>
      <w:start w:val="8"/>
    </w:lvl>
    <w:lvl w:ilvl="1">
      <w:lvlJc w:val="left"/>
      <w:lvlText w:val="%2"/>
      <w:numFmt w:val="lowerLetter"/>
      <w:start w:val="1"/>
    </w:lvl>
  </w:abstractNum>
  <w:abstractNum w:abstractNumId="219">
    <w:nsid w:val="30AADFDA"/>
    <w:multiLevelType w:val="hybridMultilevel"/>
    <w:lvl w:ilvl="0">
      <w:lvlJc w:val="left"/>
      <w:lvlText w:val="%1."/>
      <w:numFmt w:val="decimal"/>
      <w:start w:val="9"/>
    </w:lvl>
  </w:abstractNum>
  <w:abstractNum w:abstractNumId="220">
    <w:nsid w:val="30EADA61"/>
    <w:multiLevelType w:val="hybridMultilevel"/>
    <w:lvl w:ilvl="0">
      <w:lvlJc w:val="left"/>
      <w:lvlText w:val="%1."/>
      <w:numFmt w:val="decimal"/>
      <w:start w:val="10"/>
    </w:lvl>
  </w:abstractNum>
  <w:abstractNum w:abstractNumId="221">
    <w:nsid w:val="27179C0B"/>
    <w:multiLevelType w:val="hybridMultilevel"/>
    <w:lvl w:ilvl="0">
      <w:lvlJc w:val="left"/>
      <w:lvlText w:val="%1."/>
      <w:numFmt w:val="decimal"/>
      <w:start w:val="11"/>
    </w:lvl>
  </w:abstractNum>
  <w:abstractNum w:abstractNumId="222">
    <w:nsid w:val="5E636063"/>
    <w:multiLevelType w:val="hybridMultilevel"/>
    <w:lvl w:ilvl="0">
      <w:lvlJc w:val="left"/>
      <w:lvlText w:val="%1."/>
      <w:numFmt w:val="decimal"/>
      <w:start w:val="12"/>
    </w:lvl>
  </w:abstractNum>
  <w:abstractNum w:abstractNumId="223">
    <w:nsid w:val="215641AF"/>
    <w:multiLevelType w:val="hybridMultilevel"/>
    <w:lvl w:ilvl="0">
      <w:lvlJc w:val="left"/>
      <w:lvlText w:val="%1."/>
      <w:numFmt w:val="decimal"/>
      <w:start w:val="13"/>
    </w:lvl>
  </w:abstractNum>
  <w:abstractNum w:abstractNumId="224">
    <w:nsid w:val="53280662"/>
    <w:multiLevelType w:val="hybridMultilevel"/>
    <w:lvl w:ilvl="0">
      <w:lvlJc w:val="left"/>
      <w:lvlText w:val="%1."/>
      <w:numFmt w:val="decimal"/>
      <w:start w:val="14"/>
    </w:lvl>
  </w:abstractNum>
  <w:abstractNum w:abstractNumId="225">
    <w:nsid w:val="46B24DBC"/>
    <w:multiLevelType w:val="hybridMultilevel"/>
    <w:lvl w:ilvl="0">
      <w:lvlJc w:val="left"/>
      <w:lvlText w:val="%1."/>
      <w:numFmt w:val="decimal"/>
      <w:start w:val="15"/>
    </w:lvl>
    <w:lvl w:ilvl="1">
      <w:lvlJc w:val="left"/>
      <w:lvlText w:val="(%2)"/>
      <w:numFmt w:val="lowerLetter"/>
      <w:start w:val="1"/>
    </w:lvl>
  </w:abstractNum>
  <w:abstractNum w:abstractNumId="226">
    <w:nsid w:val="75B52783"/>
    <w:multiLevelType w:val="hybridMultilevel"/>
    <w:lvl w:ilvl="0">
      <w:lvlJc w:val="left"/>
      <w:lvlText w:val="(%1)"/>
      <w:numFmt w:val="lowerLetter"/>
      <w:start w:val="2"/>
    </w:lvl>
  </w:abstractNum>
  <w:abstractNum w:abstractNumId="227">
    <w:nsid w:val="57CE66B4"/>
    <w:multiLevelType w:val="hybridMultilevel"/>
    <w:lvl w:ilvl="0">
      <w:lvlJc w:val="left"/>
      <w:lvlText w:val="%1."/>
      <w:numFmt w:val="decimal"/>
      <w:start w:val="16"/>
    </w:lvl>
  </w:abstractNum>
  <w:abstractNum w:abstractNumId="228">
    <w:nsid w:val="67A70B69"/>
    <w:multiLevelType w:val="hybridMultilevel"/>
    <w:lvl w:ilvl="0">
      <w:lvlJc w:val="left"/>
      <w:lvlText w:val="%1."/>
      <w:numFmt w:val="decimal"/>
      <w:start w:val="17"/>
    </w:lvl>
  </w:abstractNum>
  <w:abstractNum w:abstractNumId="229">
    <w:nsid w:val="5953172F"/>
    <w:multiLevelType w:val="hybridMultilevel"/>
    <w:lvl w:ilvl="0">
      <w:lvlJc w:val="left"/>
      <w:lvlText w:val="%1."/>
      <w:numFmt w:val="decimal"/>
      <w:start w:val="1"/>
    </w:lvl>
    <w:lvl w:ilvl="1">
      <w:lvlJc w:val="left"/>
      <w:lvlText w:val="%2."/>
      <w:numFmt w:val="lowerLetter"/>
      <w:start w:val="1"/>
    </w:lvl>
  </w:abstractNum>
  <w:abstractNum w:abstractNumId="230">
    <w:nsid w:val="27EDFE3A"/>
    <w:multiLevelType w:val="hybridMultilevel"/>
    <w:lvl w:ilvl="0">
      <w:lvlJc w:val="left"/>
      <w:lvlText w:val="%1."/>
      <w:numFmt w:val="decimal"/>
      <w:start w:val="1"/>
    </w:lvl>
    <w:lvl w:ilvl="1">
      <w:lvlJc w:val="left"/>
      <w:lvlText w:val="%2."/>
      <w:numFmt w:val="lowerLetter"/>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2019-12-29T02:06:11Z</dcterms:created>
  <dcterms:modified xsi:type="dcterms:W3CDTF">2019-12-29T02:06:11Z</dcterms:modified>
</cp:coreProperties>
</file>